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60" w:lineRule="exact"/>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长春新区加快培育数实融合新赛道</w:t>
      </w:r>
    </w:p>
    <w:p>
      <w:pPr>
        <w:spacing w:after="156" w:afterLines="50" w:line="760" w:lineRule="exact"/>
        <w:ind w:firstLine="0" w:firstLineChars="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若干政策</w:t>
      </w:r>
      <w:r>
        <w:rPr>
          <w:rFonts w:hint="eastAsia" w:ascii="方正小标宋简体" w:hAnsi="方正小标宋简体" w:eastAsia="方正小标宋简体" w:cs="方正小标宋简体"/>
          <w:b w:val="0"/>
          <w:bCs/>
          <w:sz w:val="44"/>
          <w:szCs w:val="44"/>
          <w:lang w:eastAsia="zh-CN"/>
        </w:rPr>
        <w:t>》政策解读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一、制定的必要性、可行性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党和国家高度重视数字经济与实体经济深度融合（以下简称“数实融合”）。党的二十大报告强调，“开辟发展新领域新赛道，不断塑造发展新动能新优势”。当前，长春新区正着力打造“311”产业体系，紧抓数实融合时代机遇，加快推动新旧动能转换，积极培育布局一批具有爆发式增长潜力的未来产业新赛道。根据吉林省、长春市战略部署和上位政策导向，初拟了《关于长春新区加快培育数实融合新赛道的若干政策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二、制定的依据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吉林省《吉林省市场监督管理厅支持民营经济高质量发展30条举措》（吉市监个字〔2018〕42号）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东湖高新区《关于推动数字经济高质量发展的若干措施实施细则》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东湖高新区《关于促进新型显示产业发展的若干政策》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贵阳高新区《关于促进新一代人工智能产业发展的十条政策措施(试行)》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合肥市《关于加快建设国家新一代人工智能创新发展试验区促进产业高质量发展若干政策》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margin">
                  <wp:posOffset>-360045</wp:posOffset>
                </wp:positionV>
                <wp:extent cx="6120130" cy="855345"/>
                <wp:effectExtent l="0" t="0" r="0" b="0"/>
                <wp:wrapTopAndBottom/>
                <wp:docPr id="5" name="Text Box 33"/>
                <wp:cNvGraphicFramePr/>
                <a:graphic xmlns:a="http://schemas.openxmlformats.org/drawingml/2006/main">
                  <a:graphicData uri="http://schemas.microsoft.com/office/word/2010/wordprocessingShape">
                    <wps:wsp>
                      <wps:cNvSpPr txBox="1"/>
                      <wps:spPr>
                        <a:xfrm>
                          <a:off x="0" y="0"/>
                          <a:ext cx="6120130" cy="855345"/>
                        </a:xfrm>
                        <a:prstGeom prst="rect">
                          <a:avLst/>
                        </a:prstGeom>
                        <a:noFill/>
                        <a:ln>
                          <a:noFill/>
                        </a:ln>
                        <a:effectLst/>
                      </wps:spPr>
                      <wps:txbx>
                        <w:txbxContent>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txbxContent>
                      </wps:txbx>
                      <wps:bodyPr vert="horz" wrap="square" lIns="0" tIns="0" rIns="0" bIns="0" anchor="t" anchorCtr="0" upright="1"/>
                    </wps:wsp>
                  </a:graphicData>
                </a:graphic>
              </wp:anchor>
            </w:drawing>
          </mc:Choice>
          <mc:Fallback>
            <w:pict>
              <v:shape id="Text Box 33" o:spid="_x0000_s1026" o:spt="202" type="#_x0000_t202" style="position:absolute;left:0pt;margin-left:56.7pt;margin-top:-28.35pt;height:67.35pt;width:481.9pt;mso-position-horizontal-relative:page;mso-position-vertical-relative:margin;mso-wrap-distance-bottom:0pt;mso-wrap-distance-top:0pt;z-index:251659264;mso-width-relative:page;mso-height-relative:page;" filled="f" stroked="f" coordsize="21600,21600" o:allowincell="f" o:gfxdata="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">
                <v:fill on="f" focussize="0,0"/>
                <v:stroke on="f"/>
                <v:imagedata o:title=""/>
                <o:lock v:ext="edit" aspectratio="f"/>
                <v:textbox inset="0mm,0mm,0mm,0mm">
                  <w:txbxContent>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txbxContent>
                </v:textbox>
                <w10:wrap type="topAndBottom"/>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沈阳市《关于促进数字经济产业发展若干政策》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苏州工业园区《科技公共服务平台实施细则》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深圳光明区《关于支持新材料产业集群高质量发展的若干措施》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苏州市《关于加快推进苏州生物医药产业高质量发展的若干措施》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成</w:t>
      </w:r>
      <w:r>
        <w:rPr>
          <w:rFonts w:hint="eastAsia" w:ascii="Times New Roman" w:hAnsi="Times New Roman" w:eastAsia="方正仿宋_GBK" w:cs="Times New Roman"/>
          <w:sz w:val="32"/>
          <w:szCs w:val="32"/>
        </w:rPr>
        <w:t>都高新区《关于支持企业数字化智能化技术改造的若干政策》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eastAsia="zh-CN"/>
        </w:rPr>
        <w:t>北京市东城区《关于促进中小企业创新发展的若干措施》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上海虹桥商务区《2020年度虹桥商务区现代服务业专项发展资金申报指南》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湘江新区《关于推进前沿科技创新高地建设的若干政策》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rPr>
        <w:t>合肥高新区《建设世界领先科技园区进一步支持科技创新若干政策举措》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15、江北新区《关于促进生物医药产业发展的若干措施》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16、深圳宝安区《关于促进工业母机、激光与增材制造产业高质量发展的若干措施》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lang w:eastAsia="zh-CN"/>
        </w:rPr>
        <w:t>广州黄埔区《关于促进经济高质量发展政策措施》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18、合肥市《关于2021年推动经济高质量发展若干政策实施细则》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19、重庆高新区《西部科学城重庆高新区促进软件产业高质量发展的九条措施》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20、北京中关村《关于提升国际化发展水平支持资金管理办法（试行）》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21、合肥市《关于“提信心拼经济”若干政策措施》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lang w:eastAsia="zh-CN"/>
        </w:rPr>
        <w:t>南京江北新区《关于促进生物医药产业发展的若干措施》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lang w:eastAsia="zh-CN"/>
        </w:rPr>
        <w:t>合肥高新区《关于打造科创金融改革创新示范区若干政策措施》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MT Extra"/>
          <w:sz w:val="32"/>
          <w:szCs w:val="32"/>
          <w:lang w:val="en-US" w:eastAsia="zh-CN"/>
        </w:rPr>
      </w:pP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lang w:eastAsia="zh-CN"/>
        </w:rPr>
        <w:t>西咸新区：《关于打造秦创原人才聚集高地进一步支持人才创新创业的若干措施》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bCs/>
          <w:sz w:val="32"/>
          <w:szCs w:val="32"/>
          <w:lang w:val="en-US" w:eastAsia="zh-CN"/>
        </w:rPr>
        <w:t>三、设定的主要制度及情况说明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长春新区数实融合新赛道政策以“培育壮大数实融合新赛道，塑造发展新动能新优势”为核心目标，以“资金奖补、提供担保、授权许可、建设场景、开放数据、营造服务环境等”为政策手段，以“制度层、要素层、场景层、企业层、平台层”为五大着力点，构建集“生态营造-赛手扎堆-赛道生成”于一体的良好资源要素优化配置机制和路径，促进优质资源、新型要素向优质企业、重点平台优先配置，推动数实融合新赛道加速生成和爆发。</w:t>
      </w:r>
      <w:r>
        <w:rPr>
          <w:rFonts w:hint="eastAsia" w:ascii="Times New Roman" w:hAnsi="Times New Roman" w:eastAsia="方正仿宋_GBK" w:cs="Times New Roman"/>
          <w:b/>
          <w:sz w:val="32"/>
          <w:szCs w:val="32"/>
        </w:rPr>
        <w:t>主要内容概括为</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sz w:val="32"/>
          <w:szCs w:val="32"/>
          <w:lang w:eastAsia="zh-CN"/>
        </w:rPr>
        <w:t>一是</w:t>
      </w:r>
      <w:r>
        <w:rPr>
          <w:rFonts w:hint="eastAsia" w:eastAsia="方正仿宋_GBK" w:cs="Times New Roman"/>
          <w:sz w:val="32"/>
          <w:szCs w:val="32"/>
          <w:lang w:eastAsia="zh-CN"/>
        </w:rPr>
        <w:t>打造重大产业平台和载体</w:t>
      </w:r>
      <w:r>
        <w:rPr>
          <w:rFonts w:hint="eastAsia" w:eastAsia="方正仿宋_GBK" w:cs="Times New Roman"/>
          <w:sz w:val="32"/>
          <w:szCs w:val="32"/>
          <w:lang w:val="en-US" w:eastAsia="zh-CN"/>
        </w:rPr>
        <w:t>:</w:t>
      </w:r>
      <w:r>
        <w:rPr>
          <w:rFonts w:hint="eastAsia" w:eastAsia="方正仿宋_GBK" w:cs="Times New Roman"/>
          <w:sz w:val="32"/>
          <w:szCs w:val="32"/>
          <w:lang w:eastAsia="zh-CN"/>
        </w:rPr>
        <w:t>支持特色园区、公共服务平台建设，加快发展互联网工业；</w:t>
      </w:r>
      <w:r>
        <w:rPr>
          <w:rFonts w:hint="eastAsia" w:ascii="Times New Roman" w:hAnsi="Times New Roman" w:eastAsia="方正仿宋_GBK" w:cs="Times New Roman"/>
          <w:b/>
          <w:sz w:val="32"/>
          <w:szCs w:val="32"/>
          <w:lang w:eastAsia="zh-CN"/>
        </w:rPr>
        <w:t>二是</w:t>
      </w:r>
      <w:r>
        <w:rPr>
          <w:rFonts w:hint="eastAsia" w:eastAsia="方正仿宋_GBK" w:cs="Times New Roman"/>
          <w:sz w:val="32"/>
          <w:szCs w:val="32"/>
          <w:lang w:eastAsia="zh-CN"/>
        </w:rPr>
        <w:t>培育形成新物种企业集群</w:t>
      </w:r>
      <w:r>
        <w:rPr>
          <w:rFonts w:hint="eastAsia" w:eastAsia="方正仿宋_GBK" w:cs="Times New Roman"/>
          <w:sz w:val="32"/>
          <w:szCs w:val="32"/>
          <w:lang w:val="en-US" w:eastAsia="zh-CN"/>
        </w:rPr>
        <w:t>:推动数实融合新赛道企业落地，鼓励开展数实融合关键核心技术攻关，推动数实融合产品进入下游应用；</w:t>
      </w:r>
      <w:r>
        <w:rPr>
          <w:rFonts w:hint="eastAsia" w:ascii="Times New Roman" w:hAnsi="Times New Roman" w:eastAsia="方正仿宋_GBK" w:cs="Times New Roman"/>
          <w:b/>
          <w:sz w:val="32"/>
          <w:szCs w:val="32"/>
          <w:lang w:val="en-US" w:eastAsia="zh-CN"/>
        </w:rPr>
        <w:t>三是</w:t>
      </w:r>
      <w:r>
        <w:rPr>
          <w:rFonts w:hint="eastAsia" w:eastAsia="方正仿宋_GBK" w:cs="Times New Roman"/>
          <w:sz w:val="32"/>
          <w:szCs w:val="32"/>
          <w:lang w:val="en-US" w:eastAsia="zh-CN"/>
        </w:rPr>
        <w:t>加强数实融合场景建设:鼓励高校院所和龙头企业开放创新资源,支持大企业面向中小微企业开放场景,支持新技术新产品落地应用;</w:t>
      </w:r>
      <w:r>
        <w:rPr>
          <w:rFonts w:hint="eastAsia" w:ascii="Times New Roman" w:hAnsi="Times New Roman" w:eastAsia="方正仿宋_GBK" w:cs="Times New Roman"/>
          <w:b/>
          <w:sz w:val="32"/>
          <w:szCs w:val="32"/>
          <w:lang w:val="en-US" w:eastAsia="zh-CN"/>
        </w:rPr>
        <w:t>四是</w:t>
      </w:r>
      <w:r>
        <w:rPr>
          <w:rFonts w:hint="eastAsia" w:eastAsia="方正仿宋_GBK" w:cs="Times New Roman"/>
          <w:sz w:val="32"/>
          <w:szCs w:val="32"/>
          <w:lang w:val="en-US" w:eastAsia="zh-CN"/>
        </w:rPr>
        <w:t>丰富数实融合要素供给：充分发挥现有基金引导作用，探索开展“先投后股”试点，强化数字经济人才集聚培养。</w:t>
      </w:r>
      <w:r>
        <w:rPr>
          <w:rFonts w:hint="eastAsia" w:ascii="黑体" w:hAnsi="黑体" w:eastAsia="黑体" w:cs="Times New Roman"/>
          <w:bCs/>
          <w:kern w:val="2"/>
          <w:sz w:val="32"/>
          <w:szCs w:val="32"/>
          <w:lang w:val="en-US" w:eastAsia="zh-CN" w:bidi="ar-SA"/>
        </w:rPr>
        <w:t>五是</w:t>
      </w:r>
      <w:r>
        <w:rPr>
          <w:rFonts w:hint="eastAsia" w:eastAsia="方正仿宋_GBK" w:cs="Times New Roman"/>
          <w:sz w:val="32"/>
          <w:szCs w:val="32"/>
          <w:lang w:val="en-US" w:eastAsia="zh-CN"/>
        </w:rPr>
        <w:t>提升数字化新治理能力：推动公共数据资源开放共享，持续推进数实融合品牌建设，积极建立包容审慎制度保障。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四、主要特点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一是形成集群效应。如打造重大产业平台和载体，加快长春药谷、长春光谷、数字经济产业园、新材料产业基地等特色园区建设，建设公共技术服务平台，将从事人工智能、物联网等数字产业化领域的人才纳入高层次人才认定范围，对企业引进该类型人才进行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二是支持力度大。如鼓励开展数实融合关键核心技术攻关，对牵头联合区内企业开展定向技术工管的下游应用企业，按实际支付委托开发费的30%给予补贴，单个项目最高补贴500万元，单个企业年度最高补贴1500万元。对获得国家、省、市重大科技专项的企业或项目，按照“就高不就低”原则，给予50%的区级配套，单一项目配套资助金额不超过1000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三是注重实用性。如推动数实融合产品进入下游应用。鼓励高校院所和龙头企业开放创新资源，支持大企业面向中小微企业开放场景，支持新技术新产品落地应用。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四是注重保障。如推动公共数据资源开放共享，持续推进数实融合品牌建设，建立包容审慎制度保障，在“成长包容期”内采用首违不罚、信用承诺、提示约谈、行政告诫等柔性监管方式。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华文中宋">
    <w:altName w:val="方正书宋_GBK"/>
    <w:panose1 w:val="02010600040101010101"/>
    <w:charset w:val="00"/>
    <w:family w:val="auto"/>
    <w:pitch w:val="default"/>
    <w:sig w:usb0="00000000" w:usb1="00000000" w:usb2="00000010" w:usb3="00000000" w:csb0="0004009F" w:csb1="00000000"/>
  </w:font>
  <w:font w:name="方正仿宋_GBK">
    <w:panose1 w:val="02000000000000000000"/>
    <w:charset w:val="86"/>
    <w:family w:val="auto"/>
    <w:pitch w:val="default"/>
    <w:sig w:usb0="A00002BF" w:usb1="38CF7CFA" w:usb2="00082016" w:usb3="00000000" w:csb0="00040001" w:csb1="00000000"/>
  </w:font>
  <w:font w:name="MT Extra">
    <w:panose1 w:val="02000609000000000000"/>
    <w:charset w:val="00"/>
    <w:family w:val="roman"/>
    <w:pitch w:val="default"/>
    <w:sig w:usb0="00000001" w:usb1="00000000" w:usb2="00000000" w:usb3="00000000" w:csb0="0000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CD5F08B3"/>
    <w:rsid w:val="CF77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周见远</cp:lastModifiedBy>
  <dcterms:modified xsi:type="dcterms:W3CDTF">2023-11-29T16:03:20Z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