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6B55B">
      <w:pPr>
        <w:rPr>
          <w:sz w:val="36"/>
          <w:szCs w:val="36"/>
        </w:rPr>
      </w:pPr>
    </w:p>
    <w:p w14:paraId="09C43390">
      <w:pPr>
        <w:pStyle w:val="21"/>
      </w:pPr>
    </w:p>
    <w:p w14:paraId="440006F5">
      <w:pPr>
        <w:rPr>
          <w:sz w:val="36"/>
          <w:szCs w:val="36"/>
        </w:rPr>
      </w:pPr>
    </w:p>
    <w:p w14:paraId="1FD2BD1C">
      <w:pPr>
        <w:rPr>
          <w:sz w:val="36"/>
          <w:szCs w:val="36"/>
        </w:rPr>
      </w:pPr>
    </w:p>
    <w:p w14:paraId="7AE79010">
      <w:pPr>
        <w:rPr>
          <w:sz w:val="36"/>
          <w:szCs w:val="36"/>
        </w:rPr>
      </w:pPr>
    </w:p>
    <w:p w14:paraId="2126D5FD">
      <w:pPr>
        <w:rPr>
          <w:sz w:val="36"/>
          <w:szCs w:val="36"/>
        </w:rPr>
      </w:pPr>
    </w:p>
    <w:p w14:paraId="1C180AF9">
      <w:pPr>
        <w:adjustRightInd w:val="0"/>
        <w:snapToGrid w:val="0"/>
        <w:jc w:val="center"/>
        <w:outlineLvl w:val="0"/>
        <w:rPr>
          <w:bCs/>
          <w:sz w:val="72"/>
          <w:szCs w:val="72"/>
        </w:rPr>
      </w:pPr>
      <w:r>
        <w:rPr>
          <w:bCs/>
          <w:sz w:val="72"/>
          <w:szCs w:val="72"/>
        </w:rPr>
        <w:t>建设项目环境影响报告表</w:t>
      </w:r>
    </w:p>
    <w:p w14:paraId="01E96543">
      <w:pPr>
        <w:adjustRightInd w:val="0"/>
        <w:snapToGrid w:val="0"/>
        <w:spacing w:before="192" w:beforeLines="80"/>
        <w:jc w:val="center"/>
        <w:rPr>
          <w:bCs/>
          <w:sz w:val="48"/>
          <w:szCs w:val="48"/>
        </w:rPr>
      </w:pPr>
      <w:r>
        <w:rPr>
          <w:bCs/>
          <w:sz w:val="48"/>
          <w:szCs w:val="48"/>
        </w:rPr>
        <w:t>（污染影响类）</w:t>
      </w:r>
    </w:p>
    <w:p w14:paraId="58386EE4">
      <w:pPr>
        <w:adjustRightInd w:val="0"/>
        <w:snapToGrid w:val="0"/>
        <w:spacing w:line="288" w:lineRule="auto"/>
        <w:jc w:val="center"/>
        <w:rPr>
          <w:sz w:val="32"/>
          <w:szCs w:val="32"/>
        </w:rPr>
      </w:pPr>
    </w:p>
    <w:p w14:paraId="70378486">
      <w:pPr>
        <w:adjustRightInd w:val="0"/>
        <w:snapToGrid w:val="0"/>
        <w:spacing w:line="288" w:lineRule="auto"/>
        <w:jc w:val="center"/>
        <w:rPr>
          <w:sz w:val="32"/>
          <w:szCs w:val="32"/>
        </w:rPr>
      </w:pPr>
    </w:p>
    <w:p w14:paraId="3487D395">
      <w:pPr>
        <w:adjustRightInd w:val="0"/>
        <w:snapToGrid w:val="0"/>
        <w:spacing w:line="288" w:lineRule="auto"/>
        <w:jc w:val="center"/>
        <w:rPr>
          <w:sz w:val="32"/>
          <w:szCs w:val="32"/>
        </w:rPr>
      </w:pPr>
    </w:p>
    <w:p w14:paraId="299A5F1B">
      <w:pPr>
        <w:adjustRightInd w:val="0"/>
        <w:snapToGrid w:val="0"/>
        <w:spacing w:line="288" w:lineRule="auto"/>
        <w:jc w:val="center"/>
        <w:rPr>
          <w:sz w:val="32"/>
          <w:szCs w:val="32"/>
        </w:rPr>
      </w:pPr>
    </w:p>
    <w:p w14:paraId="166B8A1C">
      <w:pPr>
        <w:adjustRightInd w:val="0"/>
        <w:snapToGrid w:val="0"/>
        <w:spacing w:line="288" w:lineRule="auto"/>
        <w:jc w:val="center"/>
        <w:rPr>
          <w:sz w:val="32"/>
          <w:szCs w:val="32"/>
        </w:rPr>
      </w:pPr>
    </w:p>
    <w:p w14:paraId="7920892B">
      <w:pPr>
        <w:adjustRightInd w:val="0"/>
        <w:snapToGrid w:val="0"/>
        <w:spacing w:line="288" w:lineRule="auto"/>
        <w:jc w:val="center"/>
        <w:rPr>
          <w:sz w:val="32"/>
          <w:szCs w:val="32"/>
        </w:rPr>
      </w:pPr>
    </w:p>
    <w:p w14:paraId="70A44816">
      <w:pPr>
        <w:adjustRightInd w:val="0"/>
        <w:snapToGrid w:val="0"/>
        <w:spacing w:line="288" w:lineRule="auto"/>
        <w:jc w:val="center"/>
        <w:rPr>
          <w:sz w:val="32"/>
          <w:szCs w:val="32"/>
        </w:rPr>
      </w:pPr>
    </w:p>
    <w:p w14:paraId="28C3CC75"/>
    <w:p w14:paraId="538627CF">
      <w:pPr>
        <w:adjustRightInd w:val="0"/>
        <w:snapToGrid w:val="0"/>
        <w:spacing w:line="288" w:lineRule="auto"/>
        <w:ind w:firstLine="640" w:firstLineChars="200"/>
        <w:rPr>
          <w:sz w:val="32"/>
          <w:szCs w:val="32"/>
        </w:rPr>
      </w:pPr>
    </w:p>
    <w:p w14:paraId="5B904240">
      <w:pPr>
        <w:adjustRightInd w:val="0"/>
        <w:snapToGrid w:val="0"/>
        <w:spacing w:line="288" w:lineRule="auto"/>
        <w:ind w:firstLine="640" w:firstLineChars="200"/>
        <w:rPr>
          <w:sz w:val="32"/>
          <w:szCs w:val="32"/>
        </w:rPr>
      </w:pPr>
    </w:p>
    <w:p w14:paraId="5B07F7AD">
      <w:pPr>
        <w:adjustRightInd w:val="0"/>
        <w:snapToGrid w:val="0"/>
        <w:spacing w:line="288" w:lineRule="auto"/>
        <w:ind w:left="2238" w:leftChars="304" w:hanging="1600" w:hangingChars="500"/>
        <w:rPr>
          <w:sz w:val="32"/>
          <w:szCs w:val="32"/>
        </w:rPr>
      </w:pPr>
      <w:r>
        <w:rPr>
          <w:sz w:val="32"/>
          <w:szCs w:val="32"/>
        </w:rPr>
        <w:t>项目名称：</w:t>
      </w:r>
      <w:r>
        <w:rPr>
          <w:sz w:val="32"/>
          <w:szCs w:val="32"/>
          <w:u w:val="single"/>
        </w:rPr>
        <w:t>大型钢结构用长效聚醚醚酮防腐</w:t>
      </w:r>
      <w:r>
        <w:rPr>
          <w:rFonts w:hint="eastAsia"/>
          <w:sz w:val="32"/>
          <w:szCs w:val="32"/>
          <w:u w:val="single"/>
        </w:rPr>
        <w:t xml:space="preserve">涂料项目  </w:t>
      </w:r>
    </w:p>
    <w:p w14:paraId="7DCFBE1F">
      <w:pPr>
        <w:adjustRightInd w:val="0"/>
        <w:snapToGrid w:val="0"/>
        <w:spacing w:line="288" w:lineRule="auto"/>
        <w:ind w:firstLine="640" w:firstLineChars="200"/>
        <w:rPr>
          <w:rFonts w:hint="default" w:eastAsia="宋体"/>
          <w:sz w:val="32"/>
          <w:szCs w:val="32"/>
          <w:lang w:val="en-US" w:eastAsia="zh-CN"/>
        </w:rPr>
      </w:pPr>
      <w:r>
        <w:rPr>
          <w:sz w:val="32"/>
          <w:szCs w:val="32"/>
        </w:rPr>
        <w:t>建设单位：</w:t>
      </w:r>
      <w:r>
        <w:rPr>
          <w:rFonts w:hint="eastAsia"/>
          <w:sz w:val="32"/>
          <w:szCs w:val="32"/>
          <w:u w:val="single"/>
        </w:rPr>
        <w:t xml:space="preserve">      长春安德隆新材料有限</w:t>
      </w:r>
      <w:r>
        <w:rPr>
          <w:sz w:val="32"/>
          <w:szCs w:val="32"/>
          <w:u w:val="single"/>
        </w:rPr>
        <w:t>公司</w:t>
      </w:r>
      <w:r>
        <w:rPr>
          <w:rFonts w:hint="eastAsia"/>
          <w:sz w:val="32"/>
          <w:szCs w:val="32"/>
          <w:u w:val="single"/>
        </w:rPr>
        <w:t xml:space="preserve">    </w:t>
      </w:r>
      <w:r>
        <w:rPr>
          <w:rFonts w:hint="eastAsia"/>
          <w:sz w:val="32"/>
          <w:szCs w:val="32"/>
          <w:u w:val="single"/>
          <w:lang w:val="en-US" w:eastAsia="zh-CN"/>
        </w:rPr>
        <w:t xml:space="preserve">    </w:t>
      </w:r>
    </w:p>
    <w:p w14:paraId="6769B8D1">
      <w:pPr>
        <w:adjustRightInd w:val="0"/>
        <w:snapToGrid w:val="0"/>
        <w:spacing w:line="288" w:lineRule="auto"/>
        <w:ind w:firstLine="640" w:firstLineChars="200"/>
        <w:rPr>
          <w:rFonts w:hint="default" w:eastAsia="宋体"/>
          <w:sz w:val="32"/>
          <w:szCs w:val="32"/>
          <w:lang w:val="en-US" w:eastAsia="zh-CN"/>
        </w:rPr>
      </w:pPr>
      <w:r>
        <w:rPr>
          <w:sz w:val="32"/>
          <w:szCs w:val="32"/>
        </w:rPr>
        <w:t>编制日期：</w:t>
      </w:r>
      <w:r>
        <w:rPr>
          <w:rFonts w:hint="eastAsia"/>
          <w:sz w:val="32"/>
          <w:szCs w:val="32"/>
          <w:u w:val="single"/>
        </w:rPr>
        <w:t xml:space="preserve">             2</w:t>
      </w:r>
      <w:r>
        <w:rPr>
          <w:sz w:val="32"/>
          <w:szCs w:val="32"/>
          <w:u w:val="single"/>
        </w:rPr>
        <w:t>02</w:t>
      </w:r>
      <w:r>
        <w:rPr>
          <w:rFonts w:hint="eastAsia"/>
          <w:sz w:val="32"/>
          <w:szCs w:val="32"/>
          <w:u w:val="single"/>
        </w:rPr>
        <w:t>4</w:t>
      </w:r>
      <w:r>
        <w:rPr>
          <w:sz w:val="32"/>
          <w:szCs w:val="32"/>
          <w:u w:val="single"/>
        </w:rPr>
        <w:t>年</w:t>
      </w:r>
      <w:r>
        <w:rPr>
          <w:rFonts w:hint="eastAsia"/>
          <w:sz w:val="32"/>
          <w:szCs w:val="32"/>
          <w:u w:val="single"/>
          <w:lang w:val="en-US" w:eastAsia="zh-CN"/>
        </w:rPr>
        <w:t>12</w:t>
      </w:r>
      <w:r>
        <w:rPr>
          <w:sz w:val="32"/>
          <w:szCs w:val="32"/>
          <w:u w:val="single"/>
        </w:rPr>
        <w:t>月</w:t>
      </w:r>
      <w:r>
        <w:rPr>
          <w:rFonts w:hint="eastAsia"/>
          <w:sz w:val="32"/>
          <w:szCs w:val="32"/>
          <w:u w:val="single"/>
        </w:rPr>
        <w:t xml:space="preserve">           </w:t>
      </w:r>
      <w:r>
        <w:rPr>
          <w:rFonts w:hint="eastAsia"/>
          <w:sz w:val="32"/>
          <w:szCs w:val="32"/>
          <w:u w:val="single"/>
          <w:lang w:val="en-US" w:eastAsia="zh-CN"/>
        </w:rPr>
        <w:t xml:space="preserve">   </w:t>
      </w:r>
    </w:p>
    <w:p w14:paraId="4F3D29AF">
      <w:pPr>
        <w:adjustRightInd w:val="0"/>
        <w:snapToGrid w:val="0"/>
        <w:spacing w:line="288" w:lineRule="auto"/>
        <w:ind w:firstLine="1040"/>
        <w:rPr>
          <w:sz w:val="36"/>
          <w:szCs w:val="36"/>
        </w:rPr>
      </w:pPr>
      <w:bookmarkStart w:id="0" w:name="_Hlk57884087"/>
    </w:p>
    <w:p w14:paraId="15273FE5">
      <w:pPr>
        <w:adjustRightInd w:val="0"/>
        <w:snapToGrid w:val="0"/>
        <w:spacing w:line="288" w:lineRule="auto"/>
        <w:ind w:firstLine="1040"/>
        <w:rPr>
          <w:sz w:val="36"/>
          <w:szCs w:val="36"/>
        </w:rPr>
      </w:pPr>
    </w:p>
    <w:p w14:paraId="300F98FB">
      <w:pPr>
        <w:adjustRightInd w:val="0"/>
        <w:snapToGrid w:val="0"/>
        <w:spacing w:line="288" w:lineRule="auto"/>
        <w:ind w:firstLine="1040"/>
        <w:rPr>
          <w:sz w:val="36"/>
          <w:szCs w:val="36"/>
        </w:rPr>
      </w:pPr>
    </w:p>
    <w:bookmarkEnd w:id="0"/>
    <w:p w14:paraId="7AEA4209">
      <w:pPr>
        <w:adjustRightInd w:val="0"/>
        <w:snapToGrid w:val="0"/>
        <w:spacing w:line="288" w:lineRule="auto"/>
        <w:jc w:val="center"/>
        <w:rPr>
          <w:sz w:val="36"/>
          <w:szCs w:val="36"/>
        </w:rPr>
      </w:pPr>
    </w:p>
    <w:p w14:paraId="51316404">
      <w:pPr>
        <w:adjustRightInd w:val="0"/>
        <w:snapToGrid w:val="0"/>
        <w:spacing w:line="288" w:lineRule="auto"/>
        <w:jc w:val="center"/>
        <w:rPr>
          <w:sz w:val="36"/>
          <w:szCs w:val="36"/>
        </w:rPr>
        <w:sectPr>
          <w:footerReference r:id="rId3" w:type="default"/>
          <w:pgSz w:w="11906" w:h="16838"/>
          <w:pgMar w:top="1701" w:right="1531" w:bottom="1701" w:left="1531" w:header="851" w:footer="1077" w:gutter="0"/>
          <w:pgNumType w:start="1"/>
          <w:cols w:space="720" w:num="1"/>
          <w:docGrid w:linePitch="312" w:charSpace="0"/>
        </w:sectPr>
      </w:pPr>
      <w:r>
        <w:rPr>
          <w:sz w:val="36"/>
          <w:szCs w:val="36"/>
        </w:rPr>
        <w:t>中华人民共和国生态环境部制</w:t>
      </w:r>
    </w:p>
    <w:p w14:paraId="4B995F63">
      <w:pPr>
        <w:adjustRightInd w:val="0"/>
        <w:snapToGrid w:val="0"/>
        <w:spacing w:line="288" w:lineRule="auto"/>
        <w:jc w:val="center"/>
        <w:rPr>
          <w:sz w:val="36"/>
          <w:szCs w:val="36"/>
        </w:rPr>
        <w:sectPr>
          <w:pgSz w:w="11906" w:h="16838"/>
          <w:pgMar w:top="1701" w:right="1531" w:bottom="1701" w:left="1531" w:header="851" w:footer="1077" w:gutter="0"/>
          <w:pgNumType w:start="1"/>
          <w:cols w:space="720" w:num="1"/>
          <w:docGrid w:linePitch="312" w:charSpace="0"/>
        </w:sectPr>
      </w:pPr>
    </w:p>
    <w:p w14:paraId="5627E1C2">
      <w:pPr>
        <w:adjustRightInd w:val="0"/>
        <w:snapToGrid w:val="0"/>
        <w:jc w:val="center"/>
        <w:rPr>
          <w:b/>
          <w:sz w:val="30"/>
          <w:szCs w:val="30"/>
        </w:rPr>
      </w:pPr>
      <w:r>
        <w:rPr>
          <w:rFonts w:hint="eastAsia"/>
          <w:b/>
          <w:sz w:val="30"/>
          <w:szCs w:val="30"/>
        </w:rPr>
        <w:t>修改清单</w:t>
      </w:r>
    </w:p>
    <w:tbl>
      <w:tblPr>
        <w:tblStyle w:val="2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5430"/>
        <w:gridCol w:w="1247"/>
        <w:gridCol w:w="1670"/>
      </w:tblGrid>
      <w:tr w14:paraId="77D5B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14:paraId="5FE8BADE">
            <w:pPr>
              <w:jc w:val="center"/>
              <w:rPr>
                <w:rFonts w:hint="default" w:ascii="Times New Roman" w:hAnsi="Times New Roman" w:eastAsia="宋体" w:cs="Times New Roman"/>
                <w:sz w:val="24"/>
              </w:rPr>
            </w:pPr>
            <w:r>
              <w:rPr>
                <w:rFonts w:hint="default" w:ascii="Times New Roman" w:hAnsi="Times New Roman" w:eastAsia="宋体" w:cs="Times New Roman"/>
                <w:sz w:val="24"/>
              </w:rPr>
              <w:t>序号</w:t>
            </w:r>
          </w:p>
        </w:tc>
        <w:tc>
          <w:tcPr>
            <w:tcW w:w="2997" w:type="pct"/>
            <w:tcBorders>
              <w:top w:val="single" w:color="auto" w:sz="4" w:space="0"/>
              <w:left w:val="single" w:color="auto" w:sz="4" w:space="0"/>
              <w:bottom w:val="single" w:color="auto" w:sz="4" w:space="0"/>
              <w:right w:val="single" w:color="auto" w:sz="4" w:space="0"/>
            </w:tcBorders>
            <w:noWrap w:val="0"/>
            <w:vAlign w:val="center"/>
          </w:tcPr>
          <w:p w14:paraId="1ACA5048">
            <w:pPr>
              <w:jc w:val="center"/>
              <w:rPr>
                <w:rFonts w:hint="default" w:ascii="Times New Roman" w:hAnsi="Times New Roman" w:eastAsia="宋体" w:cs="Times New Roman"/>
                <w:sz w:val="24"/>
              </w:rPr>
            </w:pPr>
            <w:r>
              <w:rPr>
                <w:rFonts w:hint="default" w:ascii="Times New Roman" w:hAnsi="Times New Roman" w:eastAsia="宋体" w:cs="Times New Roman"/>
                <w:sz w:val="24"/>
              </w:rPr>
              <w:t>专家意见</w:t>
            </w:r>
          </w:p>
        </w:tc>
        <w:tc>
          <w:tcPr>
            <w:tcW w:w="688" w:type="pct"/>
            <w:tcBorders>
              <w:top w:val="single" w:color="auto" w:sz="4" w:space="0"/>
              <w:left w:val="single" w:color="auto" w:sz="4" w:space="0"/>
              <w:bottom w:val="single" w:color="auto" w:sz="4" w:space="0"/>
              <w:right w:val="single" w:color="auto" w:sz="4" w:space="0"/>
            </w:tcBorders>
            <w:noWrap w:val="0"/>
            <w:vAlign w:val="center"/>
          </w:tcPr>
          <w:p w14:paraId="7CABE60A">
            <w:pPr>
              <w:jc w:val="center"/>
              <w:rPr>
                <w:rFonts w:hint="default" w:ascii="Times New Roman" w:hAnsi="Times New Roman" w:eastAsia="宋体" w:cs="Times New Roman"/>
                <w:sz w:val="24"/>
              </w:rPr>
            </w:pPr>
            <w:r>
              <w:rPr>
                <w:rFonts w:hint="default" w:ascii="Times New Roman" w:hAnsi="Times New Roman" w:eastAsia="宋体" w:cs="Times New Roman"/>
                <w:sz w:val="24"/>
              </w:rPr>
              <w:t>修改内容</w:t>
            </w:r>
          </w:p>
        </w:tc>
        <w:tc>
          <w:tcPr>
            <w:tcW w:w="922" w:type="pct"/>
            <w:tcBorders>
              <w:top w:val="single" w:color="auto" w:sz="4" w:space="0"/>
              <w:left w:val="single" w:color="auto" w:sz="4" w:space="0"/>
              <w:bottom w:val="single" w:color="auto" w:sz="4" w:space="0"/>
              <w:right w:val="single" w:color="auto" w:sz="4" w:space="0"/>
            </w:tcBorders>
            <w:noWrap w:val="0"/>
            <w:vAlign w:val="center"/>
          </w:tcPr>
          <w:p w14:paraId="5FDC5C4E">
            <w:pPr>
              <w:jc w:val="center"/>
              <w:rPr>
                <w:rFonts w:hint="default" w:ascii="Times New Roman" w:hAnsi="Times New Roman" w:eastAsia="宋体" w:cs="Times New Roman"/>
                <w:sz w:val="24"/>
              </w:rPr>
            </w:pPr>
            <w:r>
              <w:rPr>
                <w:rFonts w:hint="default" w:ascii="Times New Roman" w:hAnsi="Times New Roman" w:eastAsia="宋体" w:cs="Times New Roman"/>
                <w:sz w:val="24"/>
              </w:rPr>
              <w:t>修改位置</w:t>
            </w:r>
          </w:p>
        </w:tc>
      </w:tr>
      <w:tr w14:paraId="6EA1C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14:paraId="7829073E">
            <w:pPr>
              <w:jc w:val="center"/>
              <w:rPr>
                <w:rFonts w:hint="default" w:ascii="Times New Roman" w:hAnsi="Times New Roman" w:eastAsia="宋体" w:cs="Times New Roman"/>
                <w:sz w:val="24"/>
              </w:rPr>
            </w:pPr>
            <w:r>
              <w:rPr>
                <w:rFonts w:hint="default" w:ascii="Times New Roman" w:hAnsi="Times New Roman" w:eastAsia="宋体" w:cs="Times New Roman"/>
                <w:sz w:val="24"/>
              </w:rPr>
              <w:t>1</w:t>
            </w:r>
          </w:p>
        </w:tc>
        <w:tc>
          <w:tcPr>
            <w:tcW w:w="2997" w:type="pct"/>
            <w:tcBorders>
              <w:top w:val="single" w:color="auto" w:sz="4" w:space="0"/>
              <w:left w:val="single" w:color="auto" w:sz="4" w:space="0"/>
              <w:bottom w:val="single" w:color="auto" w:sz="4" w:space="0"/>
              <w:right w:val="single" w:color="auto" w:sz="4" w:space="0"/>
            </w:tcBorders>
            <w:noWrap w:val="0"/>
            <w:vAlign w:val="center"/>
          </w:tcPr>
          <w:p w14:paraId="5C903C02">
            <w:pPr>
              <w:jc w:val="center"/>
              <w:rPr>
                <w:rFonts w:hint="default" w:ascii="Times New Roman" w:hAnsi="Times New Roman" w:eastAsia="宋体" w:cs="Times New Roman"/>
                <w:sz w:val="24"/>
              </w:rPr>
            </w:pPr>
            <w:r>
              <w:rPr>
                <w:rFonts w:hint="default" w:ascii="Times New Roman" w:hAnsi="Times New Roman" w:eastAsia="宋体" w:cs="Times New Roman"/>
                <w:sz w:val="24"/>
              </w:rPr>
              <w:t>对照《国民经济行业分类》(GBT 4754-2017)2019，进一步明确本项目行业类别，完善产业政策相符性分析，复核环评文件类别。</w:t>
            </w:r>
          </w:p>
        </w:tc>
        <w:tc>
          <w:tcPr>
            <w:tcW w:w="688" w:type="pct"/>
            <w:tcBorders>
              <w:top w:val="single" w:color="auto" w:sz="4" w:space="0"/>
              <w:left w:val="single" w:color="auto" w:sz="4" w:space="0"/>
              <w:bottom w:val="single" w:color="auto" w:sz="4" w:space="0"/>
              <w:right w:val="single" w:color="auto" w:sz="4" w:space="0"/>
            </w:tcBorders>
            <w:noWrap w:val="0"/>
            <w:vAlign w:val="center"/>
          </w:tcPr>
          <w:p w14:paraId="6B0DF3FD">
            <w:pPr>
              <w:jc w:val="center"/>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已复核</w:t>
            </w:r>
          </w:p>
        </w:tc>
        <w:tc>
          <w:tcPr>
            <w:tcW w:w="922" w:type="pct"/>
            <w:tcBorders>
              <w:top w:val="single" w:color="auto" w:sz="4" w:space="0"/>
              <w:left w:val="single" w:color="auto" w:sz="4" w:space="0"/>
              <w:bottom w:val="single" w:color="auto" w:sz="4" w:space="0"/>
              <w:right w:val="single" w:color="auto" w:sz="4" w:space="0"/>
            </w:tcBorders>
            <w:noWrap w:val="0"/>
            <w:vAlign w:val="center"/>
          </w:tcPr>
          <w:p w14:paraId="38E6D761">
            <w:pPr>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P3</w:t>
            </w:r>
          </w:p>
        </w:tc>
      </w:tr>
      <w:tr w14:paraId="771DA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14:paraId="75A7D01E">
            <w:pPr>
              <w:jc w:val="center"/>
              <w:rPr>
                <w:rFonts w:hint="default" w:ascii="Times New Roman" w:hAnsi="Times New Roman" w:eastAsia="宋体" w:cs="Times New Roman"/>
                <w:sz w:val="24"/>
              </w:rPr>
            </w:pPr>
            <w:r>
              <w:rPr>
                <w:rFonts w:hint="default" w:ascii="Times New Roman" w:hAnsi="Times New Roman" w:eastAsia="宋体" w:cs="Times New Roman"/>
                <w:sz w:val="24"/>
              </w:rPr>
              <w:t>2</w:t>
            </w:r>
          </w:p>
        </w:tc>
        <w:tc>
          <w:tcPr>
            <w:tcW w:w="2997" w:type="pct"/>
            <w:tcBorders>
              <w:top w:val="single" w:color="auto" w:sz="4" w:space="0"/>
              <w:left w:val="single" w:color="auto" w:sz="4" w:space="0"/>
              <w:bottom w:val="single" w:color="auto" w:sz="4" w:space="0"/>
              <w:right w:val="single" w:color="auto" w:sz="4" w:space="0"/>
            </w:tcBorders>
            <w:noWrap w:val="0"/>
            <w:vAlign w:val="center"/>
          </w:tcPr>
          <w:p w14:paraId="651A8216">
            <w:pPr>
              <w:jc w:val="center"/>
              <w:rPr>
                <w:rFonts w:hint="default" w:ascii="Times New Roman" w:hAnsi="Times New Roman" w:eastAsia="宋体" w:cs="Times New Roman"/>
                <w:sz w:val="24"/>
              </w:rPr>
            </w:pPr>
            <w:r>
              <w:rPr>
                <w:rFonts w:hint="default" w:ascii="Times New Roman" w:hAnsi="Times New Roman" w:eastAsia="宋体" w:cs="Times New Roman"/>
                <w:sz w:val="24"/>
              </w:rPr>
              <w:t>依据《关于加强生态环境分区管控的若干措施》和《吉林省人民政府关于加强吉林省生态环境分区管控的实施意见</w:t>
            </w:r>
            <w:r>
              <w:rPr>
                <w:rFonts w:hint="eastAsia" w:ascii="Times New Roman" w:hAnsi="Times New Roman" w:eastAsia="宋体" w:cs="Times New Roman"/>
                <w:sz w:val="24"/>
                <w:lang w:eastAsia="zh-CN"/>
              </w:rPr>
              <w:t>（</w:t>
            </w:r>
            <w:r>
              <w:rPr>
                <w:rFonts w:hint="default" w:ascii="Times New Roman" w:hAnsi="Times New Roman" w:eastAsia="宋体" w:cs="Times New Roman"/>
                <w:sz w:val="24"/>
              </w:rPr>
              <w:t>代拟稿</w:t>
            </w:r>
            <w:r>
              <w:rPr>
                <w:rFonts w:hint="eastAsia" w:ascii="Times New Roman" w:hAnsi="Times New Roman" w:eastAsia="宋体" w:cs="Times New Roman"/>
                <w:sz w:val="24"/>
                <w:lang w:eastAsia="zh-CN"/>
              </w:rPr>
              <w:t>）</w:t>
            </w:r>
            <w:r>
              <w:rPr>
                <w:rFonts w:hint="default" w:ascii="Times New Roman" w:hAnsi="Times New Roman" w:eastAsia="宋体" w:cs="Times New Roman"/>
                <w:sz w:val="24"/>
              </w:rPr>
              <w:t>代拟稿》，更新长春市总体准入要求和北湖科技开发区生态环境准入清单。</w:t>
            </w:r>
          </w:p>
        </w:tc>
        <w:tc>
          <w:tcPr>
            <w:tcW w:w="688" w:type="pct"/>
            <w:tcBorders>
              <w:top w:val="single" w:color="auto" w:sz="4" w:space="0"/>
              <w:left w:val="single" w:color="auto" w:sz="4" w:space="0"/>
              <w:bottom w:val="single" w:color="auto" w:sz="4" w:space="0"/>
              <w:right w:val="single" w:color="auto" w:sz="4" w:space="0"/>
            </w:tcBorders>
            <w:noWrap w:val="0"/>
            <w:vAlign w:val="center"/>
          </w:tcPr>
          <w:p w14:paraId="2F91E94D">
            <w:pPr>
              <w:jc w:val="center"/>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已更新</w:t>
            </w:r>
          </w:p>
        </w:tc>
        <w:tc>
          <w:tcPr>
            <w:tcW w:w="922" w:type="pct"/>
            <w:tcBorders>
              <w:top w:val="single" w:color="auto" w:sz="4" w:space="0"/>
              <w:left w:val="single" w:color="auto" w:sz="4" w:space="0"/>
              <w:bottom w:val="single" w:color="auto" w:sz="4" w:space="0"/>
              <w:right w:val="single" w:color="auto" w:sz="4" w:space="0"/>
            </w:tcBorders>
            <w:noWrap w:val="0"/>
            <w:vAlign w:val="center"/>
          </w:tcPr>
          <w:p w14:paraId="031A3E26">
            <w:pPr>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P4-P10</w:t>
            </w:r>
          </w:p>
        </w:tc>
      </w:tr>
      <w:tr w14:paraId="45961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14:paraId="2DC5A2FA">
            <w:pPr>
              <w:jc w:val="center"/>
              <w:rPr>
                <w:rFonts w:hint="default" w:ascii="Times New Roman" w:hAnsi="Times New Roman" w:eastAsia="宋体" w:cs="Times New Roman"/>
                <w:sz w:val="24"/>
              </w:rPr>
            </w:pPr>
            <w:r>
              <w:rPr>
                <w:rFonts w:hint="default" w:ascii="Times New Roman" w:hAnsi="Times New Roman" w:eastAsia="宋体" w:cs="Times New Roman"/>
                <w:sz w:val="24"/>
              </w:rPr>
              <w:t>3</w:t>
            </w:r>
          </w:p>
        </w:tc>
        <w:tc>
          <w:tcPr>
            <w:tcW w:w="2997" w:type="pct"/>
            <w:tcBorders>
              <w:top w:val="single" w:color="auto" w:sz="4" w:space="0"/>
              <w:left w:val="single" w:color="auto" w:sz="4" w:space="0"/>
              <w:bottom w:val="single" w:color="auto" w:sz="4" w:space="0"/>
              <w:right w:val="single" w:color="auto" w:sz="4" w:space="0"/>
            </w:tcBorders>
            <w:noWrap w:val="0"/>
            <w:vAlign w:val="center"/>
          </w:tcPr>
          <w:p w14:paraId="09E976D5">
            <w:pPr>
              <w:jc w:val="center"/>
              <w:rPr>
                <w:rFonts w:hint="default" w:ascii="Times New Roman" w:hAnsi="Times New Roman" w:eastAsia="宋体" w:cs="Times New Roman"/>
                <w:sz w:val="24"/>
              </w:rPr>
            </w:pPr>
            <w:r>
              <w:rPr>
                <w:rFonts w:hint="default" w:ascii="Times New Roman" w:hAnsi="Times New Roman" w:eastAsia="宋体" w:cs="Times New Roman"/>
                <w:sz w:val="24"/>
              </w:rPr>
              <w:t>完善工程组成表，按照《危险废物贮存污染控制标准》GB18597-2023，明确危险废物暂存间建设要求及配套环保设施，明确3#、4#、5#实验室具体性能检验项目或类别。</w:t>
            </w:r>
          </w:p>
        </w:tc>
        <w:tc>
          <w:tcPr>
            <w:tcW w:w="688" w:type="pct"/>
            <w:tcBorders>
              <w:top w:val="single" w:color="auto" w:sz="4" w:space="0"/>
              <w:left w:val="single" w:color="auto" w:sz="4" w:space="0"/>
              <w:bottom w:val="single" w:color="auto" w:sz="4" w:space="0"/>
              <w:right w:val="single" w:color="auto" w:sz="4" w:space="0"/>
            </w:tcBorders>
            <w:noWrap w:val="0"/>
            <w:vAlign w:val="center"/>
          </w:tcPr>
          <w:p w14:paraId="342E67B8">
            <w:pPr>
              <w:jc w:val="center"/>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已明确</w:t>
            </w:r>
          </w:p>
        </w:tc>
        <w:tc>
          <w:tcPr>
            <w:tcW w:w="922" w:type="pct"/>
            <w:tcBorders>
              <w:top w:val="single" w:color="auto" w:sz="4" w:space="0"/>
              <w:left w:val="single" w:color="auto" w:sz="4" w:space="0"/>
              <w:bottom w:val="single" w:color="auto" w:sz="4" w:space="0"/>
              <w:right w:val="single" w:color="auto" w:sz="4" w:space="0"/>
            </w:tcBorders>
            <w:noWrap w:val="0"/>
            <w:vAlign w:val="center"/>
          </w:tcPr>
          <w:p w14:paraId="3F005E0B">
            <w:pPr>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P13</w:t>
            </w:r>
          </w:p>
        </w:tc>
      </w:tr>
      <w:tr w14:paraId="40474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14:paraId="0474F5EB">
            <w:pPr>
              <w:jc w:val="center"/>
              <w:rPr>
                <w:rFonts w:hint="default" w:ascii="Times New Roman" w:hAnsi="Times New Roman" w:eastAsia="宋体" w:cs="Times New Roman"/>
                <w:sz w:val="24"/>
              </w:rPr>
            </w:pPr>
            <w:r>
              <w:rPr>
                <w:rFonts w:hint="default" w:ascii="Times New Roman" w:hAnsi="Times New Roman" w:eastAsia="宋体" w:cs="Times New Roman"/>
                <w:sz w:val="24"/>
              </w:rPr>
              <w:t>4</w:t>
            </w:r>
          </w:p>
        </w:tc>
        <w:tc>
          <w:tcPr>
            <w:tcW w:w="2997" w:type="pct"/>
            <w:tcBorders>
              <w:top w:val="single" w:color="auto" w:sz="4" w:space="0"/>
              <w:left w:val="single" w:color="auto" w:sz="4" w:space="0"/>
              <w:bottom w:val="single" w:color="auto" w:sz="4" w:space="0"/>
              <w:right w:val="single" w:color="auto" w:sz="4" w:space="0"/>
            </w:tcBorders>
            <w:noWrap w:val="0"/>
            <w:vAlign w:val="center"/>
          </w:tcPr>
          <w:p w14:paraId="66824132">
            <w:pPr>
              <w:jc w:val="center"/>
              <w:rPr>
                <w:rFonts w:hint="default" w:ascii="Times New Roman" w:hAnsi="Times New Roman" w:eastAsia="宋体" w:cs="Times New Roman"/>
                <w:sz w:val="24"/>
              </w:rPr>
            </w:pPr>
            <w:r>
              <w:rPr>
                <w:rFonts w:hint="default" w:ascii="Times New Roman" w:hAnsi="Times New Roman" w:eastAsia="宋体" w:cs="Times New Roman"/>
                <w:sz w:val="24"/>
              </w:rPr>
              <w:t>补充实验方案，明确实验产物种类</w:t>
            </w:r>
            <w:r>
              <w:rPr>
                <w:rFonts w:hint="eastAsia" w:ascii="Times New Roman" w:hAnsi="Times New Roman" w:eastAsia="宋体" w:cs="Times New Roman"/>
                <w:sz w:val="24"/>
                <w:lang w:eastAsia="zh-CN"/>
              </w:rPr>
              <w:t>（</w:t>
            </w:r>
            <w:r>
              <w:rPr>
                <w:rFonts w:hint="default" w:ascii="Times New Roman" w:hAnsi="Times New Roman" w:eastAsia="宋体" w:cs="Times New Roman"/>
                <w:sz w:val="24"/>
              </w:rPr>
              <w:t>实验项目不能有产品</w:t>
            </w:r>
            <w:r>
              <w:rPr>
                <w:rFonts w:hint="eastAsia" w:ascii="Times New Roman" w:hAnsi="Times New Roman" w:eastAsia="宋体" w:cs="Times New Roman"/>
                <w:sz w:val="24"/>
                <w:lang w:eastAsia="zh-CN"/>
              </w:rPr>
              <w:t>）</w:t>
            </w:r>
            <w:r>
              <w:rPr>
                <w:rFonts w:hint="default" w:ascii="Times New Roman" w:hAnsi="Times New Roman" w:eastAsia="宋体" w:cs="Times New Roman"/>
                <w:sz w:val="24"/>
              </w:rPr>
              <w:t>，明确实验指标与目标，明确实验批次。</w:t>
            </w:r>
          </w:p>
        </w:tc>
        <w:tc>
          <w:tcPr>
            <w:tcW w:w="688" w:type="pct"/>
            <w:tcBorders>
              <w:top w:val="single" w:color="auto" w:sz="4" w:space="0"/>
              <w:left w:val="single" w:color="auto" w:sz="4" w:space="0"/>
              <w:bottom w:val="single" w:color="auto" w:sz="4" w:space="0"/>
              <w:right w:val="single" w:color="auto" w:sz="4" w:space="0"/>
            </w:tcBorders>
            <w:noWrap w:val="0"/>
            <w:vAlign w:val="center"/>
          </w:tcPr>
          <w:p w14:paraId="2AD9DD47">
            <w:pPr>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已明确</w:t>
            </w:r>
          </w:p>
        </w:tc>
        <w:tc>
          <w:tcPr>
            <w:tcW w:w="922" w:type="pct"/>
            <w:tcBorders>
              <w:top w:val="single" w:color="auto" w:sz="4" w:space="0"/>
              <w:left w:val="single" w:color="auto" w:sz="4" w:space="0"/>
              <w:bottom w:val="single" w:color="auto" w:sz="4" w:space="0"/>
              <w:right w:val="single" w:color="auto" w:sz="4" w:space="0"/>
            </w:tcBorders>
            <w:noWrap w:val="0"/>
            <w:vAlign w:val="center"/>
          </w:tcPr>
          <w:p w14:paraId="6A6DA6B3">
            <w:pPr>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P14</w:t>
            </w:r>
          </w:p>
        </w:tc>
      </w:tr>
      <w:tr w14:paraId="695F9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14:paraId="1BA2A32C">
            <w:pPr>
              <w:jc w:val="center"/>
              <w:rPr>
                <w:rFonts w:hint="default" w:ascii="Times New Roman" w:hAnsi="Times New Roman" w:eastAsia="宋体" w:cs="Times New Roman"/>
                <w:sz w:val="24"/>
              </w:rPr>
            </w:pPr>
            <w:r>
              <w:rPr>
                <w:rFonts w:hint="default" w:ascii="Times New Roman" w:hAnsi="Times New Roman" w:eastAsia="宋体" w:cs="Times New Roman"/>
                <w:sz w:val="24"/>
              </w:rPr>
              <w:t>5</w:t>
            </w:r>
          </w:p>
        </w:tc>
        <w:tc>
          <w:tcPr>
            <w:tcW w:w="2997" w:type="pct"/>
            <w:tcBorders>
              <w:top w:val="single" w:color="auto" w:sz="4" w:space="0"/>
              <w:left w:val="single" w:color="auto" w:sz="4" w:space="0"/>
              <w:bottom w:val="single" w:color="auto" w:sz="4" w:space="0"/>
              <w:right w:val="single" w:color="auto" w:sz="4" w:space="0"/>
            </w:tcBorders>
            <w:noWrap w:val="0"/>
            <w:vAlign w:val="center"/>
          </w:tcPr>
          <w:p w14:paraId="20FDCDCC">
            <w:pPr>
              <w:jc w:val="center"/>
              <w:rPr>
                <w:rFonts w:hint="default" w:ascii="Times New Roman" w:hAnsi="Times New Roman" w:eastAsia="宋体" w:cs="Times New Roman"/>
                <w:sz w:val="24"/>
                <w:lang w:val="zh-CN"/>
              </w:rPr>
            </w:pPr>
            <w:r>
              <w:rPr>
                <w:rFonts w:hint="default" w:ascii="Times New Roman" w:hAnsi="Times New Roman" w:eastAsia="宋体" w:cs="Times New Roman"/>
                <w:sz w:val="24"/>
                <w:lang w:val="zh-CN"/>
              </w:rPr>
              <w:t>复核完善给排水平衡，补充物料平衡分析，复核实验设备清洗用水量，核实地面冲洗用水量及水质。复核研磨机冷却水补水及排污情况。</w:t>
            </w:r>
          </w:p>
        </w:tc>
        <w:tc>
          <w:tcPr>
            <w:tcW w:w="688" w:type="pct"/>
            <w:tcBorders>
              <w:top w:val="single" w:color="auto" w:sz="4" w:space="0"/>
              <w:left w:val="single" w:color="auto" w:sz="4" w:space="0"/>
              <w:bottom w:val="single" w:color="auto" w:sz="4" w:space="0"/>
              <w:right w:val="single" w:color="auto" w:sz="4" w:space="0"/>
            </w:tcBorders>
            <w:noWrap w:val="0"/>
            <w:vAlign w:val="center"/>
          </w:tcPr>
          <w:p w14:paraId="5700C200">
            <w:pPr>
              <w:jc w:val="center"/>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已复核</w:t>
            </w:r>
          </w:p>
        </w:tc>
        <w:tc>
          <w:tcPr>
            <w:tcW w:w="922" w:type="pct"/>
            <w:tcBorders>
              <w:top w:val="single" w:color="auto" w:sz="4" w:space="0"/>
              <w:left w:val="single" w:color="auto" w:sz="4" w:space="0"/>
              <w:bottom w:val="single" w:color="auto" w:sz="4" w:space="0"/>
              <w:right w:val="single" w:color="auto" w:sz="4" w:space="0"/>
            </w:tcBorders>
            <w:noWrap w:val="0"/>
            <w:vAlign w:val="center"/>
          </w:tcPr>
          <w:p w14:paraId="3409F362">
            <w:pPr>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P16-P17</w:t>
            </w:r>
          </w:p>
        </w:tc>
      </w:tr>
      <w:tr w14:paraId="225E8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14:paraId="27E65848">
            <w:pPr>
              <w:jc w:val="center"/>
              <w:rPr>
                <w:rFonts w:hint="default" w:ascii="Times New Roman" w:hAnsi="Times New Roman" w:eastAsia="宋体" w:cs="Times New Roman"/>
                <w:sz w:val="24"/>
              </w:rPr>
            </w:pPr>
            <w:r>
              <w:rPr>
                <w:rFonts w:hint="default" w:ascii="Times New Roman" w:hAnsi="Times New Roman" w:eastAsia="宋体" w:cs="Times New Roman"/>
                <w:sz w:val="24"/>
              </w:rPr>
              <w:t>6</w:t>
            </w:r>
          </w:p>
        </w:tc>
        <w:tc>
          <w:tcPr>
            <w:tcW w:w="2997" w:type="pct"/>
            <w:tcBorders>
              <w:top w:val="single" w:color="auto" w:sz="4" w:space="0"/>
              <w:left w:val="single" w:color="auto" w:sz="4" w:space="0"/>
              <w:bottom w:val="single" w:color="auto" w:sz="4" w:space="0"/>
              <w:right w:val="single" w:color="auto" w:sz="4" w:space="0"/>
            </w:tcBorders>
            <w:noWrap w:val="0"/>
            <w:vAlign w:val="center"/>
          </w:tcPr>
          <w:p w14:paraId="4D819622">
            <w:pPr>
              <w:jc w:val="center"/>
              <w:rPr>
                <w:rFonts w:hint="default" w:ascii="Times New Roman" w:hAnsi="Times New Roman" w:eastAsia="宋体" w:cs="Times New Roman"/>
                <w:sz w:val="24"/>
              </w:rPr>
            </w:pPr>
            <w:r>
              <w:rPr>
                <w:rFonts w:hint="default" w:ascii="Times New Roman" w:hAnsi="Times New Roman" w:eastAsia="宋体" w:cs="Times New Roman"/>
                <w:sz w:val="24"/>
              </w:rPr>
              <w:t>完善工艺流程及产污环节分析，结合实验设备种类及数量，进一步完善工艺流程说明，补充物料添加工序有机废气处理措施及非甲烷总烃、甲苯产生环节，补充“三废”产生环节。</w:t>
            </w:r>
          </w:p>
        </w:tc>
        <w:tc>
          <w:tcPr>
            <w:tcW w:w="688" w:type="pct"/>
            <w:tcBorders>
              <w:top w:val="single" w:color="auto" w:sz="4" w:space="0"/>
              <w:left w:val="single" w:color="auto" w:sz="4" w:space="0"/>
              <w:bottom w:val="single" w:color="auto" w:sz="4" w:space="0"/>
              <w:right w:val="single" w:color="auto" w:sz="4" w:space="0"/>
            </w:tcBorders>
            <w:noWrap w:val="0"/>
            <w:vAlign w:val="center"/>
          </w:tcPr>
          <w:p w14:paraId="2E2F37D1">
            <w:pPr>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已完善</w:t>
            </w:r>
          </w:p>
        </w:tc>
        <w:tc>
          <w:tcPr>
            <w:tcW w:w="922" w:type="pct"/>
            <w:tcBorders>
              <w:top w:val="single" w:color="auto" w:sz="4" w:space="0"/>
              <w:left w:val="single" w:color="auto" w:sz="4" w:space="0"/>
              <w:bottom w:val="single" w:color="auto" w:sz="4" w:space="0"/>
              <w:right w:val="single" w:color="auto" w:sz="4" w:space="0"/>
            </w:tcBorders>
            <w:noWrap w:val="0"/>
            <w:vAlign w:val="center"/>
          </w:tcPr>
          <w:p w14:paraId="68CF85E7">
            <w:pPr>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P20-P21</w:t>
            </w:r>
          </w:p>
        </w:tc>
      </w:tr>
      <w:tr w14:paraId="13119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14:paraId="001D5E72">
            <w:pPr>
              <w:jc w:val="center"/>
              <w:rPr>
                <w:rFonts w:hint="default" w:ascii="Times New Roman" w:hAnsi="Times New Roman" w:eastAsia="宋体" w:cs="Times New Roman"/>
                <w:sz w:val="24"/>
              </w:rPr>
            </w:pPr>
            <w:r>
              <w:rPr>
                <w:rFonts w:hint="default" w:ascii="Times New Roman" w:hAnsi="Times New Roman" w:eastAsia="宋体" w:cs="Times New Roman"/>
                <w:sz w:val="24"/>
              </w:rPr>
              <w:t>7</w:t>
            </w:r>
          </w:p>
        </w:tc>
        <w:tc>
          <w:tcPr>
            <w:tcW w:w="2997" w:type="pct"/>
            <w:tcBorders>
              <w:top w:val="single" w:color="auto" w:sz="4" w:space="0"/>
              <w:left w:val="single" w:color="auto" w:sz="4" w:space="0"/>
              <w:bottom w:val="single" w:color="auto" w:sz="4" w:space="0"/>
              <w:right w:val="single" w:color="auto" w:sz="4" w:space="0"/>
            </w:tcBorders>
            <w:noWrap w:val="0"/>
            <w:vAlign w:val="center"/>
          </w:tcPr>
          <w:p w14:paraId="43BD7A1E">
            <w:pPr>
              <w:jc w:val="center"/>
              <w:rPr>
                <w:rFonts w:hint="default" w:ascii="Times New Roman" w:hAnsi="Times New Roman" w:eastAsia="宋体" w:cs="Times New Roman"/>
                <w:sz w:val="24"/>
              </w:rPr>
            </w:pPr>
            <w:r>
              <w:rPr>
                <w:rFonts w:hint="default" w:ascii="Times New Roman" w:hAnsi="Times New Roman" w:eastAsia="宋体" w:cs="Times New Roman"/>
                <w:sz w:val="24"/>
              </w:rPr>
              <w:t>补充甲苯、非甲烷总烃监测数据。</w:t>
            </w:r>
          </w:p>
        </w:tc>
        <w:tc>
          <w:tcPr>
            <w:tcW w:w="688" w:type="pct"/>
            <w:tcBorders>
              <w:top w:val="single" w:color="auto" w:sz="4" w:space="0"/>
              <w:left w:val="single" w:color="auto" w:sz="4" w:space="0"/>
              <w:bottom w:val="single" w:color="auto" w:sz="4" w:space="0"/>
              <w:right w:val="single" w:color="auto" w:sz="4" w:space="0"/>
            </w:tcBorders>
            <w:noWrap w:val="0"/>
            <w:vAlign w:val="center"/>
          </w:tcPr>
          <w:p w14:paraId="58367BC8">
            <w:pPr>
              <w:jc w:val="center"/>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已说明</w:t>
            </w:r>
          </w:p>
        </w:tc>
        <w:tc>
          <w:tcPr>
            <w:tcW w:w="922" w:type="pct"/>
            <w:tcBorders>
              <w:top w:val="single" w:color="auto" w:sz="4" w:space="0"/>
              <w:left w:val="single" w:color="auto" w:sz="4" w:space="0"/>
              <w:bottom w:val="single" w:color="auto" w:sz="4" w:space="0"/>
              <w:right w:val="single" w:color="auto" w:sz="4" w:space="0"/>
            </w:tcBorders>
            <w:noWrap w:val="0"/>
            <w:vAlign w:val="center"/>
          </w:tcPr>
          <w:p w14:paraId="38748BFD">
            <w:pPr>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P22</w:t>
            </w:r>
          </w:p>
        </w:tc>
      </w:tr>
      <w:tr w14:paraId="0AA44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14:paraId="53D200A9">
            <w:pPr>
              <w:jc w:val="center"/>
              <w:rPr>
                <w:rFonts w:hint="default" w:ascii="Times New Roman" w:hAnsi="Times New Roman" w:eastAsia="宋体" w:cs="Times New Roman"/>
                <w:sz w:val="24"/>
              </w:rPr>
            </w:pPr>
            <w:r>
              <w:rPr>
                <w:rFonts w:hint="default" w:ascii="Times New Roman" w:hAnsi="Times New Roman" w:eastAsia="宋体" w:cs="Times New Roman"/>
                <w:sz w:val="24"/>
              </w:rPr>
              <w:t>8</w:t>
            </w:r>
          </w:p>
        </w:tc>
        <w:tc>
          <w:tcPr>
            <w:tcW w:w="2997" w:type="pct"/>
            <w:tcBorders>
              <w:top w:val="single" w:color="auto" w:sz="4" w:space="0"/>
              <w:left w:val="single" w:color="auto" w:sz="4" w:space="0"/>
              <w:bottom w:val="single" w:color="auto" w:sz="4" w:space="0"/>
              <w:right w:val="single" w:color="auto" w:sz="4" w:space="0"/>
            </w:tcBorders>
            <w:noWrap w:val="0"/>
            <w:vAlign w:val="center"/>
          </w:tcPr>
          <w:p w14:paraId="7AAB3947">
            <w:pPr>
              <w:jc w:val="center"/>
              <w:rPr>
                <w:rFonts w:hint="default" w:ascii="Times New Roman" w:hAnsi="Times New Roman" w:eastAsia="宋体" w:cs="Times New Roman"/>
                <w:sz w:val="24"/>
              </w:rPr>
            </w:pPr>
            <w:r>
              <w:rPr>
                <w:rFonts w:hint="default" w:ascii="Times New Roman" w:hAnsi="Times New Roman" w:eastAsia="宋体" w:cs="Times New Roman"/>
                <w:sz w:val="24"/>
              </w:rPr>
              <w:t>复核非甲烷总烃及甲苯产生量及排放量，明确计算过程及依据。补充物料投加废气。明确集气措施</w:t>
            </w:r>
            <w:r>
              <w:rPr>
                <w:rFonts w:hint="eastAsia" w:ascii="Times New Roman" w:hAnsi="Times New Roman" w:eastAsia="宋体" w:cs="Times New Roman"/>
                <w:sz w:val="24"/>
                <w:lang w:eastAsia="zh-CN"/>
              </w:rPr>
              <w:t>形式</w:t>
            </w:r>
            <w:r>
              <w:rPr>
                <w:rFonts w:hint="default" w:ascii="Times New Roman" w:hAnsi="Times New Roman" w:eastAsia="宋体" w:cs="Times New Roman"/>
                <w:sz w:val="24"/>
              </w:rPr>
              <w:t>及数量。核实非正常工况设定情景，明确非正常工况下对环境的影响程度。</w:t>
            </w:r>
          </w:p>
        </w:tc>
        <w:tc>
          <w:tcPr>
            <w:tcW w:w="688" w:type="pct"/>
            <w:tcBorders>
              <w:top w:val="single" w:color="auto" w:sz="4" w:space="0"/>
              <w:left w:val="single" w:color="auto" w:sz="4" w:space="0"/>
              <w:bottom w:val="single" w:color="auto" w:sz="4" w:space="0"/>
              <w:right w:val="single" w:color="auto" w:sz="4" w:space="0"/>
            </w:tcBorders>
            <w:noWrap w:val="0"/>
            <w:vAlign w:val="center"/>
          </w:tcPr>
          <w:p w14:paraId="35FC84A7">
            <w:pPr>
              <w:jc w:val="center"/>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已修改</w:t>
            </w:r>
          </w:p>
        </w:tc>
        <w:tc>
          <w:tcPr>
            <w:tcW w:w="922" w:type="pct"/>
            <w:tcBorders>
              <w:top w:val="single" w:color="auto" w:sz="4" w:space="0"/>
              <w:left w:val="single" w:color="auto" w:sz="4" w:space="0"/>
              <w:bottom w:val="single" w:color="auto" w:sz="4" w:space="0"/>
              <w:right w:val="single" w:color="auto" w:sz="4" w:space="0"/>
            </w:tcBorders>
            <w:noWrap w:val="0"/>
            <w:vAlign w:val="center"/>
          </w:tcPr>
          <w:p w14:paraId="65CEE518">
            <w:pPr>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P30-P31</w:t>
            </w:r>
          </w:p>
        </w:tc>
      </w:tr>
      <w:tr w14:paraId="38FE1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14:paraId="64BE79C8">
            <w:pPr>
              <w:jc w:val="center"/>
              <w:rPr>
                <w:rFonts w:hint="eastAsia" w:ascii="Times New Roman" w:hAnsi="Times New Roman" w:eastAsia="宋体" w:cs="Times New Roman"/>
                <w:sz w:val="24"/>
                <w:lang w:eastAsia="zh-CN"/>
              </w:rPr>
            </w:pPr>
            <w:r>
              <w:rPr>
                <w:rFonts w:hint="eastAsia" w:ascii="Times New Roman" w:hAnsi="Times New Roman" w:eastAsia="宋体" w:cs="Times New Roman"/>
                <w:sz w:val="24"/>
                <w:lang w:val="en-US" w:eastAsia="zh-CN"/>
              </w:rPr>
              <w:t>9</w:t>
            </w:r>
          </w:p>
        </w:tc>
        <w:tc>
          <w:tcPr>
            <w:tcW w:w="2997" w:type="pct"/>
            <w:tcBorders>
              <w:top w:val="single" w:color="auto" w:sz="4" w:space="0"/>
              <w:left w:val="single" w:color="auto" w:sz="4" w:space="0"/>
              <w:bottom w:val="single" w:color="auto" w:sz="4" w:space="0"/>
              <w:right w:val="single" w:color="auto" w:sz="4" w:space="0"/>
            </w:tcBorders>
            <w:noWrap w:val="0"/>
            <w:vAlign w:val="center"/>
          </w:tcPr>
          <w:p w14:paraId="01A9A4AB">
            <w:pPr>
              <w:jc w:val="center"/>
              <w:rPr>
                <w:rFonts w:hint="default" w:ascii="Times New Roman" w:hAnsi="Times New Roman" w:eastAsia="宋体" w:cs="Times New Roman"/>
                <w:sz w:val="24"/>
              </w:rPr>
            </w:pPr>
            <w:r>
              <w:rPr>
                <w:rFonts w:hint="default" w:ascii="Times New Roman" w:hAnsi="Times New Roman" w:eastAsia="宋体" w:cs="Times New Roman"/>
                <w:sz w:val="24"/>
              </w:rPr>
              <w:t>根据设备布置图，核实噪声源强、核实噪声控制措施降噪量，核实各方位厂界噪声预测结果</w:t>
            </w:r>
            <w:r>
              <w:rPr>
                <w:rFonts w:hint="eastAsia" w:ascii="Times New Roman" w:hAnsi="Times New Roman" w:eastAsia="宋体" w:cs="Times New Roman"/>
                <w:sz w:val="24"/>
                <w:lang w:eastAsia="zh-CN"/>
              </w:rPr>
              <w:t>（</w:t>
            </w:r>
            <w:r>
              <w:rPr>
                <w:rFonts w:hint="default" w:ascii="Times New Roman" w:hAnsi="Times New Roman" w:eastAsia="宋体" w:cs="Times New Roman"/>
                <w:sz w:val="24"/>
              </w:rPr>
              <w:t>贡献值</w:t>
            </w:r>
            <w:r>
              <w:rPr>
                <w:rFonts w:hint="eastAsia" w:ascii="Times New Roman" w:hAnsi="Times New Roman" w:eastAsia="宋体" w:cs="Times New Roman"/>
                <w:sz w:val="24"/>
                <w:lang w:eastAsia="zh-CN"/>
              </w:rPr>
              <w:t>）</w:t>
            </w:r>
            <w:r>
              <w:rPr>
                <w:rFonts w:hint="default" w:ascii="Times New Roman" w:hAnsi="Times New Roman" w:eastAsia="宋体" w:cs="Times New Roman"/>
                <w:sz w:val="24"/>
              </w:rPr>
              <w:t>贡献值。</w:t>
            </w:r>
          </w:p>
        </w:tc>
        <w:tc>
          <w:tcPr>
            <w:tcW w:w="688" w:type="pct"/>
            <w:tcBorders>
              <w:top w:val="single" w:color="auto" w:sz="4" w:space="0"/>
              <w:left w:val="single" w:color="auto" w:sz="4" w:space="0"/>
              <w:bottom w:val="single" w:color="auto" w:sz="4" w:space="0"/>
              <w:right w:val="single" w:color="auto" w:sz="4" w:space="0"/>
            </w:tcBorders>
            <w:noWrap w:val="0"/>
            <w:vAlign w:val="center"/>
          </w:tcPr>
          <w:p w14:paraId="3ACC6ABA">
            <w:pPr>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已核实</w:t>
            </w:r>
          </w:p>
        </w:tc>
        <w:tc>
          <w:tcPr>
            <w:tcW w:w="922" w:type="pct"/>
            <w:tcBorders>
              <w:top w:val="single" w:color="auto" w:sz="4" w:space="0"/>
              <w:left w:val="single" w:color="auto" w:sz="4" w:space="0"/>
              <w:bottom w:val="single" w:color="auto" w:sz="4" w:space="0"/>
              <w:right w:val="single" w:color="auto" w:sz="4" w:space="0"/>
            </w:tcBorders>
            <w:noWrap w:val="0"/>
            <w:vAlign w:val="center"/>
          </w:tcPr>
          <w:p w14:paraId="0F643494">
            <w:pPr>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P34</w:t>
            </w:r>
          </w:p>
        </w:tc>
      </w:tr>
      <w:tr w14:paraId="71787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14:paraId="795ECE63">
            <w:pPr>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10</w:t>
            </w:r>
          </w:p>
        </w:tc>
        <w:tc>
          <w:tcPr>
            <w:tcW w:w="2997" w:type="pct"/>
            <w:tcBorders>
              <w:top w:val="single" w:color="auto" w:sz="4" w:space="0"/>
              <w:left w:val="single" w:color="auto" w:sz="4" w:space="0"/>
              <w:bottom w:val="single" w:color="auto" w:sz="4" w:space="0"/>
              <w:right w:val="single" w:color="auto" w:sz="4" w:space="0"/>
            </w:tcBorders>
            <w:noWrap w:val="0"/>
            <w:vAlign w:val="center"/>
          </w:tcPr>
          <w:p w14:paraId="43BE8487">
            <w:pPr>
              <w:jc w:val="center"/>
              <w:rPr>
                <w:rFonts w:hint="default" w:ascii="Times New Roman" w:hAnsi="Times New Roman" w:eastAsia="宋体" w:cs="Times New Roman"/>
                <w:sz w:val="24"/>
              </w:rPr>
            </w:pPr>
            <w:r>
              <w:rPr>
                <w:rFonts w:hint="default" w:ascii="Times New Roman" w:hAnsi="Times New Roman" w:eastAsia="宋体" w:cs="Times New Roman"/>
                <w:sz w:val="24"/>
              </w:rPr>
              <w:t>明确漆渣代码，复核包括不合格实验品等各类固体废物处置措施合理性。</w:t>
            </w:r>
          </w:p>
        </w:tc>
        <w:tc>
          <w:tcPr>
            <w:tcW w:w="688" w:type="pct"/>
            <w:tcBorders>
              <w:top w:val="single" w:color="auto" w:sz="4" w:space="0"/>
              <w:left w:val="single" w:color="auto" w:sz="4" w:space="0"/>
              <w:bottom w:val="single" w:color="auto" w:sz="4" w:space="0"/>
              <w:right w:val="single" w:color="auto" w:sz="4" w:space="0"/>
            </w:tcBorders>
            <w:noWrap w:val="0"/>
            <w:vAlign w:val="center"/>
          </w:tcPr>
          <w:p w14:paraId="3DADE5F4">
            <w:pPr>
              <w:jc w:val="center"/>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已明确</w:t>
            </w:r>
          </w:p>
        </w:tc>
        <w:tc>
          <w:tcPr>
            <w:tcW w:w="922" w:type="pct"/>
            <w:tcBorders>
              <w:top w:val="single" w:color="auto" w:sz="4" w:space="0"/>
              <w:left w:val="single" w:color="auto" w:sz="4" w:space="0"/>
              <w:bottom w:val="single" w:color="auto" w:sz="4" w:space="0"/>
              <w:right w:val="single" w:color="auto" w:sz="4" w:space="0"/>
            </w:tcBorders>
            <w:noWrap w:val="0"/>
            <w:vAlign w:val="center"/>
          </w:tcPr>
          <w:p w14:paraId="233AD1DD">
            <w:pPr>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P36</w:t>
            </w:r>
          </w:p>
        </w:tc>
      </w:tr>
      <w:tr w14:paraId="71BA5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14:paraId="72643977">
            <w:pPr>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11</w:t>
            </w:r>
          </w:p>
        </w:tc>
        <w:tc>
          <w:tcPr>
            <w:tcW w:w="2997" w:type="pct"/>
            <w:tcBorders>
              <w:top w:val="single" w:color="auto" w:sz="4" w:space="0"/>
              <w:left w:val="single" w:color="auto" w:sz="4" w:space="0"/>
              <w:bottom w:val="single" w:color="auto" w:sz="4" w:space="0"/>
              <w:right w:val="single" w:color="auto" w:sz="4" w:space="0"/>
            </w:tcBorders>
            <w:noWrap w:val="0"/>
            <w:vAlign w:val="center"/>
          </w:tcPr>
          <w:p w14:paraId="6759D5F9">
            <w:pPr>
              <w:jc w:val="center"/>
              <w:rPr>
                <w:rFonts w:hint="default" w:ascii="Times New Roman" w:hAnsi="Times New Roman" w:eastAsia="宋体" w:cs="Times New Roman"/>
                <w:sz w:val="24"/>
              </w:rPr>
            </w:pPr>
            <w:r>
              <w:rPr>
                <w:rFonts w:hint="default" w:ascii="Times New Roman" w:hAnsi="Times New Roman" w:eastAsia="宋体" w:cs="Times New Roman"/>
                <w:sz w:val="24"/>
              </w:rPr>
              <w:t>校核完善措施清单、校核文字数据</w:t>
            </w:r>
          </w:p>
        </w:tc>
        <w:tc>
          <w:tcPr>
            <w:tcW w:w="688" w:type="pct"/>
            <w:tcBorders>
              <w:top w:val="single" w:color="auto" w:sz="4" w:space="0"/>
              <w:left w:val="single" w:color="auto" w:sz="4" w:space="0"/>
              <w:bottom w:val="single" w:color="auto" w:sz="4" w:space="0"/>
              <w:right w:val="single" w:color="auto" w:sz="4" w:space="0"/>
            </w:tcBorders>
            <w:noWrap w:val="0"/>
            <w:vAlign w:val="center"/>
          </w:tcPr>
          <w:p w14:paraId="3E3C3539">
            <w:pPr>
              <w:jc w:val="center"/>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已校核</w:t>
            </w:r>
          </w:p>
        </w:tc>
        <w:tc>
          <w:tcPr>
            <w:tcW w:w="922" w:type="pct"/>
            <w:tcBorders>
              <w:top w:val="single" w:color="auto" w:sz="4" w:space="0"/>
              <w:left w:val="single" w:color="auto" w:sz="4" w:space="0"/>
              <w:bottom w:val="single" w:color="auto" w:sz="4" w:space="0"/>
              <w:right w:val="single" w:color="auto" w:sz="4" w:space="0"/>
            </w:tcBorders>
            <w:noWrap w:val="0"/>
            <w:vAlign w:val="center"/>
          </w:tcPr>
          <w:p w14:paraId="3750277A">
            <w:pPr>
              <w:jc w:val="center"/>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全文</w:t>
            </w:r>
          </w:p>
        </w:tc>
      </w:tr>
      <w:tr w14:paraId="3FC1C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14:paraId="71399C2B">
            <w:pPr>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12</w:t>
            </w:r>
          </w:p>
        </w:tc>
        <w:tc>
          <w:tcPr>
            <w:tcW w:w="2997" w:type="pct"/>
            <w:tcBorders>
              <w:top w:val="single" w:color="auto" w:sz="4" w:space="0"/>
              <w:left w:val="single" w:color="auto" w:sz="4" w:space="0"/>
              <w:bottom w:val="single" w:color="auto" w:sz="4" w:space="0"/>
              <w:right w:val="single" w:color="auto" w:sz="4" w:space="0"/>
            </w:tcBorders>
            <w:noWrap w:val="0"/>
            <w:vAlign w:val="center"/>
          </w:tcPr>
          <w:p w14:paraId="7BE5510D">
            <w:pPr>
              <w:jc w:val="center"/>
              <w:rPr>
                <w:rFonts w:hint="default" w:ascii="Times New Roman" w:hAnsi="Times New Roman" w:eastAsia="宋体" w:cs="Times New Roman"/>
                <w:sz w:val="24"/>
              </w:rPr>
            </w:pPr>
            <w:r>
              <w:rPr>
                <w:rFonts w:hint="default" w:ascii="Times New Roman" w:hAnsi="Times New Roman" w:eastAsia="宋体" w:cs="Times New Roman"/>
                <w:sz w:val="24"/>
              </w:rPr>
              <w:t>专家提出的</w:t>
            </w:r>
            <w:r>
              <w:rPr>
                <w:rFonts w:hint="eastAsia" w:ascii="Times New Roman" w:hAnsi="Times New Roman" w:eastAsia="宋体" w:cs="Times New Roman"/>
                <w:sz w:val="24"/>
                <w:lang w:eastAsia="zh-CN"/>
              </w:rPr>
              <w:t>其他</w:t>
            </w:r>
            <w:r>
              <w:rPr>
                <w:rFonts w:hint="default" w:ascii="Times New Roman" w:hAnsi="Times New Roman" w:eastAsia="宋体" w:cs="Times New Roman"/>
                <w:sz w:val="24"/>
              </w:rPr>
              <w:t>合理化建议亦应予以采纳并修改。</w:t>
            </w:r>
          </w:p>
        </w:tc>
        <w:tc>
          <w:tcPr>
            <w:tcW w:w="688" w:type="pct"/>
            <w:tcBorders>
              <w:top w:val="single" w:color="auto" w:sz="4" w:space="0"/>
              <w:left w:val="single" w:color="auto" w:sz="4" w:space="0"/>
              <w:bottom w:val="single" w:color="auto" w:sz="4" w:space="0"/>
              <w:right w:val="single" w:color="auto" w:sz="4" w:space="0"/>
            </w:tcBorders>
            <w:noWrap w:val="0"/>
            <w:vAlign w:val="center"/>
          </w:tcPr>
          <w:p w14:paraId="0AD7370F">
            <w:pPr>
              <w:jc w:val="center"/>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已修改</w:t>
            </w:r>
          </w:p>
        </w:tc>
        <w:tc>
          <w:tcPr>
            <w:tcW w:w="922" w:type="pct"/>
            <w:tcBorders>
              <w:top w:val="single" w:color="auto" w:sz="4" w:space="0"/>
              <w:left w:val="single" w:color="auto" w:sz="4" w:space="0"/>
              <w:bottom w:val="single" w:color="auto" w:sz="4" w:space="0"/>
              <w:right w:val="single" w:color="auto" w:sz="4" w:space="0"/>
            </w:tcBorders>
            <w:noWrap w:val="0"/>
            <w:vAlign w:val="center"/>
          </w:tcPr>
          <w:p w14:paraId="3DDE8DB7">
            <w:pPr>
              <w:jc w:val="center"/>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全文</w:t>
            </w:r>
          </w:p>
        </w:tc>
      </w:tr>
    </w:tbl>
    <w:p w14:paraId="37DDD8D4">
      <w:pPr>
        <w:adjustRightInd w:val="0"/>
        <w:snapToGrid w:val="0"/>
        <w:spacing w:line="288" w:lineRule="auto"/>
        <w:jc w:val="center"/>
        <w:rPr>
          <w:sz w:val="36"/>
          <w:szCs w:val="36"/>
        </w:rPr>
        <w:sectPr>
          <w:pgSz w:w="11906" w:h="16838"/>
          <w:pgMar w:top="1701" w:right="1531" w:bottom="1701" w:left="1531" w:header="851" w:footer="1077" w:gutter="0"/>
          <w:pgNumType w:start="1"/>
          <w:cols w:space="720" w:num="1"/>
          <w:docGrid w:linePitch="312" w:charSpace="0"/>
        </w:sectPr>
      </w:pPr>
    </w:p>
    <w:p w14:paraId="41D6149D">
      <w:pPr>
        <w:pStyle w:val="44"/>
        <w:spacing w:before="48" w:after="48"/>
        <w:jc w:val="center"/>
        <w:outlineLvl w:val="0"/>
        <w:rPr>
          <w:rFonts w:hint="eastAsia" w:ascii="黑体" w:hAnsi="黑体"/>
          <w:snapToGrid w:val="0"/>
          <w:sz w:val="30"/>
          <w:szCs w:val="30"/>
        </w:rPr>
      </w:pPr>
      <w:r>
        <w:pict>
          <v:shape id="艺术字 220" o:spid="_x0000_s2109" o:spt="136" type="#_x0000_t136" style="position:absolute;left:0pt;margin-left:515.15pt;margin-top:-489.45pt;height:63.95pt;width:562.85pt;rotation:-2359296f;z-index:251660288;mso-width-relative:page;mso-height-relative:page;" fillcolor="#000000" filled="t" stroked="f" coordsize="21600,21600">
            <v:path/>
            <v:fill type="gradient" on="t" color2="#AAAAAA" focussize="0f,0f" rotate="t"/>
            <v:stroke on="f"/>
            <v:imagedata o:title=""/>
            <o:lock v:ext="edit" aspectratio="f"/>
            <v:textpath on="t" fitshape="t" fitpath="t" trim="t" xscale="f" string="仅限于长春海谱润斯科技股份有限公司高性能OLED材料产业化研发扩建项目环评报告申报使用" style="font-family:宋体;font-size:36pt;v-text-align:center;"/>
            <v:shadow on="t" obscured="f" color="#4D4D4D" opacity="52428f" offset="0pt,0.000236220472440945pt" offset2="-2pt,-2pt"/>
          </v:shape>
        </w:pict>
      </w:r>
      <w:r>
        <w:rPr>
          <w:rFonts w:hint="eastAsia" w:ascii="黑体" w:hAnsi="黑体"/>
          <w:snapToGrid w:val="0"/>
          <w:sz w:val="30"/>
          <w:szCs w:val="30"/>
        </w:rPr>
        <w:t>一、建设项目基本情况</w:t>
      </w:r>
    </w:p>
    <w:tbl>
      <w:tblPr>
        <w:tblStyle w:val="27"/>
        <w:tblW w:w="514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901"/>
        <w:gridCol w:w="2317"/>
        <w:gridCol w:w="2304"/>
        <w:gridCol w:w="3531"/>
      </w:tblGrid>
      <w:tr w14:paraId="17268F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45" w:type="pct"/>
            <w:noWrap w:val="0"/>
            <w:tcMar>
              <w:top w:w="16" w:type="dxa"/>
              <w:left w:w="16" w:type="dxa"/>
              <w:right w:w="16" w:type="dxa"/>
            </w:tcMar>
            <w:vAlign w:val="center"/>
          </w:tcPr>
          <w:p w14:paraId="6150DEB5">
            <w:pPr>
              <w:adjustRightInd w:val="0"/>
              <w:snapToGrid w:val="0"/>
              <w:spacing w:before="120" w:beforeLines="50" w:after="120" w:afterLines="50"/>
              <w:jc w:val="center"/>
              <w:rPr>
                <w:rFonts w:ascii="宋体" w:hAnsi="宋体" w:cs="宋体"/>
                <w:sz w:val="24"/>
              </w:rPr>
            </w:pPr>
            <w:r>
              <w:rPr>
                <w:rFonts w:hint="eastAsia" w:ascii="宋体" w:hAnsi="宋体" w:cs="宋体"/>
                <w:sz w:val="24"/>
              </w:rPr>
              <w:t>建设项目名称</w:t>
            </w:r>
          </w:p>
        </w:tc>
        <w:tc>
          <w:tcPr>
            <w:tcW w:w="4054" w:type="pct"/>
            <w:gridSpan w:val="3"/>
            <w:noWrap w:val="0"/>
            <w:vAlign w:val="center"/>
          </w:tcPr>
          <w:p w14:paraId="75C2E5A5">
            <w:pPr>
              <w:adjustRightInd w:val="0"/>
              <w:snapToGrid w:val="0"/>
              <w:spacing w:before="120" w:beforeLines="50" w:after="120" w:afterLines="50"/>
              <w:jc w:val="center"/>
              <w:rPr>
                <w:rFonts w:hint="eastAsia" w:ascii="宋体" w:hAnsi="宋体" w:cs="宋体"/>
                <w:sz w:val="24"/>
              </w:rPr>
            </w:pPr>
            <w:r>
              <w:rPr>
                <w:rFonts w:hint="eastAsia" w:ascii="宋体" w:hAnsi="宋体" w:cs="宋体"/>
                <w:sz w:val="24"/>
              </w:rPr>
              <w:t>大型钢结构用长效聚醚醚酮防腐涂料项目</w:t>
            </w:r>
          </w:p>
        </w:tc>
      </w:tr>
      <w:tr w14:paraId="79DA8A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45" w:type="pct"/>
            <w:noWrap w:val="0"/>
            <w:tcMar>
              <w:top w:w="16" w:type="dxa"/>
              <w:left w:w="16" w:type="dxa"/>
              <w:right w:w="16" w:type="dxa"/>
            </w:tcMar>
            <w:vAlign w:val="center"/>
          </w:tcPr>
          <w:p w14:paraId="5546910D">
            <w:pPr>
              <w:adjustRightInd w:val="0"/>
              <w:snapToGrid w:val="0"/>
              <w:jc w:val="center"/>
              <w:rPr>
                <w:rFonts w:ascii="宋体" w:hAnsi="宋体" w:cs="宋体"/>
                <w:sz w:val="24"/>
              </w:rPr>
            </w:pPr>
            <w:r>
              <w:rPr>
                <w:rFonts w:hint="eastAsia" w:ascii="宋体" w:hAnsi="宋体" w:cs="宋体"/>
                <w:sz w:val="24"/>
              </w:rPr>
              <w:t>项目代码</w:t>
            </w:r>
          </w:p>
        </w:tc>
        <w:tc>
          <w:tcPr>
            <w:tcW w:w="4054" w:type="pct"/>
            <w:gridSpan w:val="3"/>
            <w:noWrap w:val="0"/>
            <w:vAlign w:val="center"/>
          </w:tcPr>
          <w:p w14:paraId="6D3964FF">
            <w:pPr>
              <w:adjustRightInd w:val="0"/>
              <w:snapToGrid w:val="0"/>
              <w:jc w:val="center"/>
              <w:rPr>
                <w:sz w:val="24"/>
              </w:rPr>
            </w:pPr>
            <w:r>
              <w:rPr>
                <w:rFonts w:hint="eastAsia"/>
                <w:sz w:val="24"/>
              </w:rPr>
              <w:t>无</w:t>
            </w:r>
          </w:p>
        </w:tc>
      </w:tr>
      <w:tr w14:paraId="4EE15E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45" w:type="pct"/>
            <w:noWrap w:val="0"/>
            <w:tcMar>
              <w:top w:w="16" w:type="dxa"/>
              <w:left w:w="16" w:type="dxa"/>
              <w:right w:w="16" w:type="dxa"/>
            </w:tcMar>
            <w:vAlign w:val="center"/>
          </w:tcPr>
          <w:p w14:paraId="1C654A90">
            <w:pPr>
              <w:adjustRightInd w:val="0"/>
              <w:snapToGrid w:val="0"/>
              <w:jc w:val="center"/>
              <w:rPr>
                <w:rFonts w:hint="eastAsia" w:ascii="宋体" w:hAnsi="宋体" w:cs="宋体"/>
                <w:sz w:val="24"/>
              </w:rPr>
            </w:pPr>
            <w:r>
              <w:rPr>
                <w:rFonts w:hint="eastAsia" w:ascii="宋体" w:hAnsi="宋体" w:cs="宋体"/>
                <w:sz w:val="24"/>
              </w:rPr>
              <w:t>建设单位联系人</w:t>
            </w:r>
          </w:p>
        </w:tc>
        <w:tc>
          <w:tcPr>
            <w:tcW w:w="1152" w:type="pct"/>
            <w:noWrap w:val="0"/>
            <w:vAlign w:val="center"/>
          </w:tcPr>
          <w:p w14:paraId="633E27AA">
            <w:pPr>
              <w:adjustRightInd w:val="0"/>
              <w:snapToGrid w:val="0"/>
              <w:jc w:val="center"/>
              <w:rPr>
                <w:rFonts w:hint="eastAsia"/>
                <w:sz w:val="24"/>
              </w:rPr>
            </w:pPr>
            <w:r>
              <w:rPr>
                <w:rFonts w:hint="eastAsia"/>
                <w:sz w:val="24"/>
              </w:rPr>
              <w:t>杨润海</w:t>
            </w:r>
          </w:p>
        </w:tc>
        <w:tc>
          <w:tcPr>
            <w:tcW w:w="1146" w:type="pct"/>
            <w:noWrap w:val="0"/>
            <w:vAlign w:val="center"/>
          </w:tcPr>
          <w:p w14:paraId="1EDC0ECC">
            <w:pPr>
              <w:adjustRightInd w:val="0"/>
              <w:snapToGrid w:val="0"/>
              <w:jc w:val="center"/>
              <w:rPr>
                <w:sz w:val="24"/>
              </w:rPr>
            </w:pPr>
            <w:r>
              <w:rPr>
                <w:sz w:val="24"/>
              </w:rPr>
              <w:t>联系方式</w:t>
            </w:r>
          </w:p>
        </w:tc>
        <w:tc>
          <w:tcPr>
            <w:tcW w:w="1755" w:type="pct"/>
            <w:noWrap w:val="0"/>
            <w:vAlign w:val="center"/>
          </w:tcPr>
          <w:p w14:paraId="08BD3D47">
            <w:pPr>
              <w:adjustRightInd w:val="0"/>
              <w:snapToGrid w:val="0"/>
              <w:jc w:val="center"/>
              <w:rPr>
                <w:sz w:val="24"/>
              </w:rPr>
            </w:pPr>
            <w:r>
              <w:rPr>
                <w:rFonts w:hint="eastAsia"/>
                <w:sz w:val="24"/>
              </w:rPr>
              <w:t>13366731311</w:t>
            </w:r>
          </w:p>
        </w:tc>
      </w:tr>
      <w:tr w14:paraId="0BC167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45" w:type="pct"/>
            <w:noWrap w:val="0"/>
            <w:tcMar>
              <w:top w:w="16" w:type="dxa"/>
              <w:left w:w="16" w:type="dxa"/>
              <w:right w:w="16" w:type="dxa"/>
            </w:tcMar>
            <w:vAlign w:val="center"/>
          </w:tcPr>
          <w:p w14:paraId="173E52A1">
            <w:pPr>
              <w:adjustRightInd w:val="0"/>
              <w:snapToGrid w:val="0"/>
              <w:jc w:val="center"/>
              <w:rPr>
                <w:rFonts w:ascii="宋体" w:hAnsi="宋体" w:cs="宋体"/>
                <w:sz w:val="24"/>
              </w:rPr>
            </w:pPr>
            <w:r>
              <w:rPr>
                <w:rFonts w:hint="eastAsia" w:ascii="宋体" w:hAnsi="宋体" w:cs="宋体"/>
                <w:sz w:val="24"/>
              </w:rPr>
              <w:t>建设地点</w:t>
            </w:r>
          </w:p>
        </w:tc>
        <w:tc>
          <w:tcPr>
            <w:tcW w:w="4054" w:type="pct"/>
            <w:gridSpan w:val="3"/>
            <w:noWrap w:val="0"/>
            <w:vAlign w:val="center"/>
          </w:tcPr>
          <w:p w14:paraId="540100E3">
            <w:pPr>
              <w:adjustRightInd w:val="0"/>
              <w:snapToGrid w:val="0"/>
              <w:jc w:val="center"/>
              <w:rPr>
                <w:sz w:val="24"/>
              </w:rPr>
            </w:pPr>
            <w:r>
              <w:rPr>
                <w:sz w:val="24"/>
              </w:rPr>
              <w:t>吉林</w:t>
            </w:r>
            <w:r>
              <w:rPr>
                <w:sz w:val="24"/>
                <w:u w:val="single"/>
              </w:rPr>
              <w:t>省</w:t>
            </w:r>
            <w:r>
              <w:rPr>
                <w:sz w:val="24"/>
              </w:rPr>
              <w:t>（自治区）</w:t>
            </w:r>
            <w:r>
              <w:rPr>
                <w:rFonts w:hint="eastAsia"/>
                <w:sz w:val="24"/>
                <w:u w:val="single"/>
              </w:rPr>
              <w:t>长春</w:t>
            </w:r>
            <w:r>
              <w:rPr>
                <w:sz w:val="24"/>
              </w:rPr>
              <w:t>（市）</w:t>
            </w:r>
            <w:r>
              <w:rPr>
                <w:rFonts w:hint="eastAsia"/>
                <w:sz w:val="24"/>
                <w:u w:val="single"/>
              </w:rPr>
              <w:t>北湖科技开发</w:t>
            </w:r>
            <w:r>
              <w:rPr>
                <w:sz w:val="24"/>
              </w:rPr>
              <w:t>（区）</w:t>
            </w:r>
            <w:r>
              <w:rPr>
                <w:rFonts w:hint="eastAsia"/>
                <w:sz w:val="24"/>
                <w:u w:val="single"/>
              </w:rPr>
              <w:t>吉兴产业园B区</w:t>
            </w:r>
            <w:r>
              <w:rPr>
                <w:rFonts w:hint="eastAsia"/>
                <w:sz w:val="24"/>
                <w:u w:val="single"/>
                <w:lang w:val="en-US" w:eastAsia="zh-CN"/>
              </w:rPr>
              <w:t>4</w:t>
            </w:r>
            <w:r>
              <w:rPr>
                <w:rFonts w:hint="eastAsia"/>
                <w:sz w:val="24"/>
                <w:u w:val="single"/>
              </w:rPr>
              <w:t>-</w:t>
            </w:r>
            <w:r>
              <w:rPr>
                <w:rFonts w:hint="eastAsia"/>
                <w:sz w:val="24"/>
                <w:u w:val="single"/>
                <w:lang w:val="en-US" w:eastAsia="zh-CN"/>
              </w:rPr>
              <w:t>1</w:t>
            </w:r>
            <w:r>
              <w:rPr>
                <w:rFonts w:hint="eastAsia"/>
                <w:sz w:val="24"/>
                <w:u w:val="single"/>
              </w:rPr>
              <w:t>栋厂房1层</w:t>
            </w:r>
          </w:p>
        </w:tc>
      </w:tr>
      <w:tr w14:paraId="0EBDF3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45" w:type="pct"/>
            <w:noWrap w:val="0"/>
            <w:tcMar>
              <w:top w:w="16" w:type="dxa"/>
              <w:left w:w="16" w:type="dxa"/>
              <w:right w:w="16" w:type="dxa"/>
            </w:tcMar>
            <w:vAlign w:val="center"/>
          </w:tcPr>
          <w:p w14:paraId="2D5555AC">
            <w:pPr>
              <w:adjustRightInd w:val="0"/>
              <w:snapToGrid w:val="0"/>
              <w:jc w:val="center"/>
              <w:rPr>
                <w:rFonts w:ascii="宋体" w:hAnsi="宋体" w:cs="宋体"/>
                <w:sz w:val="24"/>
              </w:rPr>
            </w:pPr>
            <w:r>
              <w:rPr>
                <w:rFonts w:hint="eastAsia" w:ascii="宋体" w:hAnsi="宋体" w:cs="宋体"/>
                <w:sz w:val="24"/>
              </w:rPr>
              <w:t>地理坐标</w:t>
            </w:r>
          </w:p>
        </w:tc>
        <w:tc>
          <w:tcPr>
            <w:tcW w:w="4054" w:type="pct"/>
            <w:gridSpan w:val="3"/>
            <w:noWrap w:val="0"/>
            <w:vAlign w:val="center"/>
          </w:tcPr>
          <w:p w14:paraId="775060BA">
            <w:pPr>
              <w:jc w:val="center"/>
              <w:rPr>
                <w:sz w:val="24"/>
              </w:rPr>
            </w:pPr>
            <w:r>
              <w:rPr>
                <w:sz w:val="24"/>
              </w:rPr>
              <w:t>（125度</w:t>
            </w:r>
            <w:r>
              <w:rPr>
                <w:rFonts w:hint="eastAsia"/>
                <w:sz w:val="24"/>
              </w:rPr>
              <w:t>26</w:t>
            </w:r>
            <w:r>
              <w:rPr>
                <w:sz w:val="24"/>
              </w:rPr>
              <w:t>分</w:t>
            </w:r>
            <w:r>
              <w:rPr>
                <w:rFonts w:hint="eastAsia"/>
                <w:sz w:val="24"/>
                <w:lang w:val="en-US" w:eastAsia="zh-CN"/>
              </w:rPr>
              <w:t>35.639</w:t>
            </w:r>
            <w:r>
              <w:rPr>
                <w:sz w:val="24"/>
              </w:rPr>
              <w:t>秒，4</w:t>
            </w:r>
            <w:r>
              <w:rPr>
                <w:rFonts w:hint="eastAsia"/>
                <w:sz w:val="24"/>
              </w:rPr>
              <w:t>4</w:t>
            </w:r>
            <w:r>
              <w:rPr>
                <w:sz w:val="24"/>
              </w:rPr>
              <w:t>度</w:t>
            </w:r>
            <w:r>
              <w:rPr>
                <w:rFonts w:hint="eastAsia"/>
                <w:sz w:val="24"/>
              </w:rPr>
              <w:t>3</w:t>
            </w:r>
            <w:r>
              <w:rPr>
                <w:sz w:val="24"/>
              </w:rPr>
              <w:t>分</w:t>
            </w:r>
            <w:r>
              <w:rPr>
                <w:rFonts w:hint="eastAsia"/>
                <w:sz w:val="24"/>
                <w:lang w:val="en-US" w:eastAsia="zh-CN"/>
              </w:rPr>
              <w:t>51.319</w:t>
            </w:r>
            <w:r>
              <w:rPr>
                <w:sz w:val="24"/>
              </w:rPr>
              <w:t>秒）</w:t>
            </w:r>
          </w:p>
        </w:tc>
      </w:tr>
      <w:tr w14:paraId="7D6A6B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45" w:type="pct"/>
            <w:noWrap w:val="0"/>
            <w:tcMar>
              <w:top w:w="16" w:type="dxa"/>
              <w:left w:w="16" w:type="dxa"/>
              <w:right w:w="16" w:type="dxa"/>
            </w:tcMar>
            <w:vAlign w:val="center"/>
          </w:tcPr>
          <w:p w14:paraId="289E33E9">
            <w:pPr>
              <w:adjustRightInd w:val="0"/>
              <w:snapToGrid w:val="0"/>
              <w:jc w:val="center"/>
              <w:rPr>
                <w:rFonts w:hint="eastAsia" w:ascii="宋体" w:hAnsi="宋体" w:cs="宋体"/>
                <w:sz w:val="24"/>
              </w:rPr>
            </w:pPr>
            <w:r>
              <w:rPr>
                <w:rFonts w:hint="eastAsia" w:ascii="宋体" w:hAnsi="宋体" w:cs="宋体"/>
                <w:sz w:val="24"/>
              </w:rPr>
              <w:t>国民经济</w:t>
            </w:r>
          </w:p>
          <w:p w14:paraId="181730A2">
            <w:pPr>
              <w:adjustRightInd w:val="0"/>
              <w:snapToGrid w:val="0"/>
              <w:jc w:val="center"/>
              <w:rPr>
                <w:rFonts w:ascii="宋体" w:hAnsi="宋体" w:cs="宋体"/>
                <w:sz w:val="24"/>
              </w:rPr>
            </w:pPr>
            <w:r>
              <w:rPr>
                <w:rFonts w:hint="eastAsia" w:ascii="宋体" w:hAnsi="宋体" w:cs="宋体"/>
                <w:sz w:val="24"/>
              </w:rPr>
              <w:t>行业类别</w:t>
            </w:r>
          </w:p>
        </w:tc>
        <w:tc>
          <w:tcPr>
            <w:tcW w:w="1152" w:type="pct"/>
            <w:noWrap w:val="0"/>
            <w:vAlign w:val="center"/>
          </w:tcPr>
          <w:p w14:paraId="49982BCC">
            <w:pPr>
              <w:adjustRightInd w:val="0"/>
              <w:snapToGrid w:val="0"/>
              <w:jc w:val="center"/>
              <w:rPr>
                <w:rFonts w:hint="eastAsia" w:ascii="宋体" w:hAnsi="宋体" w:cs="宋体"/>
                <w:sz w:val="24"/>
              </w:rPr>
            </w:pPr>
            <w:r>
              <w:rPr>
                <w:rFonts w:hint="eastAsia"/>
                <w:sz w:val="24"/>
              </w:rPr>
              <w:t>C7320 工程和技术研究和试验发展</w:t>
            </w:r>
          </w:p>
        </w:tc>
        <w:tc>
          <w:tcPr>
            <w:tcW w:w="1146" w:type="pct"/>
            <w:noWrap w:val="0"/>
            <w:vAlign w:val="center"/>
          </w:tcPr>
          <w:p w14:paraId="6D74520A">
            <w:pPr>
              <w:adjustRightInd w:val="0"/>
              <w:snapToGrid w:val="0"/>
              <w:jc w:val="center"/>
              <w:rPr>
                <w:sz w:val="24"/>
              </w:rPr>
            </w:pPr>
            <w:bookmarkStart w:id="1" w:name="_Hlk49843745"/>
            <w:r>
              <w:rPr>
                <w:sz w:val="24"/>
              </w:rPr>
              <w:t>建设项目</w:t>
            </w:r>
          </w:p>
          <w:p w14:paraId="1F79F639">
            <w:pPr>
              <w:adjustRightInd w:val="0"/>
              <w:snapToGrid w:val="0"/>
              <w:jc w:val="center"/>
              <w:rPr>
                <w:sz w:val="24"/>
              </w:rPr>
            </w:pPr>
            <w:r>
              <w:rPr>
                <w:sz w:val="24"/>
              </w:rPr>
              <w:t>行业类别</w:t>
            </w:r>
            <w:bookmarkEnd w:id="1"/>
          </w:p>
        </w:tc>
        <w:tc>
          <w:tcPr>
            <w:tcW w:w="1755" w:type="pct"/>
            <w:noWrap w:val="0"/>
            <w:vAlign w:val="center"/>
          </w:tcPr>
          <w:p w14:paraId="4F7A3C63">
            <w:pPr>
              <w:adjustRightInd w:val="0"/>
              <w:snapToGrid w:val="0"/>
              <w:jc w:val="center"/>
            </w:pPr>
            <w:r>
              <w:rPr>
                <w:rFonts w:hint="eastAsia"/>
                <w:sz w:val="24"/>
                <w:szCs w:val="32"/>
              </w:rPr>
              <w:t>98 专业实验室、研发（试验）基地</w:t>
            </w:r>
          </w:p>
        </w:tc>
      </w:tr>
      <w:tr w14:paraId="487848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45" w:type="pct"/>
            <w:noWrap w:val="0"/>
            <w:tcMar>
              <w:top w:w="16" w:type="dxa"/>
              <w:left w:w="16" w:type="dxa"/>
              <w:right w:w="16" w:type="dxa"/>
            </w:tcMar>
            <w:vAlign w:val="center"/>
          </w:tcPr>
          <w:p w14:paraId="0F850710">
            <w:pPr>
              <w:adjustRightInd w:val="0"/>
              <w:snapToGrid w:val="0"/>
              <w:jc w:val="center"/>
              <w:rPr>
                <w:rFonts w:ascii="宋体" w:hAnsi="宋体" w:cs="宋体"/>
                <w:sz w:val="24"/>
              </w:rPr>
            </w:pPr>
            <w:r>
              <w:rPr>
                <w:rFonts w:hint="eastAsia" w:ascii="宋体" w:hAnsi="宋体" w:cs="宋体"/>
                <w:sz w:val="24"/>
              </w:rPr>
              <w:t>建设性质</w:t>
            </w:r>
          </w:p>
        </w:tc>
        <w:tc>
          <w:tcPr>
            <w:tcW w:w="1152" w:type="pct"/>
            <w:noWrap w:val="0"/>
            <w:vAlign w:val="center"/>
          </w:tcPr>
          <w:p w14:paraId="3529D094">
            <w:pPr>
              <w:jc w:val="left"/>
              <w:rPr>
                <w:rFonts w:ascii="宋体" w:hAnsi="宋体" w:cs="宋体"/>
                <w:sz w:val="24"/>
              </w:rPr>
            </w:pPr>
            <w:r>
              <w:rPr>
                <w:rFonts w:hint="eastAsia" w:ascii="宋体" w:hAnsi="宋体" w:cs="宋体"/>
                <w:sz w:val="24"/>
              </w:rPr>
              <w:t>☑新建（迁建）</w:t>
            </w:r>
          </w:p>
          <w:p w14:paraId="0A6F4093">
            <w:pPr>
              <w:jc w:val="left"/>
              <w:rPr>
                <w:rFonts w:hint="eastAsia" w:ascii="宋体" w:hAnsi="宋体" w:cs="宋体"/>
                <w:sz w:val="24"/>
              </w:rPr>
            </w:pPr>
            <w:r>
              <w:rPr>
                <w:rFonts w:hint="eastAsia" w:ascii="宋体" w:hAnsi="宋体" w:cs="宋体"/>
                <w:sz w:val="24"/>
              </w:rPr>
              <w:sym w:font="Wingdings 2" w:char="00A3"/>
            </w:r>
            <w:r>
              <w:rPr>
                <w:rFonts w:hint="eastAsia" w:ascii="宋体" w:hAnsi="宋体" w:cs="宋体"/>
                <w:sz w:val="24"/>
              </w:rPr>
              <w:t>改建</w:t>
            </w:r>
          </w:p>
          <w:p w14:paraId="5A53B1E1">
            <w:pPr>
              <w:jc w:val="left"/>
              <w:rPr>
                <w:rFonts w:hint="eastAsia" w:ascii="宋体" w:hAnsi="宋体" w:cs="宋体"/>
                <w:sz w:val="24"/>
              </w:rPr>
            </w:pPr>
            <w:r>
              <w:rPr>
                <w:rFonts w:hint="eastAsia" w:ascii="宋体" w:hAnsi="宋体" w:cs="宋体"/>
                <w:sz w:val="24"/>
              </w:rPr>
              <w:sym w:font="Wingdings 2" w:char="00A3"/>
            </w:r>
            <w:r>
              <w:rPr>
                <w:rFonts w:hint="eastAsia" w:ascii="宋体" w:hAnsi="宋体" w:cs="宋体"/>
                <w:sz w:val="24"/>
              </w:rPr>
              <w:t>扩建</w:t>
            </w:r>
          </w:p>
          <w:p w14:paraId="6806CF88">
            <w:pPr>
              <w:jc w:val="left"/>
              <w:rPr>
                <w:rFonts w:ascii="宋体" w:hAnsi="宋体" w:cs="宋体"/>
                <w:sz w:val="24"/>
              </w:rPr>
            </w:pPr>
            <w:r>
              <w:rPr>
                <w:rFonts w:hint="eastAsia" w:ascii="宋体" w:hAnsi="宋体" w:cs="宋体"/>
                <w:sz w:val="24"/>
              </w:rPr>
              <w:t>□技术改造</w:t>
            </w:r>
          </w:p>
        </w:tc>
        <w:tc>
          <w:tcPr>
            <w:tcW w:w="1146" w:type="pct"/>
            <w:noWrap w:val="0"/>
            <w:vAlign w:val="center"/>
          </w:tcPr>
          <w:p w14:paraId="2C525EF5">
            <w:pPr>
              <w:adjustRightInd w:val="0"/>
              <w:snapToGrid w:val="0"/>
              <w:jc w:val="center"/>
              <w:rPr>
                <w:rFonts w:hint="eastAsia" w:ascii="宋体" w:hAnsi="宋体" w:cs="宋体"/>
                <w:sz w:val="24"/>
              </w:rPr>
            </w:pPr>
            <w:r>
              <w:rPr>
                <w:rFonts w:hint="eastAsia" w:ascii="宋体" w:hAnsi="宋体" w:cs="宋体"/>
                <w:sz w:val="24"/>
              </w:rPr>
              <w:t>建设项目</w:t>
            </w:r>
          </w:p>
          <w:p w14:paraId="381E4E12">
            <w:pPr>
              <w:adjustRightInd w:val="0"/>
              <w:snapToGrid w:val="0"/>
              <w:jc w:val="center"/>
              <w:rPr>
                <w:rFonts w:ascii="宋体" w:hAnsi="宋体" w:cs="宋体"/>
                <w:sz w:val="24"/>
              </w:rPr>
            </w:pPr>
            <w:r>
              <w:rPr>
                <w:rFonts w:hint="eastAsia" w:ascii="宋体" w:hAnsi="宋体" w:cs="宋体"/>
                <w:sz w:val="24"/>
              </w:rPr>
              <w:t>申报情形</w:t>
            </w:r>
          </w:p>
        </w:tc>
        <w:tc>
          <w:tcPr>
            <w:tcW w:w="1755" w:type="pct"/>
            <w:noWrap w:val="0"/>
            <w:vAlign w:val="center"/>
          </w:tcPr>
          <w:p w14:paraId="4FBF5A1C">
            <w:pPr>
              <w:jc w:val="left"/>
              <w:rPr>
                <w:rFonts w:ascii="宋体" w:hAnsi="宋体" w:cs="宋体"/>
                <w:sz w:val="24"/>
              </w:rPr>
            </w:pPr>
            <w:r>
              <w:rPr>
                <w:rFonts w:hint="eastAsia" w:ascii="宋体" w:hAnsi="宋体" w:cs="宋体"/>
                <w:sz w:val="24"/>
              </w:rPr>
              <w:t>☑首次申报项目</w:t>
            </w:r>
            <w:r>
              <w:rPr>
                <w:rFonts w:ascii="宋体" w:hAnsi="宋体" w:cs="宋体"/>
                <w:sz w:val="24"/>
              </w:rPr>
              <w:t xml:space="preserve">             </w:t>
            </w:r>
          </w:p>
          <w:p w14:paraId="44B7E75C">
            <w:pPr>
              <w:jc w:val="left"/>
              <w:rPr>
                <w:rFonts w:ascii="宋体" w:hAnsi="宋体" w:cs="宋体"/>
                <w:sz w:val="24"/>
              </w:rPr>
            </w:pPr>
            <w:r>
              <w:rPr>
                <w:rFonts w:hint="eastAsia" w:ascii="宋体" w:hAnsi="宋体" w:cs="宋体"/>
                <w:sz w:val="24"/>
              </w:rPr>
              <w:t>□不予批准后再次申报项目</w:t>
            </w:r>
          </w:p>
          <w:p w14:paraId="61608021">
            <w:pPr>
              <w:jc w:val="left"/>
              <w:rPr>
                <w:rFonts w:ascii="宋体" w:hAnsi="宋体" w:cs="宋体"/>
                <w:sz w:val="24"/>
              </w:rPr>
            </w:pPr>
            <w:r>
              <w:rPr>
                <w:rFonts w:hint="eastAsia" w:ascii="宋体" w:hAnsi="宋体" w:cs="宋体"/>
                <w:sz w:val="24"/>
              </w:rPr>
              <w:t>□超五年重新审核项目</w:t>
            </w:r>
            <w:r>
              <w:rPr>
                <w:rFonts w:ascii="宋体" w:hAnsi="宋体" w:cs="宋体"/>
                <w:sz w:val="24"/>
              </w:rPr>
              <w:t xml:space="preserve">     </w:t>
            </w:r>
          </w:p>
          <w:p w14:paraId="766B0F1D">
            <w:pPr>
              <w:jc w:val="left"/>
              <w:rPr>
                <w:rFonts w:ascii="宋体" w:hAnsi="宋体" w:cs="宋体"/>
                <w:sz w:val="24"/>
              </w:rPr>
            </w:pPr>
            <w:r>
              <w:rPr>
                <w:rFonts w:hint="eastAsia" w:ascii="宋体" w:hAnsi="宋体" w:cs="宋体"/>
                <w:sz w:val="24"/>
              </w:rPr>
              <w:t>□重大变动重新报批项目</w:t>
            </w:r>
          </w:p>
        </w:tc>
      </w:tr>
      <w:tr w14:paraId="4CB886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45" w:type="pct"/>
            <w:noWrap w:val="0"/>
            <w:tcMar>
              <w:top w:w="16" w:type="dxa"/>
              <w:left w:w="16" w:type="dxa"/>
              <w:right w:w="16" w:type="dxa"/>
            </w:tcMar>
            <w:vAlign w:val="center"/>
          </w:tcPr>
          <w:p w14:paraId="6A082FF6">
            <w:pPr>
              <w:adjustRightInd w:val="0"/>
              <w:snapToGrid w:val="0"/>
              <w:jc w:val="center"/>
              <w:rPr>
                <w:rFonts w:hint="eastAsia" w:ascii="宋体" w:hAnsi="宋体" w:cs="宋体"/>
                <w:sz w:val="24"/>
              </w:rPr>
            </w:pPr>
            <w:r>
              <w:rPr>
                <w:rFonts w:hint="eastAsia" w:ascii="宋体" w:hAnsi="宋体" w:cs="宋体"/>
                <w:sz w:val="24"/>
              </w:rPr>
              <w:t>项目审批（核准</w:t>
            </w:r>
            <w:r>
              <w:rPr>
                <w:rFonts w:ascii="宋体" w:hAnsi="宋体" w:cs="宋体"/>
                <w:sz w:val="24"/>
              </w:rPr>
              <w:t>/</w:t>
            </w:r>
          </w:p>
          <w:p w14:paraId="30296F33">
            <w:pPr>
              <w:adjustRightInd w:val="0"/>
              <w:snapToGrid w:val="0"/>
              <w:jc w:val="center"/>
              <w:rPr>
                <w:rFonts w:ascii="宋体" w:hAnsi="宋体" w:cs="宋体"/>
                <w:sz w:val="24"/>
              </w:rPr>
            </w:pPr>
            <w:r>
              <w:rPr>
                <w:rFonts w:hint="eastAsia" w:ascii="宋体" w:hAnsi="宋体" w:cs="宋体"/>
                <w:sz w:val="24"/>
              </w:rPr>
              <w:t>备案）部门（选填）</w:t>
            </w:r>
          </w:p>
        </w:tc>
        <w:tc>
          <w:tcPr>
            <w:tcW w:w="1152" w:type="pct"/>
            <w:noWrap w:val="0"/>
            <w:vAlign w:val="center"/>
          </w:tcPr>
          <w:p w14:paraId="02EE9DC0">
            <w:pPr>
              <w:adjustRightInd w:val="0"/>
              <w:snapToGrid w:val="0"/>
              <w:jc w:val="center"/>
              <w:rPr>
                <w:rFonts w:hint="eastAsia" w:ascii="宋体" w:hAnsi="宋体" w:cs="宋体"/>
                <w:sz w:val="24"/>
              </w:rPr>
            </w:pPr>
            <w:r>
              <w:rPr>
                <w:rFonts w:hint="eastAsia" w:ascii="宋体" w:hAnsi="宋体" w:cs="宋体"/>
                <w:sz w:val="24"/>
              </w:rPr>
              <w:t>/</w:t>
            </w:r>
          </w:p>
        </w:tc>
        <w:tc>
          <w:tcPr>
            <w:tcW w:w="1146" w:type="pct"/>
            <w:noWrap w:val="0"/>
            <w:vAlign w:val="center"/>
          </w:tcPr>
          <w:p w14:paraId="7F1FF659">
            <w:pPr>
              <w:adjustRightInd w:val="0"/>
              <w:snapToGrid w:val="0"/>
              <w:jc w:val="center"/>
              <w:rPr>
                <w:rFonts w:hint="eastAsia" w:ascii="宋体" w:hAnsi="宋体" w:cs="宋体"/>
                <w:sz w:val="24"/>
              </w:rPr>
            </w:pPr>
            <w:r>
              <w:rPr>
                <w:rFonts w:hint="eastAsia" w:ascii="宋体" w:hAnsi="宋体" w:cs="宋体"/>
                <w:sz w:val="24"/>
              </w:rPr>
              <w:t>项目审批（核准</w:t>
            </w:r>
            <w:r>
              <w:rPr>
                <w:rFonts w:ascii="宋体" w:hAnsi="宋体" w:cs="宋体"/>
                <w:sz w:val="24"/>
              </w:rPr>
              <w:t>/</w:t>
            </w:r>
          </w:p>
          <w:p w14:paraId="62D5888C">
            <w:pPr>
              <w:adjustRightInd w:val="0"/>
              <w:snapToGrid w:val="0"/>
              <w:jc w:val="center"/>
              <w:rPr>
                <w:rFonts w:hint="eastAsia" w:ascii="宋体" w:hAnsi="宋体" w:cs="宋体"/>
                <w:sz w:val="24"/>
              </w:rPr>
            </w:pPr>
            <w:r>
              <w:rPr>
                <w:rFonts w:hint="eastAsia" w:ascii="宋体" w:hAnsi="宋体" w:cs="宋体"/>
                <w:sz w:val="24"/>
              </w:rPr>
              <w:t>备案）文号（选填）</w:t>
            </w:r>
          </w:p>
        </w:tc>
        <w:tc>
          <w:tcPr>
            <w:tcW w:w="1755" w:type="pct"/>
            <w:noWrap w:val="0"/>
            <w:vAlign w:val="center"/>
          </w:tcPr>
          <w:p w14:paraId="3DE8F976">
            <w:pPr>
              <w:adjustRightInd w:val="0"/>
              <w:snapToGrid w:val="0"/>
              <w:jc w:val="center"/>
              <w:rPr>
                <w:rFonts w:hint="eastAsia" w:ascii="宋体" w:hAnsi="宋体" w:cs="宋体"/>
                <w:sz w:val="24"/>
              </w:rPr>
            </w:pPr>
            <w:r>
              <w:rPr>
                <w:rFonts w:hint="eastAsia" w:ascii="宋体" w:hAnsi="宋体" w:cs="宋体"/>
                <w:sz w:val="24"/>
              </w:rPr>
              <w:t>/</w:t>
            </w:r>
          </w:p>
        </w:tc>
      </w:tr>
      <w:tr w14:paraId="797D7A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45" w:type="pct"/>
            <w:noWrap w:val="0"/>
            <w:tcMar>
              <w:top w:w="16" w:type="dxa"/>
              <w:left w:w="16" w:type="dxa"/>
              <w:right w:w="16" w:type="dxa"/>
            </w:tcMar>
            <w:vAlign w:val="center"/>
          </w:tcPr>
          <w:p w14:paraId="505B7EDD">
            <w:pPr>
              <w:adjustRightInd w:val="0"/>
              <w:snapToGrid w:val="0"/>
              <w:jc w:val="center"/>
              <w:rPr>
                <w:rFonts w:ascii="宋体" w:hAnsi="宋体" w:cs="宋体"/>
                <w:sz w:val="24"/>
              </w:rPr>
            </w:pPr>
            <w:r>
              <w:rPr>
                <w:rFonts w:hint="eastAsia" w:ascii="宋体" w:hAnsi="宋体" w:cs="宋体"/>
                <w:sz w:val="24"/>
              </w:rPr>
              <w:t>总投资（万元）</w:t>
            </w:r>
          </w:p>
        </w:tc>
        <w:tc>
          <w:tcPr>
            <w:tcW w:w="1152" w:type="pct"/>
            <w:noWrap w:val="0"/>
            <w:vAlign w:val="center"/>
          </w:tcPr>
          <w:p w14:paraId="039DECB1">
            <w:pPr>
              <w:adjustRightInd w:val="0"/>
              <w:snapToGrid w:val="0"/>
              <w:jc w:val="center"/>
              <w:rPr>
                <w:rFonts w:ascii="宋体" w:hAnsi="宋体" w:cs="宋体"/>
                <w:sz w:val="24"/>
              </w:rPr>
            </w:pPr>
            <w:r>
              <w:rPr>
                <w:rFonts w:hint="eastAsia"/>
                <w:sz w:val="24"/>
              </w:rPr>
              <w:t>300</w:t>
            </w:r>
          </w:p>
        </w:tc>
        <w:tc>
          <w:tcPr>
            <w:tcW w:w="1146" w:type="pct"/>
            <w:noWrap w:val="0"/>
            <w:tcMar>
              <w:top w:w="16" w:type="dxa"/>
              <w:left w:w="16" w:type="dxa"/>
              <w:right w:w="16" w:type="dxa"/>
            </w:tcMar>
            <w:vAlign w:val="center"/>
          </w:tcPr>
          <w:p w14:paraId="31E692B3">
            <w:pPr>
              <w:adjustRightInd w:val="0"/>
              <w:snapToGrid w:val="0"/>
              <w:jc w:val="center"/>
              <w:rPr>
                <w:rFonts w:ascii="宋体" w:hAnsi="宋体" w:cs="宋体"/>
                <w:sz w:val="24"/>
              </w:rPr>
            </w:pPr>
            <w:r>
              <w:rPr>
                <w:rFonts w:hint="eastAsia" w:ascii="宋体" w:hAnsi="宋体" w:cs="宋体"/>
                <w:sz w:val="24"/>
              </w:rPr>
              <w:t>环保投资（万元）</w:t>
            </w:r>
          </w:p>
        </w:tc>
        <w:tc>
          <w:tcPr>
            <w:tcW w:w="1755" w:type="pct"/>
            <w:noWrap w:val="0"/>
            <w:vAlign w:val="center"/>
          </w:tcPr>
          <w:p w14:paraId="683B362C">
            <w:pPr>
              <w:adjustRightInd w:val="0"/>
              <w:snapToGrid w:val="0"/>
              <w:jc w:val="center"/>
              <w:rPr>
                <w:rFonts w:ascii="宋体" w:hAnsi="宋体" w:cs="宋体"/>
                <w:sz w:val="24"/>
              </w:rPr>
            </w:pPr>
            <w:r>
              <w:rPr>
                <w:rFonts w:hint="eastAsia"/>
                <w:sz w:val="24"/>
              </w:rPr>
              <w:t>16</w:t>
            </w:r>
          </w:p>
        </w:tc>
      </w:tr>
      <w:tr w14:paraId="2FB811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45" w:type="pct"/>
            <w:noWrap w:val="0"/>
            <w:tcMar>
              <w:top w:w="16" w:type="dxa"/>
              <w:left w:w="16" w:type="dxa"/>
              <w:right w:w="16" w:type="dxa"/>
            </w:tcMar>
            <w:vAlign w:val="center"/>
          </w:tcPr>
          <w:p w14:paraId="36B1FBE3">
            <w:pPr>
              <w:adjustRightInd w:val="0"/>
              <w:snapToGrid w:val="0"/>
              <w:jc w:val="center"/>
              <w:rPr>
                <w:rFonts w:ascii="宋体" w:hAnsi="宋体" w:cs="宋体"/>
                <w:sz w:val="24"/>
              </w:rPr>
            </w:pPr>
            <w:r>
              <w:rPr>
                <w:rFonts w:hint="eastAsia" w:ascii="宋体" w:hAnsi="宋体" w:cs="宋体"/>
                <w:sz w:val="24"/>
              </w:rPr>
              <w:t>环保投资占比（</w:t>
            </w:r>
            <w:r>
              <w:rPr>
                <w:rFonts w:ascii="宋体" w:hAnsi="宋体" w:cs="宋体"/>
                <w:sz w:val="24"/>
              </w:rPr>
              <w:t>%</w:t>
            </w:r>
            <w:r>
              <w:rPr>
                <w:rFonts w:hint="eastAsia" w:ascii="宋体" w:hAnsi="宋体" w:cs="宋体"/>
                <w:sz w:val="24"/>
              </w:rPr>
              <w:t>）</w:t>
            </w:r>
          </w:p>
        </w:tc>
        <w:tc>
          <w:tcPr>
            <w:tcW w:w="1152" w:type="pct"/>
            <w:noWrap w:val="0"/>
            <w:vAlign w:val="center"/>
          </w:tcPr>
          <w:p w14:paraId="5BFC4FBB">
            <w:pPr>
              <w:adjustRightInd w:val="0"/>
              <w:snapToGrid w:val="0"/>
              <w:jc w:val="center"/>
              <w:rPr>
                <w:rFonts w:ascii="宋体" w:hAnsi="宋体" w:cs="宋体"/>
                <w:sz w:val="24"/>
              </w:rPr>
            </w:pPr>
            <w:r>
              <w:rPr>
                <w:rFonts w:hint="eastAsia"/>
                <w:sz w:val="24"/>
              </w:rPr>
              <w:t>0.35</w:t>
            </w:r>
          </w:p>
        </w:tc>
        <w:tc>
          <w:tcPr>
            <w:tcW w:w="1146" w:type="pct"/>
            <w:noWrap w:val="0"/>
            <w:tcMar>
              <w:top w:w="16" w:type="dxa"/>
              <w:left w:w="16" w:type="dxa"/>
              <w:right w:w="16" w:type="dxa"/>
            </w:tcMar>
            <w:vAlign w:val="center"/>
          </w:tcPr>
          <w:p w14:paraId="1D7F1F90">
            <w:pPr>
              <w:adjustRightInd w:val="0"/>
              <w:snapToGrid w:val="0"/>
              <w:jc w:val="center"/>
              <w:rPr>
                <w:rFonts w:ascii="宋体" w:hAnsi="宋体" w:cs="宋体"/>
                <w:sz w:val="24"/>
              </w:rPr>
            </w:pPr>
            <w:r>
              <w:rPr>
                <w:rFonts w:hint="eastAsia" w:ascii="宋体" w:hAnsi="宋体" w:cs="宋体"/>
                <w:sz w:val="24"/>
              </w:rPr>
              <w:t>施工工期</w:t>
            </w:r>
          </w:p>
        </w:tc>
        <w:tc>
          <w:tcPr>
            <w:tcW w:w="1755" w:type="pct"/>
            <w:noWrap w:val="0"/>
            <w:vAlign w:val="center"/>
          </w:tcPr>
          <w:p w14:paraId="1E2471C7">
            <w:pPr>
              <w:adjustRightInd w:val="0"/>
              <w:snapToGrid w:val="0"/>
              <w:jc w:val="center"/>
              <w:rPr>
                <w:rFonts w:ascii="宋体" w:hAnsi="宋体" w:cs="宋体"/>
                <w:sz w:val="24"/>
              </w:rPr>
            </w:pPr>
            <w:r>
              <w:rPr>
                <w:rFonts w:hint="eastAsia"/>
                <w:sz w:val="24"/>
              </w:rPr>
              <w:t>2</w:t>
            </w:r>
            <w:r>
              <w:rPr>
                <w:sz w:val="24"/>
              </w:rPr>
              <w:t>个月</w:t>
            </w:r>
          </w:p>
        </w:tc>
      </w:tr>
      <w:tr w14:paraId="3656BA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45" w:type="pct"/>
            <w:noWrap w:val="0"/>
            <w:tcMar>
              <w:top w:w="16" w:type="dxa"/>
              <w:left w:w="16" w:type="dxa"/>
              <w:right w:w="16" w:type="dxa"/>
            </w:tcMar>
            <w:vAlign w:val="center"/>
          </w:tcPr>
          <w:p w14:paraId="16A166BF">
            <w:pPr>
              <w:adjustRightInd w:val="0"/>
              <w:snapToGrid w:val="0"/>
              <w:jc w:val="center"/>
              <w:rPr>
                <w:rFonts w:hint="eastAsia" w:ascii="宋体" w:hAnsi="宋体" w:cs="宋体"/>
                <w:sz w:val="24"/>
              </w:rPr>
            </w:pPr>
            <w:r>
              <w:rPr>
                <w:rFonts w:hint="eastAsia" w:ascii="宋体" w:hAnsi="宋体" w:cs="宋体"/>
                <w:sz w:val="24"/>
              </w:rPr>
              <w:t>是否开工建设</w:t>
            </w:r>
          </w:p>
        </w:tc>
        <w:tc>
          <w:tcPr>
            <w:tcW w:w="1152" w:type="pct"/>
            <w:noWrap w:val="0"/>
            <w:vAlign w:val="center"/>
          </w:tcPr>
          <w:p w14:paraId="31CAFE0E">
            <w:pPr>
              <w:adjustRightInd w:val="0"/>
              <w:snapToGrid w:val="0"/>
              <w:rPr>
                <w:rFonts w:ascii="宋体" w:hAnsi="宋体" w:cs="宋体"/>
                <w:sz w:val="24"/>
              </w:rPr>
            </w:pPr>
            <w:r>
              <w:rPr>
                <w:rFonts w:hint="eastAsia" w:ascii="宋体" w:hAnsi="宋体" w:cs="宋体"/>
                <w:sz w:val="24"/>
              </w:rPr>
              <w:t>☑否</w:t>
            </w:r>
          </w:p>
          <w:p w14:paraId="4A9E1BC1">
            <w:pPr>
              <w:adjustRightInd w:val="0"/>
              <w:snapToGrid w:val="0"/>
              <w:rPr>
                <w:rFonts w:ascii="宋体" w:hAnsi="宋体" w:cs="宋体"/>
                <w:sz w:val="24"/>
              </w:rPr>
            </w:pPr>
            <w:r>
              <w:rPr>
                <w:rFonts w:hint="eastAsia" w:ascii="宋体" w:hAnsi="宋体" w:cs="宋体"/>
                <w:sz w:val="24"/>
              </w:rPr>
              <w:t xml:space="preserve">□是：             </w:t>
            </w:r>
          </w:p>
        </w:tc>
        <w:tc>
          <w:tcPr>
            <w:tcW w:w="1146" w:type="pct"/>
            <w:noWrap w:val="0"/>
            <w:tcMar>
              <w:top w:w="16" w:type="dxa"/>
              <w:left w:w="16" w:type="dxa"/>
              <w:right w:w="16" w:type="dxa"/>
            </w:tcMar>
            <w:vAlign w:val="center"/>
          </w:tcPr>
          <w:p w14:paraId="7772CBC1">
            <w:pPr>
              <w:adjustRightInd w:val="0"/>
              <w:snapToGrid w:val="0"/>
              <w:jc w:val="left"/>
              <w:rPr>
                <w:rFonts w:hint="eastAsia" w:ascii="宋体" w:hAnsi="宋体" w:cs="宋体"/>
                <w:sz w:val="24"/>
              </w:rPr>
            </w:pPr>
            <w:r>
              <w:rPr>
                <w:rFonts w:hint="eastAsia" w:ascii="宋体" w:hAnsi="宋体" w:cs="宋体"/>
                <w:spacing w:val="-6"/>
                <w:sz w:val="24"/>
              </w:rPr>
              <w:t>用地（用海）面积（</w:t>
            </w:r>
            <w:r>
              <w:rPr>
                <w:sz w:val="24"/>
              </w:rPr>
              <w:t>m</w:t>
            </w:r>
            <w:r>
              <w:rPr>
                <w:sz w:val="24"/>
                <w:vertAlign w:val="superscript"/>
              </w:rPr>
              <w:t>2</w:t>
            </w:r>
            <w:r>
              <w:rPr>
                <w:rFonts w:hint="eastAsia" w:ascii="宋体" w:hAnsi="宋体" w:cs="宋体"/>
                <w:spacing w:val="-6"/>
                <w:sz w:val="24"/>
              </w:rPr>
              <w:t>）</w:t>
            </w:r>
          </w:p>
        </w:tc>
        <w:tc>
          <w:tcPr>
            <w:tcW w:w="1755" w:type="pct"/>
            <w:noWrap w:val="0"/>
            <w:vAlign w:val="center"/>
          </w:tcPr>
          <w:p w14:paraId="0D69F1CB">
            <w:pPr>
              <w:adjustRightInd w:val="0"/>
              <w:snapToGrid w:val="0"/>
              <w:jc w:val="center"/>
              <w:rPr>
                <w:rFonts w:hint="default" w:ascii="宋体" w:hAnsi="宋体" w:eastAsia="宋体" w:cs="宋体"/>
                <w:sz w:val="24"/>
                <w:lang w:val="en-US" w:eastAsia="zh-CN"/>
              </w:rPr>
            </w:pPr>
            <w:r>
              <w:rPr>
                <w:rFonts w:hint="eastAsia"/>
                <w:sz w:val="24"/>
                <w:lang w:val="en-US" w:eastAsia="zh-CN"/>
              </w:rPr>
              <w:t>1189</w:t>
            </w:r>
          </w:p>
        </w:tc>
      </w:tr>
      <w:tr w14:paraId="145358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00" w:type="dxa"/>
            <w:noWrap w:val="0"/>
            <w:vAlign w:val="center"/>
          </w:tcPr>
          <w:p w14:paraId="6293C56A">
            <w:pPr>
              <w:autoSpaceDE w:val="0"/>
              <w:autoSpaceDN w:val="0"/>
              <w:adjustRightInd w:val="0"/>
              <w:snapToGrid w:val="0"/>
              <w:jc w:val="center"/>
              <w:rPr>
                <w:rFonts w:ascii="宋体" w:hAnsi="宋体" w:cs="宋体"/>
                <w:kern w:val="0"/>
                <w:sz w:val="24"/>
              </w:rPr>
            </w:pPr>
            <w:r>
              <w:rPr>
                <w:kern w:val="0"/>
                <w:sz w:val="24"/>
              </w:rPr>
              <w:t>专项评价设置情况</w:t>
            </w:r>
          </w:p>
        </w:tc>
        <w:tc>
          <w:tcPr>
            <w:tcW w:w="8153" w:type="dxa"/>
            <w:gridSpan w:val="3"/>
            <w:noWrap w:val="0"/>
            <w:vAlign w:val="center"/>
          </w:tcPr>
          <w:p w14:paraId="2900161F">
            <w:pPr>
              <w:autoSpaceDE w:val="0"/>
              <w:autoSpaceDN w:val="0"/>
              <w:adjustRightInd w:val="0"/>
              <w:snapToGrid w:val="0"/>
              <w:jc w:val="center"/>
              <w:rPr>
                <w:rFonts w:hint="eastAsia"/>
                <w:sz w:val="24"/>
              </w:rPr>
            </w:pPr>
            <w:r>
              <w:rPr>
                <w:kern w:val="0"/>
                <w:sz w:val="24"/>
              </w:rPr>
              <w:t>无</w:t>
            </w:r>
          </w:p>
        </w:tc>
      </w:tr>
      <w:tr w14:paraId="75D530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5" w:type="pct"/>
            <w:noWrap w:val="0"/>
            <w:vAlign w:val="center"/>
          </w:tcPr>
          <w:p w14:paraId="68ED7818">
            <w:pPr>
              <w:autoSpaceDE w:val="0"/>
              <w:autoSpaceDN w:val="0"/>
              <w:adjustRightInd w:val="0"/>
              <w:snapToGrid w:val="0"/>
              <w:jc w:val="center"/>
              <w:rPr>
                <w:rFonts w:hint="eastAsia" w:ascii="宋体" w:hAnsi="宋体" w:cs="宋体"/>
                <w:kern w:val="0"/>
                <w:sz w:val="24"/>
              </w:rPr>
            </w:pPr>
            <w:r>
              <w:rPr>
                <w:rFonts w:hint="eastAsia" w:ascii="宋体" w:hAnsi="宋体" w:cs="宋体"/>
                <w:kern w:val="0"/>
                <w:sz w:val="24"/>
              </w:rPr>
              <w:t>规划情况</w:t>
            </w:r>
          </w:p>
        </w:tc>
        <w:tc>
          <w:tcPr>
            <w:tcW w:w="4054" w:type="pct"/>
            <w:gridSpan w:val="3"/>
            <w:noWrap w:val="0"/>
            <w:vAlign w:val="center"/>
          </w:tcPr>
          <w:p w14:paraId="1E253A24">
            <w:pPr>
              <w:autoSpaceDE w:val="0"/>
              <w:autoSpaceDN w:val="0"/>
              <w:adjustRightInd w:val="0"/>
              <w:snapToGrid w:val="0"/>
              <w:spacing w:line="360" w:lineRule="auto"/>
              <w:ind w:firstLine="480" w:firstLineChars="200"/>
              <w:rPr>
                <w:rFonts w:hint="eastAsia"/>
              </w:rPr>
            </w:pPr>
            <w:r>
              <w:rPr>
                <w:rFonts w:hint="eastAsia"/>
                <w:sz w:val="24"/>
              </w:rPr>
              <w:t>2016年5月4日吉林省人民政府以《吉林省人民政府关于同意设立</w:t>
            </w:r>
            <w:r>
              <w:rPr>
                <w:rFonts w:hint="eastAsia"/>
                <w:sz w:val="24"/>
                <w:lang w:val="zh-CN"/>
              </w:rPr>
              <w:t>长春北湖科技开发区的批复</w:t>
            </w:r>
            <w:r>
              <w:rPr>
                <w:rFonts w:hint="eastAsia"/>
                <w:sz w:val="24"/>
              </w:rPr>
              <w:t>》（吉政函[2016]44号）设立</w:t>
            </w:r>
            <w:r>
              <w:rPr>
                <w:rFonts w:hint="eastAsia"/>
                <w:sz w:val="24"/>
                <w:lang w:val="zh-CN"/>
              </w:rPr>
              <w:t>长春北湖科技开发区。</w:t>
            </w:r>
          </w:p>
        </w:tc>
      </w:tr>
      <w:tr w14:paraId="69F9BA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5" w:type="pct"/>
            <w:noWrap w:val="0"/>
            <w:vAlign w:val="center"/>
          </w:tcPr>
          <w:p w14:paraId="7EF52B87">
            <w:pPr>
              <w:autoSpaceDE w:val="0"/>
              <w:autoSpaceDN w:val="0"/>
              <w:adjustRightInd w:val="0"/>
              <w:snapToGrid w:val="0"/>
              <w:jc w:val="center"/>
              <w:rPr>
                <w:rFonts w:hint="eastAsia" w:ascii="宋体" w:hAnsi="宋体" w:cs="宋体"/>
                <w:sz w:val="24"/>
              </w:rPr>
            </w:pPr>
            <w:r>
              <w:rPr>
                <w:rFonts w:hint="eastAsia" w:ascii="宋体" w:hAnsi="宋体" w:cs="宋体"/>
                <w:sz w:val="24"/>
              </w:rPr>
              <w:t>规划环境影响</w:t>
            </w:r>
          </w:p>
          <w:p w14:paraId="655DE692">
            <w:pPr>
              <w:autoSpaceDE w:val="0"/>
              <w:autoSpaceDN w:val="0"/>
              <w:adjustRightInd w:val="0"/>
              <w:snapToGrid w:val="0"/>
              <w:jc w:val="center"/>
              <w:rPr>
                <w:rFonts w:hint="eastAsia" w:ascii="宋体" w:hAnsi="宋体" w:cs="宋体"/>
                <w:sz w:val="24"/>
              </w:rPr>
            </w:pPr>
            <w:r>
              <w:rPr>
                <w:rFonts w:hint="eastAsia" w:ascii="宋体" w:hAnsi="宋体" w:cs="宋体"/>
                <w:sz w:val="24"/>
              </w:rPr>
              <w:t>评价情况</w:t>
            </w:r>
          </w:p>
        </w:tc>
        <w:tc>
          <w:tcPr>
            <w:tcW w:w="4054" w:type="pct"/>
            <w:gridSpan w:val="3"/>
            <w:noWrap w:val="0"/>
            <w:vAlign w:val="center"/>
          </w:tcPr>
          <w:p w14:paraId="5030C9B2">
            <w:pPr>
              <w:autoSpaceDE w:val="0"/>
              <w:autoSpaceDN w:val="0"/>
              <w:adjustRightInd w:val="0"/>
              <w:snapToGrid w:val="0"/>
              <w:spacing w:line="360" w:lineRule="auto"/>
              <w:ind w:firstLine="480" w:firstLineChars="200"/>
              <w:rPr>
                <w:rFonts w:hint="eastAsia"/>
                <w:sz w:val="24"/>
              </w:rPr>
            </w:pPr>
            <w:r>
              <w:rPr>
                <w:rFonts w:hint="eastAsia"/>
                <w:sz w:val="24"/>
              </w:rPr>
              <w:t>2021年，长春北湖科技开发区管理委员会委托吉林省中实全过程工程设计咨询有限公司编制了《长春北湖科技开发区分区规划（2018-2030）修编环境影响报告书》，</w:t>
            </w:r>
            <w:r>
              <w:rPr>
                <w:rFonts w:hint="eastAsia"/>
                <w:sz w:val="24"/>
                <w:highlight w:val="none"/>
              </w:rPr>
              <w:t>于2021年7月16日取得了《吉林省生态环境厅关于长春北湖科技开发区分区规划（2018-2030）修编环境影响报告书的审查意见》（吉环环评字[2021]27号），详见附件1</w:t>
            </w:r>
            <w:r>
              <w:rPr>
                <w:rFonts w:hint="eastAsia"/>
                <w:sz w:val="24"/>
              </w:rPr>
              <w:t>。</w:t>
            </w:r>
          </w:p>
        </w:tc>
      </w:tr>
      <w:tr w14:paraId="1EDDF3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5" w:type="pct"/>
            <w:noWrap w:val="0"/>
            <w:vAlign w:val="center"/>
          </w:tcPr>
          <w:p w14:paraId="0558D93A">
            <w:pPr>
              <w:autoSpaceDE w:val="0"/>
              <w:autoSpaceDN w:val="0"/>
              <w:adjustRightInd w:val="0"/>
              <w:snapToGrid w:val="0"/>
              <w:jc w:val="center"/>
              <w:rPr>
                <w:rFonts w:hint="eastAsia" w:ascii="宋体" w:hAnsi="宋体" w:cs="宋体"/>
                <w:kern w:val="0"/>
                <w:sz w:val="24"/>
                <w:highlight w:val="none"/>
              </w:rPr>
            </w:pPr>
            <w:r>
              <w:rPr>
                <w:rFonts w:hint="eastAsia" w:ascii="宋体" w:hAnsi="宋体" w:cs="宋体"/>
                <w:kern w:val="0"/>
                <w:sz w:val="24"/>
                <w:highlight w:val="none"/>
              </w:rPr>
              <w:t>规划及规划环境</w:t>
            </w:r>
          </w:p>
          <w:p w14:paraId="0AB5CBE0">
            <w:pPr>
              <w:autoSpaceDE w:val="0"/>
              <w:autoSpaceDN w:val="0"/>
              <w:adjustRightInd w:val="0"/>
              <w:snapToGrid w:val="0"/>
              <w:jc w:val="center"/>
              <w:rPr>
                <w:rFonts w:ascii="宋体" w:hAnsi="宋体" w:cs="宋体"/>
                <w:kern w:val="0"/>
                <w:sz w:val="24"/>
              </w:rPr>
            </w:pPr>
            <w:r>
              <w:rPr>
                <w:rFonts w:hint="eastAsia" w:ascii="宋体" w:hAnsi="宋体" w:cs="宋体"/>
                <w:kern w:val="0"/>
                <w:sz w:val="24"/>
                <w:highlight w:val="none"/>
              </w:rPr>
              <w:t>影响评价符合性分析</w:t>
            </w:r>
          </w:p>
        </w:tc>
        <w:tc>
          <w:tcPr>
            <w:tcW w:w="4054" w:type="pct"/>
            <w:gridSpan w:val="3"/>
            <w:noWrap w:val="0"/>
            <w:vAlign w:val="center"/>
          </w:tcPr>
          <w:p w14:paraId="73EC780F">
            <w:pPr>
              <w:autoSpaceDE w:val="0"/>
              <w:autoSpaceDN w:val="0"/>
              <w:adjustRightInd w:val="0"/>
              <w:snapToGrid w:val="0"/>
              <w:spacing w:line="360" w:lineRule="auto"/>
              <w:ind w:firstLine="482" w:firstLineChars="200"/>
              <w:rPr>
                <w:rFonts w:hint="eastAsia"/>
                <w:b/>
                <w:bCs/>
                <w:kern w:val="0"/>
                <w:sz w:val="24"/>
              </w:rPr>
            </w:pPr>
            <w:r>
              <w:rPr>
                <w:rFonts w:hint="eastAsia"/>
                <w:b/>
                <w:bCs/>
                <w:kern w:val="0"/>
                <w:sz w:val="24"/>
              </w:rPr>
              <w:t>1、与规划环评产业布局合理性分析</w:t>
            </w:r>
          </w:p>
          <w:p w14:paraId="62957546">
            <w:pPr>
              <w:autoSpaceDE w:val="0"/>
              <w:autoSpaceDN w:val="0"/>
              <w:adjustRightInd w:val="0"/>
              <w:snapToGrid w:val="0"/>
              <w:spacing w:line="360" w:lineRule="auto"/>
              <w:ind w:firstLine="480" w:firstLineChars="200"/>
              <w:rPr>
                <w:rFonts w:hint="eastAsia"/>
                <w:kern w:val="0"/>
                <w:sz w:val="24"/>
              </w:rPr>
            </w:pPr>
            <w:r>
              <w:rPr>
                <w:rFonts w:hint="eastAsia"/>
                <w:kern w:val="0"/>
                <w:sz w:val="24"/>
              </w:rPr>
              <w:t>根据《吉林省生态环境厅关于长春北湖科技开发区分区规划（2018-2030）修编环境影响报告书的审查意见》（吉环环评字[2021]27号），规划开发区的产业定位为：以交通工具制造业、医药健康产业、光机电一体化装备制造业、新材料新能源产业、精细化工新材料等产业为支柱，以电商产业、保税物流、专业物流、装备物流为基础，以高端生产性服务业为核心的高端化、集群化、融合型的现代产业体系，实现长春北湖科技开发区产业在总量稳定增长基础上的结构优化，确保长春北湖科技开发区经济的跨越式发展和可持续发展。功能分区布局：四个一级功能区都市农业产业园、科技创新中心、配套生活区、智能工业与物流发展区。其中科技创新中心主要产业发展方向为智能装备、特种材料、基因工程类疫苗、研发与实验、商业服务等。</w:t>
            </w:r>
          </w:p>
          <w:p w14:paraId="6E8AEF85">
            <w:pPr>
              <w:autoSpaceDE w:val="0"/>
              <w:autoSpaceDN w:val="0"/>
              <w:adjustRightInd w:val="0"/>
              <w:snapToGrid w:val="0"/>
              <w:spacing w:line="360" w:lineRule="auto"/>
              <w:ind w:firstLine="480" w:firstLineChars="200"/>
              <w:rPr>
                <w:rFonts w:hint="eastAsia"/>
                <w:kern w:val="0"/>
                <w:sz w:val="24"/>
              </w:rPr>
            </w:pPr>
            <w:r>
              <w:rPr>
                <w:rFonts w:hint="eastAsia"/>
                <w:kern w:val="0"/>
                <w:sz w:val="24"/>
              </w:rPr>
              <w:t>本项目位于智能工业与物流发展区的新材料产业园，新材料产业园主要发展方向为：信息材料、汽车材料、能源材料、纳米材料、新型建筑材料等新材料。主要为大型钢结构用新型防腐涂料研发与实验，</w:t>
            </w:r>
            <w:r>
              <w:rPr>
                <w:rFonts w:hint="eastAsia"/>
                <w:kern w:val="0"/>
                <w:sz w:val="24"/>
                <w:highlight w:val="none"/>
              </w:rPr>
              <w:t>属于新材料研发，</w:t>
            </w:r>
            <w:r>
              <w:rPr>
                <w:rFonts w:hint="eastAsia"/>
                <w:kern w:val="0"/>
                <w:sz w:val="24"/>
              </w:rPr>
              <w:t>符合园区的产业定位，符合开发区规划布局要求。项目在开发区产业布局图中的位置详见附图3。</w:t>
            </w:r>
          </w:p>
          <w:p w14:paraId="7CB8941D">
            <w:pPr>
              <w:autoSpaceDE w:val="0"/>
              <w:autoSpaceDN w:val="0"/>
              <w:adjustRightInd w:val="0"/>
              <w:snapToGrid w:val="0"/>
              <w:spacing w:line="360" w:lineRule="auto"/>
              <w:ind w:firstLine="482" w:firstLineChars="200"/>
              <w:rPr>
                <w:rFonts w:hint="eastAsia"/>
                <w:b/>
                <w:bCs/>
                <w:kern w:val="0"/>
                <w:sz w:val="24"/>
              </w:rPr>
            </w:pPr>
            <w:r>
              <w:rPr>
                <w:rFonts w:hint="eastAsia"/>
                <w:b/>
                <w:bCs/>
                <w:kern w:val="0"/>
                <w:sz w:val="24"/>
              </w:rPr>
              <w:t>2、用地规划符合性分析</w:t>
            </w:r>
          </w:p>
          <w:p w14:paraId="70CB0435">
            <w:pPr>
              <w:autoSpaceDE w:val="0"/>
              <w:autoSpaceDN w:val="0"/>
              <w:adjustRightInd w:val="0"/>
              <w:snapToGrid w:val="0"/>
              <w:spacing w:line="360" w:lineRule="auto"/>
              <w:ind w:firstLine="480" w:firstLineChars="200"/>
              <w:rPr>
                <w:kern w:val="0"/>
                <w:sz w:val="24"/>
              </w:rPr>
            </w:pPr>
            <w:r>
              <w:rPr>
                <w:kern w:val="0"/>
                <w:sz w:val="24"/>
              </w:rPr>
              <w:t>本项目租用开发区</w:t>
            </w:r>
            <w:r>
              <w:rPr>
                <w:rFonts w:hint="eastAsia"/>
                <w:kern w:val="0"/>
                <w:sz w:val="24"/>
              </w:rPr>
              <w:t>吉兴产业园</w:t>
            </w:r>
            <w:r>
              <w:rPr>
                <w:kern w:val="0"/>
                <w:sz w:val="24"/>
              </w:rPr>
              <w:t>现有厂房</w:t>
            </w:r>
            <w:r>
              <w:rPr>
                <w:rFonts w:hint="eastAsia"/>
                <w:kern w:val="0"/>
                <w:sz w:val="24"/>
                <w:lang w:eastAsia="zh-CN"/>
              </w:rPr>
              <w:t>，根据《长春新区支持吉兴产业园发展若干政策》长新管规﹝2023﹞12号，“鼓励引进、建立研发机构。对吉林大学引进新区，新认定的国家级科研院所、国家重点实验室、国家工程实验室、国家工</w:t>
            </w:r>
            <w:r>
              <w:rPr>
                <w:rFonts w:hint="default" w:ascii="Times New Roman" w:hAnsi="Times New Roman" w:cs="Times New Roman"/>
                <w:kern w:val="0"/>
                <w:sz w:val="24"/>
                <w:lang w:eastAsia="zh-CN"/>
              </w:rPr>
              <w:t>程研究中</w:t>
            </w:r>
            <w:r>
              <w:rPr>
                <w:rFonts w:hint="eastAsia"/>
                <w:kern w:val="0"/>
                <w:sz w:val="24"/>
                <w:lang w:eastAsia="zh-CN"/>
              </w:rPr>
              <w:t>心、国家级企业技术中心”，本项目与</w:t>
            </w:r>
            <w:r>
              <w:rPr>
                <w:rFonts w:hint="eastAsia"/>
                <w:kern w:val="0"/>
                <w:sz w:val="24"/>
              </w:rPr>
              <w:t>吉兴产业园</w:t>
            </w:r>
            <w:r>
              <w:rPr>
                <w:rFonts w:hint="eastAsia"/>
                <w:kern w:val="0"/>
                <w:sz w:val="24"/>
                <w:lang w:eastAsia="zh-CN"/>
              </w:rPr>
              <w:t>引进项目类别是相符的。</w:t>
            </w:r>
            <w:r>
              <w:rPr>
                <w:kern w:val="0"/>
                <w:sz w:val="24"/>
              </w:rPr>
              <w:t>租赁协议详见</w:t>
            </w:r>
            <w:r>
              <w:rPr>
                <w:kern w:val="0"/>
                <w:sz w:val="24"/>
                <w:highlight w:val="none"/>
              </w:rPr>
              <w:t>附件3</w:t>
            </w:r>
            <w:r>
              <w:rPr>
                <w:kern w:val="0"/>
                <w:sz w:val="24"/>
              </w:rPr>
              <w:t>，用地性质为工业用地</w:t>
            </w:r>
            <w:r>
              <w:rPr>
                <w:rFonts w:hint="eastAsia"/>
                <w:i/>
                <w:iCs/>
                <w:kern w:val="0"/>
                <w:sz w:val="24"/>
                <w:u w:val="single"/>
                <w:lang w:eastAsia="zh-CN"/>
              </w:rPr>
              <w:t>（二类工业用地）</w:t>
            </w:r>
            <w:r>
              <w:rPr>
                <w:kern w:val="0"/>
                <w:sz w:val="24"/>
              </w:rPr>
              <w:t>，符合规划用地要求，项目在北湖科技开发区建设用地规划图中的位置详见附图2。</w:t>
            </w:r>
          </w:p>
          <w:p w14:paraId="7BDCF36B">
            <w:pPr>
              <w:numPr>
                <w:ilvl w:val="0"/>
                <w:numId w:val="0"/>
              </w:numPr>
              <w:autoSpaceDE w:val="0"/>
              <w:autoSpaceDN w:val="0"/>
              <w:adjustRightInd w:val="0"/>
              <w:snapToGrid w:val="0"/>
              <w:spacing w:line="360" w:lineRule="auto"/>
              <w:ind w:firstLine="482" w:firstLineChars="200"/>
              <w:rPr>
                <w:rFonts w:hint="eastAsia"/>
                <w:b/>
                <w:bCs/>
                <w:color w:val="auto"/>
                <w:kern w:val="0"/>
                <w:sz w:val="24"/>
                <w:u w:val="none"/>
              </w:rPr>
            </w:pPr>
            <w:r>
              <w:rPr>
                <w:rFonts w:hint="eastAsia"/>
                <w:b/>
                <w:bCs/>
                <w:color w:val="auto"/>
                <w:kern w:val="0"/>
                <w:sz w:val="24"/>
                <w:u w:val="none"/>
                <w:lang w:val="en-US" w:eastAsia="zh-CN"/>
              </w:rPr>
              <w:t>3、</w:t>
            </w:r>
            <w:r>
              <w:rPr>
                <w:rFonts w:hint="eastAsia"/>
                <w:b/>
                <w:bCs/>
                <w:color w:val="auto"/>
                <w:kern w:val="0"/>
                <w:sz w:val="24"/>
                <w:u w:val="none"/>
              </w:rPr>
              <w:t>与规划环评审查意见的符合性分析</w:t>
            </w:r>
          </w:p>
          <w:p w14:paraId="26A23C04">
            <w:pPr>
              <w:pStyle w:val="61"/>
              <w:tabs>
                <w:tab w:val="clear" w:pos="3437"/>
              </w:tabs>
              <w:spacing w:before="0" w:beforeLines="0"/>
              <w:rPr>
                <w:color w:val="auto"/>
                <w:u w:val="none"/>
              </w:rPr>
            </w:pPr>
            <w:r>
              <w:rPr>
                <w:color w:val="auto"/>
                <w:u w:val="none"/>
              </w:rPr>
              <w:t>表</w:t>
            </w:r>
            <w:r>
              <w:rPr>
                <w:rFonts w:hint="eastAsia"/>
                <w:color w:val="auto"/>
                <w:u w:val="none"/>
                <w:lang w:val="en-US" w:eastAsia="zh-CN"/>
              </w:rPr>
              <w:t>1-</w:t>
            </w:r>
            <w:r>
              <w:rPr>
                <w:rFonts w:hint="eastAsia"/>
                <w:color w:val="auto"/>
                <w:u w:val="none"/>
              </w:rPr>
              <w:t xml:space="preserve">1 </w:t>
            </w:r>
            <w:r>
              <w:rPr>
                <w:color w:val="auto"/>
                <w:u w:val="none"/>
              </w:rPr>
              <w:t xml:space="preserve"> </w:t>
            </w:r>
            <w:r>
              <w:rPr>
                <w:rFonts w:hint="eastAsia"/>
                <w:color w:val="auto"/>
                <w:u w:val="none"/>
              </w:rPr>
              <w:t>与规划环评审查意见的相符性分析</w:t>
            </w:r>
          </w:p>
          <w:tbl>
            <w:tblPr>
              <w:tblStyle w:val="2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13"/>
              <w:gridCol w:w="3960"/>
              <w:gridCol w:w="2379"/>
              <w:gridCol w:w="858"/>
              <w:gridCol w:w="26"/>
            </w:tblGrid>
            <w:tr w14:paraId="09CFD71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49" w:type="pct"/>
                  <w:noWrap w:val="0"/>
                  <w:vAlign w:val="center"/>
                </w:tcPr>
                <w:p w14:paraId="0B958AF2">
                  <w:pPr>
                    <w:pStyle w:val="82"/>
                    <w:jc w:val="center"/>
                    <w:rPr>
                      <w:rFonts w:hint="default" w:ascii="Times New Roman" w:hAnsi="Times New Roman" w:eastAsia="宋体" w:cs="Times New Roman"/>
                      <w:color w:val="auto"/>
                      <w:u w:val="none"/>
                      <w:lang w:eastAsia="zh-CN"/>
                    </w:rPr>
                  </w:pPr>
                  <w:r>
                    <w:rPr>
                      <w:rFonts w:hint="default" w:ascii="Times New Roman" w:hAnsi="Times New Roman" w:cs="Times New Roman"/>
                      <w:color w:val="auto"/>
                      <w:u w:val="none"/>
                      <w:lang w:eastAsia="zh-CN"/>
                    </w:rPr>
                    <w:t>序号</w:t>
                  </w:r>
                </w:p>
              </w:tc>
              <w:tc>
                <w:tcPr>
                  <w:tcW w:w="2494" w:type="pct"/>
                  <w:noWrap w:val="0"/>
                  <w:vAlign w:val="center"/>
                </w:tcPr>
                <w:p w14:paraId="26CBCF29">
                  <w:pPr>
                    <w:pStyle w:val="82"/>
                    <w:jc w:val="center"/>
                    <w:rPr>
                      <w:rFonts w:hint="default" w:ascii="Times New Roman" w:hAnsi="Times New Roman" w:cs="Times New Roman"/>
                      <w:color w:val="auto"/>
                      <w:u w:val="none"/>
                    </w:rPr>
                  </w:pPr>
                  <w:r>
                    <w:rPr>
                      <w:rFonts w:hint="default" w:ascii="Times New Roman" w:hAnsi="Times New Roman" w:cs="Times New Roman"/>
                      <w:color w:val="auto"/>
                      <w:u w:val="none"/>
                    </w:rPr>
                    <w:t>管控要求</w:t>
                  </w:r>
                </w:p>
              </w:tc>
              <w:tc>
                <w:tcPr>
                  <w:tcW w:w="1498" w:type="pct"/>
                  <w:noWrap w:val="0"/>
                  <w:vAlign w:val="center"/>
                </w:tcPr>
                <w:p w14:paraId="5EC84AC0">
                  <w:pPr>
                    <w:pStyle w:val="82"/>
                    <w:jc w:val="center"/>
                    <w:rPr>
                      <w:rFonts w:hint="default" w:ascii="Times New Roman" w:hAnsi="Times New Roman" w:cs="Times New Roman"/>
                      <w:color w:val="auto"/>
                      <w:u w:val="none"/>
                    </w:rPr>
                  </w:pPr>
                  <w:r>
                    <w:rPr>
                      <w:rFonts w:hint="default" w:ascii="Times New Roman" w:hAnsi="Times New Roman" w:cs="Times New Roman"/>
                      <w:color w:val="auto"/>
                      <w:u w:val="none"/>
                    </w:rPr>
                    <w:t>本项目情况</w:t>
                  </w:r>
                </w:p>
              </w:tc>
              <w:tc>
                <w:tcPr>
                  <w:tcW w:w="556" w:type="pct"/>
                  <w:gridSpan w:val="2"/>
                  <w:noWrap w:val="0"/>
                  <w:vAlign w:val="center"/>
                </w:tcPr>
                <w:p w14:paraId="31C47884">
                  <w:pPr>
                    <w:pStyle w:val="82"/>
                    <w:jc w:val="center"/>
                    <w:rPr>
                      <w:rFonts w:hint="default" w:ascii="Times New Roman" w:hAnsi="Times New Roman" w:cs="Times New Roman"/>
                      <w:color w:val="auto"/>
                      <w:u w:val="none"/>
                    </w:rPr>
                  </w:pPr>
                  <w:r>
                    <w:rPr>
                      <w:rFonts w:hint="default" w:ascii="Times New Roman" w:hAnsi="Times New Roman" w:cs="Times New Roman"/>
                      <w:color w:val="auto"/>
                      <w:u w:val="none"/>
                    </w:rPr>
                    <w:t>符合性分析</w:t>
                  </w:r>
                </w:p>
              </w:tc>
            </w:tr>
            <w:tr w14:paraId="74A52AB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49" w:type="pct"/>
                  <w:noWrap w:val="0"/>
                  <w:vAlign w:val="center"/>
                </w:tcPr>
                <w:p w14:paraId="1B6A85FD">
                  <w:pPr>
                    <w:pStyle w:val="82"/>
                    <w:jc w:val="center"/>
                    <w:rPr>
                      <w:rFonts w:hint="default" w:ascii="Times New Roman" w:hAnsi="Times New Roman" w:eastAsia="宋体" w:cs="Times New Roman"/>
                      <w:color w:val="auto"/>
                      <w:u w:val="none"/>
                      <w:lang w:val="en-US" w:eastAsia="zh-CN"/>
                    </w:rPr>
                  </w:pPr>
                  <w:r>
                    <w:rPr>
                      <w:rFonts w:hint="default" w:ascii="Times New Roman" w:hAnsi="Times New Roman" w:cs="Times New Roman"/>
                      <w:color w:val="auto"/>
                      <w:u w:val="none"/>
                      <w:lang w:val="en-US" w:eastAsia="zh-CN"/>
                    </w:rPr>
                    <w:t>1</w:t>
                  </w:r>
                </w:p>
              </w:tc>
              <w:tc>
                <w:tcPr>
                  <w:tcW w:w="2494" w:type="pct"/>
                  <w:noWrap w:val="0"/>
                  <w:vAlign w:val="center"/>
                </w:tcPr>
                <w:p w14:paraId="2759F376">
                  <w:pPr>
                    <w:pStyle w:val="82"/>
                    <w:ind w:firstLine="420" w:firstLineChars="200"/>
                    <w:jc w:val="center"/>
                    <w:rPr>
                      <w:rFonts w:hint="default" w:ascii="Times New Roman" w:hAnsi="Times New Roman" w:cs="Times New Roman"/>
                      <w:color w:val="auto"/>
                      <w:sz w:val="21"/>
                      <w:szCs w:val="21"/>
                      <w:u w:val="none"/>
                    </w:rPr>
                  </w:pPr>
                  <w:r>
                    <w:rPr>
                      <w:rFonts w:hint="default" w:ascii="Times New Roman" w:hAnsi="Times New Roman" w:eastAsia="宋体" w:cs="Times New Roman"/>
                      <w:color w:val="auto"/>
                      <w:sz w:val="21"/>
                      <w:szCs w:val="21"/>
                      <w:u w:val="none"/>
                    </w:rPr>
                    <w:t>长春地区2020年度环境空气质量不达标，拟入区项目应严格落实《关于部分重点城市建设项目执行大气污染物特别排放限值的公告》(2019年第 1 号)要求，在环境空气质量达标前，新增大气污染物排放的新、改、扩建项目执行大气污染物特别排放限值。</w:t>
                  </w:r>
                </w:p>
              </w:tc>
              <w:tc>
                <w:tcPr>
                  <w:tcW w:w="1498" w:type="pct"/>
                  <w:noWrap w:val="0"/>
                  <w:vAlign w:val="center"/>
                </w:tcPr>
                <w:p w14:paraId="1082BF31">
                  <w:pPr>
                    <w:pStyle w:val="82"/>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本项</w:t>
                  </w:r>
                  <w:r>
                    <w:rPr>
                      <w:rFonts w:hint="eastAsia" w:ascii="Times New Roman" w:hAnsi="Times New Roman" w:cs="Times New Roman"/>
                      <w:color w:val="auto"/>
                      <w:sz w:val="21"/>
                      <w:szCs w:val="21"/>
                      <w:u w:val="none"/>
                      <w:lang w:eastAsia="zh-CN"/>
                    </w:rPr>
                    <w:t>目</w:t>
                  </w:r>
                  <w:r>
                    <w:rPr>
                      <w:rFonts w:hint="default" w:ascii="Times New Roman" w:hAnsi="Times New Roman" w:cs="Times New Roman"/>
                      <w:color w:val="auto"/>
                      <w:sz w:val="21"/>
                      <w:szCs w:val="21"/>
                      <w:u w:val="none"/>
                    </w:rPr>
                    <w:t>NMHC排放标准执行《挥发性有机物无组织排放控制标准》（GB37822-2019）中厂区内VOCs无组织特别排放限值。</w:t>
                  </w:r>
                </w:p>
              </w:tc>
              <w:tc>
                <w:tcPr>
                  <w:tcW w:w="556" w:type="pct"/>
                  <w:gridSpan w:val="2"/>
                  <w:noWrap w:val="0"/>
                  <w:vAlign w:val="center"/>
                </w:tcPr>
                <w:p w14:paraId="2C88C6DF">
                  <w:pPr>
                    <w:pStyle w:val="82"/>
                    <w:jc w:val="center"/>
                    <w:rPr>
                      <w:rFonts w:hint="default" w:ascii="Times New Roman" w:hAnsi="Times New Roman" w:eastAsia="宋体" w:cs="Times New Roman"/>
                      <w:color w:val="auto"/>
                      <w:u w:val="none"/>
                      <w:lang w:eastAsia="zh-CN"/>
                    </w:rPr>
                  </w:pPr>
                  <w:r>
                    <w:rPr>
                      <w:rFonts w:hint="default" w:ascii="Times New Roman" w:hAnsi="Times New Roman" w:eastAsia="宋体" w:cs="Times New Roman"/>
                      <w:color w:val="auto"/>
                      <w:u w:val="none"/>
                      <w:lang w:eastAsia="zh-CN"/>
                    </w:rPr>
                    <w:t>符合</w:t>
                  </w:r>
                </w:p>
              </w:tc>
            </w:tr>
            <w:tr w14:paraId="1E7D0BF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16" w:type="pct"/>
                <w:trHeight w:val="362" w:hRule="atLeast"/>
                <w:jc w:val="center"/>
              </w:trPr>
              <w:tc>
                <w:tcPr>
                  <w:tcW w:w="449" w:type="pct"/>
                  <w:noWrap w:val="0"/>
                  <w:vAlign w:val="center"/>
                </w:tcPr>
                <w:p w14:paraId="15DC9F18">
                  <w:pPr>
                    <w:pStyle w:val="82"/>
                    <w:jc w:val="center"/>
                    <w:rPr>
                      <w:rFonts w:hint="default" w:ascii="Times New Roman" w:hAnsi="Times New Roman" w:eastAsia="宋体" w:cs="Times New Roman"/>
                      <w:color w:val="auto"/>
                      <w:u w:val="none"/>
                      <w:lang w:val="en-US" w:eastAsia="zh-CN"/>
                    </w:rPr>
                  </w:pPr>
                  <w:r>
                    <w:rPr>
                      <w:rFonts w:hint="default" w:ascii="Times New Roman" w:hAnsi="Times New Roman" w:cs="Times New Roman"/>
                      <w:color w:val="auto"/>
                      <w:u w:val="none"/>
                      <w:lang w:val="en-US" w:eastAsia="zh-CN"/>
                    </w:rPr>
                    <w:t>2</w:t>
                  </w:r>
                </w:p>
              </w:tc>
              <w:tc>
                <w:tcPr>
                  <w:tcW w:w="2494" w:type="pct"/>
                  <w:noWrap w:val="0"/>
                  <w:vAlign w:val="center"/>
                </w:tcPr>
                <w:p w14:paraId="5CA0B656">
                  <w:pPr>
                    <w:adjustRightInd w:val="0"/>
                    <w:snapToGrid w:val="0"/>
                    <w:ind w:firstLine="420" w:firstLineChars="200"/>
                    <w:jc w:val="center"/>
                    <w:rPr>
                      <w:rFonts w:hint="default" w:ascii="Times New Roman" w:hAnsi="Times New Roman" w:cs="Times New Roman"/>
                      <w:color w:val="auto"/>
                      <w:sz w:val="21"/>
                      <w:szCs w:val="21"/>
                      <w:u w:val="none"/>
                    </w:rPr>
                  </w:pPr>
                  <w:r>
                    <w:rPr>
                      <w:rFonts w:hint="default" w:ascii="Times New Roman" w:hAnsi="Times New Roman" w:eastAsia="宋体" w:cs="Times New Roman"/>
                      <w:color w:val="auto"/>
                      <w:kern w:val="0"/>
                      <w:sz w:val="21"/>
                      <w:szCs w:val="21"/>
                      <w:u w:val="none"/>
                      <w:lang w:val="en-US" w:eastAsia="zh-CN" w:bidi="ar-SA"/>
                    </w:rPr>
                    <w:t>区内排水体系应全部改造为雨污分流，加快推进精细化工产业园污水处理厂、开发区污水处理厂建设及配套管网建设进度，合理规划处理工艺和规模</w:t>
                  </w:r>
                  <w:r>
                    <w:rPr>
                      <w:rFonts w:hint="eastAsia" w:ascii="Times New Roman" w:hAnsi="Times New Roman" w:eastAsia="宋体" w:cs="Times New Roman"/>
                      <w:color w:val="auto"/>
                      <w:kern w:val="0"/>
                      <w:sz w:val="21"/>
                      <w:szCs w:val="21"/>
                      <w:u w:val="none"/>
                      <w:lang w:val="en-US" w:eastAsia="zh-CN" w:bidi="ar-SA"/>
                    </w:rPr>
                    <w:t>，</w:t>
                  </w:r>
                  <w:r>
                    <w:rPr>
                      <w:rFonts w:hint="default" w:ascii="Times New Roman" w:hAnsi="Times New Roman" w:eastAsia="宋体" w:cs="Times New Roman"/>
                      <w:color w:val="auto"/>
                      <w:kern w:val="0"/>
                      <w:sz w:val="21"/>
                      <w:szCs w:val="21"/>
                      <w:u w:val="none"/>
                      <w:lang w:val="en-US" w:eastAsia="zh-CN" w:bidi="ar-SA"/>
                    </w:rPr>
                    <w:t>及时组 织编制排污口论证报告。对分散 村屯生活污水治理进行合理规划，遵循“应纳尽纳”的原则，对满足城镇污水收集管网接入要求的村庄和区域逐步实现。应接尽接，对于偏远分散污水管网无法覆盖的区域，实行污水就地分散处理和资源化利用，确保农村生活污水得到有效治理。</w:t>
                  </w:r>
                </w:p>
              </w:tc>
              <w:tc>
                <w:tcPr>
                  <w:tcW w:w="1498" w:type="pct"/>
                  <w:noWrap w:val="0"/>
                  <w:vAlign w:val="center"/>
                </w:tcPr>
                <w:p w14:paraId="44709ACB">
                  <w:pPr>
                    <w:adjustRightInd w:val="0"/>
                    <w:snapToGrid w:val="0"/>
                    <w:ind w:firstLine="420" w:firstLineChars="200"/>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本项目位于</w:t>
                  </w:r>
                  <w:r>
                    <w:rPr>
                      <w:rFonts w:hint="eastAsia" w:ascii="Times New Roman" w:hAnsi="Times New Roman" w:cs="Times New Roman"/>
                      <w:color w:val="auto"/>
                      <w:sz w:val="21"/>
                      <w:szCs w:val="21"/>
                      <w:u w:val="none"/>
                      <w:lang w:eastAsia="zh-CN"/>
                    </w:rPr>
                    <w:t>吉兴产业园属于北湖科技开发区新材料产业园</w:t>
                  </w:r>
                  <w:r>
                    <w:rPr>
                      <w:rFonts w:hint="default" w:ascii="Times New Roman" w:hAnsi="Times New Roman" w:cs="Times New Roman"/>
                      <w:color w:val="auto"/>
                      <w:sz w:val="21"/>
                      <w:szCs w:val="21"/>
                      <w:u w:val="none"/>
                    </w:rPr>
                    <w:t>，项目</w:t>
                  </w:r>
                  <w:r>
                    <w:rPr>
                      <w:rFonts w:hint="default" w:ascii="Times New Roman" w:hAnsi="Times New Roman" w:cs="Times New Roman"/>
                      <w:color w:val="auto"/>
                      <w:sz w:val="21"/>
                      <w:szCs w:val="21"/>
                      <w:u w:val="none"/>
                      <w:lang w:val="en-GB"/>
                    </w:rPr>
                    <w:t>研磨机冷却水循环使用，不外排。实验设备清洗废水</w:t>
                  </w:r>
                  <w:r>
                    <w:rPr>
                      <w:rFonts w:hint="default" w:ascii="Times New Roman" w:hAnsi="Times New Roman" w:cs="Times New Roman"/>
                      <w:color w:val="auto"/>
                      <w:sz w:val="21"/>
                      <w:szCs w:val="21"/>
                      <w:u w:val="none"/>
                    </w:rPr>
                    <w:t>桶装收集后按危废处理，交有资质单位处理，生活污水</w:t>
                  </w:r>
                  <w:r>
                    <w:rPr>
                      <w:rFonts w:hint="eastAsia" w:cs="Times New Roman"/>
                      <w:color w:val="auto"/>
                      <w:sz w:val="21"/>
                      <w:szCs w:val="21"/>
                      <w:u w:val="none"/>
                      <w:lang w:eastAsia="zh-CN"/>
                    </w:rPr>
                    <w:t>排入园区化粪池，由园区定期清淘用作农肥，待长春北湖科技开发区污水处理厂运行后，经市政管网排入该污水厂处理后排入干雾海河</w:t>
                  </w:r>
                  <w:r>
                    <w:rPr>
                      <w:rFonts w:hint="default" w:ascii="Times New Roman" w:hAnsi="Times New Roman" w:cs="Times New Roman"/>
                      <w:color w:val="auto"/>
                      <w:sz w:val="21"/>
                      <w:szCs w:val="21"/>
                      <w:u w:val="none"/>
                    </w:rPr>
                    <w:t>。</w:t>
                  </w:r>
                </w:p>
              </w:tc>
              <w:tc>
                <w:tcPr>
                  <w:tcW w:w="540" w:type="pct"/>
                  <w:noWrap w:val="0"/>
                  <w:vAlign w:val="center"/>
                </w:tcPr>
                <w:p w14:paraId="410510D7">
                  <w:pPr>
                    <w:adjustRightInd w:val="0"/>
                    <w:snapToGrid w:val="0"/>
                    <w:jc w:val="center"/>
                    <w:rPr>
                      <w:rFonts w:hint="default" w:ascii="Times New Roman" w:hAnsi="Times New Roman" w:cs="Times New Roman"/>
                      <w:color w:val="auto"/>
                      <w:u w:val="none"/>
                    </w:rPr>
                  </w:pPr>
                  <w:r>
                    <w:rPr>
                      <w:rFonts w:hint="default" w:ascii="Times New Roman" w:hAnsi="Times New Roman" w:eastAsia="宋体" w:cs="Times New Roman"/>
                      <w:color w:val="auto"/>
                      <w:u w:val="none"/>
                      <w:lang w:eastAsia="zh-CN"/>
                    </w:rPr>
                    <w:t>符合</w:t>
                  </w:r>
                </w:p>
              </w:tc>
            </w:tr>
            <w:tr w14:paraId="726B7F2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16" w:type="pct"/>
                <w:trHeight w:val="854" w:hRule="atLeast"/>
                <w:jc w:val="center"/>
              </w:trPr>
              <w:tc>
                <w:tcPr>
                  <w:tcW w:w="449" w:type="pct"/>
                  <w:noWrap w:val="0"/>
                  <w:vAlign w:val="center"/>
                </w:tcPr>
                <w:p w14:paraId="5405D455">
                  <w:pPr>
                    <w:pStyle w:val="82"/>
                    <w:jc w:val="center"/>
                    <w:rPr>
                      <w:rFonts w:hint="default" w:ascii="Times New Roman" w:hAnsi="Times New Roman" w:eastAsia="宋体" w:cs="Times New Roman"/>
                      <w:color w:val="auto"/>
                      <w:u w:val="none"/>
                      <w:lang w:val="en-US" w:eastAsia="zh-CN"/>
                    </w:rPr>
                  </w:pPr>
                  <w:r>
                    <w:rPr>
                      <w:rFonts w:hint="default" w:ascii="Times New Roman" w:hAnsi="Times New Roman" w:cs="Times New Roman"/>
                      <w:color w:val="auto"/>
                      <w:u w:val="none"/>
                      <w:lang w:val="en-US" w:eastAsia="zh-CN"/>
                    </w:rPr>
                    <w:t>3</w:t>
                  </w:r>
                </w:p>
              </w:tc>
              <w:tc>
                <w:tcPr>
                  <w:tcW w:w="2494" w:type="pct"/>
                  <w:noWrap w:val="0"/>
                  <w:vAlign w:val="center"/>
                </w:tcPr>
                <w:p w14:paraId="509878B3">
                  <w:pPr>
                    <w:adjustRightInd w:val="0"/>
                    <w:snapToGrid w:val="0"/>
                    <w:ind w:firstLine="420" w:firstLineChars="200"/>
                    <w:jc w:val="center"/>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color w:val="auto"/>
                      <w:u w:val="none"/>
                      <w:lang w:val="en-US" w:eastAsia="zh-CN"/>
                    </w:rPr>
                    <w:t>禁止与所在功能区产业定位和用地规划不一致的企业进行扩建，鼓励其逐步升级改造或搬迁、淘汰，确保产业发展与区域生态环境保护、人居环境质量保障相协调。企业搬迁完成另为他用前，应按照相关标准开展场地环境调查，并对污染场地进行治理修复，满足相关用地要求。</w:t>
                  </w:r>
                </w:p>
              </w:tc>
              <w:tc>
                <w:tcPr>
                  <w:tcW w:w="1498" w:type="pct"/>
                  <w:noWrap w:val="0"/>
                  <w:vAlign w:val="center"/>
                </w:tcPr>
                <w:p w14:paraId="4B4E329F">
                  <w:pPr>
                    <w:adjustRightInd w:val="0"/>
                    <w:snapToGrid w:val="0"/>
                    <w:ind w:firstLine="420" w:firstLineChars="200"/>
                    <w:jc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本项目位于</w:t>
                  </w:r>
                  <w:r>
                    <w:rPr>
                      <w:rFonts w:hint="eastAsia" w:ascii="Times New Roman" w:hAnsi="Times New Roman" w:cs="Times New Roman"/>
                      <w:color w:val="auto"/>
                      <w:sz w:val="21"/>
                      <w:szCs w:val="21"/>
                      <w:u w:val="none"/>
                      <w:lang w:eastAsia="zh-CN"/>
                    </w:rPr>
                    <w:t>吉兴产业园属于北湖科技开发区新材料产业园</w:t>
                  </w:r>
                  <w:r>
                    <w:rPr>
                      <w:rFonts w:hint="default" w:ascii="Times New Roman" w:hAnsi="Times New Roman" w:eastAsia="宋体" w:cs="Times New Roman"/>
                      <w:color w:val="auto"/>
                      <w:sz w:val="21"/>
                      <w:szCs w:val="21"/>
                      <w:u w:val="none"/>
                      <w:lang w:val="en-US" w:eastAsia="zh-CN"/>
                    </w:rPr>
                    <w:t>，</w:t>
                  </w:r>
                  <w:r>
                    <w:rPr>
                      <w:rFonts w:hint="eastAsia" w:ascii="Times New Roman" w:hAnsi="Times New Roman" w:eastAsia="宋体" w:cs="Times New Roman"/>
                      <w:color w:val="auto"/>
                      <w:sz w:val="21"/>
                      <w:szCs w:val="21"/>
                      <w:u w:val="none"/>
                      <w:lang w:val="en-US" w:eastAsia="zh-CN"/>
                    </w:rPr>
                    <w:t>本项目属于新</w:t>
                  </w:r>
                  <w:r>
                    <w:rPr>
                      <w:rFonts w:hint="default" w:ascii="Times New Roman" w:hAnsi="Times New Roman" w:eastAsia="宋体" w:cs="Times New Roman"/>
                      <w:color w:val="auto"/>
                      <w:sz w:val="21"/>
                      <w:szCs w:val="21"/>
                      <w:u w:val="none"/>
                      <w:lang w:val="en-US" w:eastAsia="zh-CN"/>
                    </w:rPr>
                    <w:t>材料研发与实验项目，符合园区的产业定位。</w:t>
                  </w:r>
                </w:p>
              </w:tc>
              <w:tc>
                <w:tcPr>
                  <w:tcW w:w="540" w:type="pct"/>
                  <w:noWrap w:val="0"/>
                  <w:vAlign w:val="center"/>
                </w:tcPr>
                <w:p w14:paraId="2DDCA55F">
                  <w:pPr>
                    <w:adjustRightInd w:val="0"/>
                    <w:snapToGrid w:val="0"/>
                    <w:jc w:val="center"/>
                    <w:rPr>
                      <w:rFonts w:hint="default" w:ascii="Times New Roman" w:hAnsi="Times New Roman" w:cs="Times New Roman"/>
                      <w:color w:val="auto"/>
                      <w:szCs w:val="21"/>
                      <w:u w:val="none"/>
                    </w:rPr>
                  </w:pPr>
                  <w:r>
                    <w:rPr>
                      <w:rFonts w:hint="default" w:ascii="Times New Roman" w:hAnsi="Times New Roman" w:eastAsia="宋体" w:cs="Times New Roman"/>
                      <w:color w:val="auto"/>
                      <w:u w:val="none"/>
                      <w:lang w:eastAsia="zh-CN"/>
                    </w:rPr>
                    <w:t>符合</w:t>
                  </w:r>
                </w:p>
              </w:tc>
            </w:tr>
            <w:tr w14:paraId="426CBFE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16" w:type="pct"/>
                <w:trHeight w:val="342" w:hRule="atLeast"/>
                <w:jc w:val="center"/>
              </w:trPr>
              <w:tc>
                <w:tcPr>
                  <w:tcW w:w="449" w:type="pct"/>
                  <w:noWrap w:val="0"/>
                  <w:vAlign w:val="center"/>
                </w:tcPr>
                <w:p w14:paraId="1A3FF000">
                  <w:pPr>
                    <w:pStyle w:val="82"/>
                    <w:jc w:val="center"/>
                    <w:rPr>
                      <w:rFonts w:hint="default" w:ascii="Times New Roman" w:hAnsi="Times New Roman" w:eastAsia="宋体" w:cs="Times New Roman"/>
                      <w:color w:val="auto"/>
                      <w:u w:val="none"/>
                      <w:lang w:val="en-US" w:eastAsia="zh-CN"/>
                    </w:rPr>
                  </w:pPr>
                  <w:r>
                    <w:rPr>
                      <w:rFonts w:hint="default" w:ascii="Times New Roman" w:hAnsi="Times New Roman" w:cs="Times New Roman"/>
                      <w:color w:val="auto"/>
                      <w:u w:val="none"/>
                      <w:lang w:val="en-US" w:eastAsia="zh-CN"/>
                    </w:rPr>
                    <w:t>4</w:t>
                  </w:r>
                </w:p>
              </w:tc>
              <w:tc>
                <w:tcPr>
                  <w:tcW w:w="2494" w:type="pct"/>
                  <w:noWrap w:val="0"/>
                  <w:vAlign w:val="center"/>
                </w:tcPr>
                <w:p w14:paraId="716F70F5">
                  <w:pPr>
                    <w:adjustRightInd w:val="0"/>
                    <w:snapToGrid w:val="0"/>
                    <w:ind w:firstLine="420" w:firstLineChars="200"/>
                    <w:jc w:val="center"/>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kern w:val="2"/>
                      <w:sz w:val="21"/>
                      <w:szCs w:val="21"/>
                      <w:u w:val="none"/>
                      <w:lang w:val="en-US" w:eastAsia="zh-CN" w:bidi="ar-SA"/>
                    </w:rPr>
                    <w:t>落实生态环境部印发的《重点行业挥发性有机物综合治理方案》</w:t>
                  </w:r>
                  <w:r>
                    <w:rPr>
                      <w:rFonts w:hint="eastAsia" w:ascii="Times New Roman" w:hAnsi="Times New Roman" w:eastAsia="宋体" w:cs="Times New Roman"/>
                      <w:color w:val="auto"/>
                      <w:kern w:val="2"/>
                      <w:sz w:val="21"/>
                      <w:szCs w:val="21"/>
                      <w:u w:val="none"/>
                      <w:lang w:val="en-US" w:eastAsia="zh-CN" w:bidi="ar-SA"/>
                    </w:rPr>
                    <w:t>（</w:t>
                  </w:r>
                  <w:r>
                    <w:rPr>
                      <w:rFonts w:hint="default" w:ascii="Times New Roman" w:hAnsi="Times New Roman" w:eastAsia="宋体" w:cs="Times New Roman"/>
                      <w:color w:val="auto"/>
                      <w:kern w:val="2"/>
                      <w:sz w:val="21"/>
                      <w:szCs w:val="21"/>
                      <w:u w:val="none"/>
                      <w:lang w:val="en-US" w:eastAsia="zh-CN" w:bidi="ar-SA"/>
                    </w:rPr>
                    <w:t>环大气[2019]53 号</w:t>
                  </w:r>
                  <w:r>
                    <w:rPr>
                      <w:rFonts w:hint="eastAsia" w:ascii="Times New Roman" w:hAnsi="Times New Roman" w:eastAsia="宋体" w:cs="Times New Roman"/>
                      <w:color w:val="auto"/>
                      <w:kern w:val="2"/>
                      <w:sz w:val="21"/>
                      <w:szCs w:val="21"/>
                      <w:u w:val="none"/>
                      <w:lang w:val="en-US" w:eastAsia="zh-CN" w:bidi="ar-SA"/>
                    </w:rPr>
                    <w:t>）</w:t>
                  </w:r>
                  <w:r>
                    <w:rPr>
                      <w:rFonts w:hint="default" w:ascii="Times New Roman" w:hAnsi="Times New Roman" w:eastAsia="宋体" w:cs="Times New Roman"/>
                      <w:color w:val="auto"/>
                      <w:kern w:val="2"/>
                      <w:sz w:val="21"/>
                      <w:szCs w:val="21"/>
                      <w:u w:val="none"/>
                      <w:lang w:val="en-US" w:eastAsia="zh-CN" w:bidi="ar-SA"/>
                    </w:rPr>
                    <w:t>，核查区域VOCs 排放重点企业清单，加强对VOCs 排放重点行业监管，强化源头控制，推进建设适宜高效的治污设施，并将 VOCs 纳入总量控制要求。考虑项目可能产生的有害物质</w:t>
                  </w:r>
                  <w:r>
                    <w:rPr>
                      <w:rFonts w:hint="eastAsia" w:ascii="Times New Roman" w:hAnsi="Times New Roman" w:eastAsia="宋体" w:cs="Times New Roman"/>
                      <w:color w:val="auto"/>
                      <w:kern w:val="2"/>
                      <w:sz w:val="21"/>
                      <w:szCs w:val="21"/>
                      <w:u w:val="none"/>
                      <w:lang w:val="en-US" w:eastAsia="zh-CN" w:bidi="ar-SA"/>
                    </w:rPr>
                    <w:t>（</w:t>
                  </w:r>
                  <w:r>
                    <w:rPr>
                      <w:rFonts w:hint="default" w:ascii="Times New Roman" w:hAnsi="Times New Roman" w:eastAsia="宋体" w:cs="Times New Roman"/>
                      <w:color w:val="auto"/>
                      <w:kern w:val="2"/>
                      <w:sz w:val="21"/>
                      <w:szCs w:val="21"/>
                      <w:u w:val="none"/>
                      <w:lang w:val="en-US" w:eastAsia="zh-CN" w:bidi="ar-SA"/>
                    </w:rPr>
                    <w:t>重点关注苯系物、挥发性有机物等</w:t>
                  </w:r>
                  <w:r>
                    <w:rPr>
                      <w:rFonts w:hint="eastAsia" w:ascii="Times New Roman" w:hAnsi="Times New Roman" w:eastAsia="宋体" w:cs="Times New Roman"/>
                      <w:color w:val="auto"/>
                      <w:kern w:val="2"/>
                      <w:sz w:val="21"/>
                      <w:szCs w:val="21"/>
                      <w:u w:val="none"/>
                      <w:lang w:val="en-US" w:eastAsia="zh-CN" w:bidi="ar-SA"/>
                    </w:rPr>
                    <w:t>）</w:t>
                  </w:r>
                  <w:r>
                    <w:rPr>
                      <w:rFonts w:hint="default" w:ascii="Times New Roman" w:hAnsi="Times New Roman" w:eastAsia="宋体" w:cs="Times New Roman"/>
                      <w:color w:val="auto"/>
                      <w:kern w:val="2"/>
                      <w:sz w:val="21"/>
                      <w:szCs w:val="21"/>
                      <w:u w:val="none"/>
                      <w:lang w:val="en-US" w:eastAsia="zh-CN" w:bidi="ar-SA"/>
                    </w:rPr>
                    <w:t>泄漏、扩散等因素，综合评价各企业对周围环境、居住人群的身体健康、日常生活和生产活动的影响，合理确定防护距离。</w:t>
                  </w:r>
                </w:p>
              </w:tc>
              <w:tc>
                <w:tcPr>
                  <w:tcW w:w="1498" w:type="pct"/>
                  <w:noWrap w:val="0"/>
                  <w:vAlign w:val="center"/>
                </w:tcPr>
                <w:p w14:paraId="026AD2A6">
                  <w:pPr>
                    <w:adjustRightInd w:val="0"/>
                    <w:snapToGrid w:val="0"/>
                    <w:jc w:val="center"/>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kern w:val="2"/>
                      <w:sz w:val="21"/>
                      <w:szCs w:val="21"/>
                      <w:u w:val="none"/>
                      <w:lang w:val="en-US" w:eastAsia="zh-CN" w:bidi="ar-SA"/>
                    </w:rPr>
                    <w:t>本项目不属于重点企业，</w:t>
                  </w:r>
                  <w:r>
                    <w:rPr>
                      <w:rFonts w:hint="eastAsia" w:ascii="Times New Roman" w:hAnsi="Times New Roman" w:eastAsia="宋体" w:cs="Times New Roman"/>
                      <w:color w:val="auto"/>
                      <w:kern w:val="2"/>
                      <w:sz w:val="21"/>
                      <w:szCs w:val="21"/>
                      <w:u w:val="none"/>
                      <w:lang w:val="en-US" w:eastAsia="zh-CN" w:bidi="ar-SA"/>
                    </w:rPr>
                    <w:t>制备实验及</w:t>
                  </w:r>
                  <w:r>
                    <w:rPr>
                      <w:rFonts w:hint="eastAsia" w:ascii="Times New Roman" w:hAnsi="Times New Roman" w:cs="Times New Roman"/>
                      <w:sz w:val="21"/>
                      <w:szCs w:val="21"/>
                      <w:lang w:val="en-US" w:eastAsia="zh-CN"/>
                    </w:rPr>
                    <w:t>喷涂实验产生的有机废气经集气罩收集后经过滤棉+活性炭吸附处理后通过15m高排气筒DA002达标排放</w:t>
                  </w:r>
                  <w:r>
                    <w:rPr>
                      <w:rFonts w:hint="default" w:ascii="Times New Roman" w:hAnsi="Times New Roman" w:eastAsia="宋体" w:cs="Times New Roman"/>
                      <w:color w:val="auto"/>
                      <w:kern w:val="2"/>
                      <w:sz w:val="21"/>
                      <w:szCs w:val="21"/>
                      <w:u w:val="none"/>
                      <w:lang w:val="en-US" w:eastAsia="zh-CN" w:bidi="ar-SA"/>
                    </w:rPr>
                    <w:t>。</w:t>
                  </w:r>
                </w:p>
              </w:tc>
              <w:tc>
                <w:tcPr>
                  <w:tcW w:w="540" w:type="pct"/>
                  <w:noWrap w:val="0"/>
                  <w:vAlign w:val="center"/>
                </w:tcPr>
                <w:p w14:paraId="253BD799">
                  <w:pPr>
                    <w:adjustRightInd w:val="0"/>
                    <w:snapToGrid w:val="0"/>
                    <w:jc w:val="center"/>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u w:val="none"/>
                      <w:lang w:eastAsia="zh-CN"/>
                    </w:rPr>
                    <w:t>符合</w:t>
                  </w:r>
                </w:p>
              </w:tc>
            </w:tr>
            <w:tr w14:paraId="0AB47DF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16" w:type="pct"/>
                <w:trHeight w:val="383" w:hRule="atLeast"/>
                <w:jc w:val="center"/>
              </w:trPr>
              <w:tc>
                <w:tcPr>
                  <w:tcW w:w="449" w:type="pct"/>
                  <w:noWrap w:val="0"/>
                  <w:vAlign w:val="center"/>
                </w:tcPr>
                <w:p w14:paraId="1EFC68D6">
                  <w:pPr>
                    <w:pStyle w:val="82"/>
                    <w:jc w:val="center"/>
                    <w:rPr>
                      <w:rFonts w:hint="default" w:ascii="Times New Roman" w:hAnsi="Times New Roman" w:eastAsia="宋体" w:cs="Times New Roman"/>
                      <w:color w:val="auto"/>
                      <w:u w:val="none"/>
                      <w:lang w:val="en-US" w:eastAsia="zh-CN"/>
                    </w:rPr>
                  </w:pPr>
                  <w:r>
                    <w:rPr>
                      <w:rFonts w:hint="default" w:ascii="Times New Roman" w:hAnsi="Times New Roman" w:cs="Times New Roman"/>
                      <w:color w:val="auto"/>
                      <w:u w:val="none"/>
                      <w:lang w:val="en-US" w:eastAsia="zh-CN"/>
                    </w:rPr>
                    <w:t>5</w:t>
                  </w:r>
                </w:p>
              </w:tc>
              <w:tc>
                <w:tcPr>
                  <w:tcW w:w="2494" w:type="pct"/>
                  <w:noWrap w:val="0"/>
                  <w:vAlign w:val="center"/>
                </w:tcPr>
                <w:p w14:paraId="187E9C8B">
                  <w:pPr>
                    <w:adjustRightInd w:val="0"/>
                    <w:snapToGrid w:val="0"/>
                    <w:ind w:firstLine="420" w:firstLineChars="200"/>
                    <w:jc w:val="center"/>
                    <w:rPr>
                      <w:rFonts w:hint="default" w:ascii="Times New Roman" w:hAnsi="Times New Roman" w:cs="Times New Roman"/>
                      <w:color w:val="auto"/>
                      <w:u w:val="none"/>
                    </w:rPr>
                  </w:pPr>
                  <w:r>
                    <w:rPr>
                      <w:rFonts w:hint="default" w:ascii="Times New Roman" w:hAnsi="Times New Roman" w:cs="Times New Roman"/>
                      <w:color w:val="auto"/>
                      <w:u w:val="none"/>
                    </w:rPr>
                    <w:t>按照《关于规划环境影响评价加强空间管制、总量管控和环境准入的指导意见</w:t>
                  </w:r>
                  <w:r>
                    <w:rPr>
                      <w:rFonts w:hint="eastAsia" w:ascii="Times New Roman" w:hAnsi="Times New Roman" w:eastAsia="宋体" w:cs="Times New Roman"/>
                      <w:color w:val="auto"/>
                      <w:kern w:val="2"/>
                      <w:sz w:val="21"/>
                      <w:szCs w:val="21"/>
                      <w:u w:val="none"/>
                      <w:lang w:val="en-US" w:eastAsia="zh-CN" w:bidi="ar-SA"/>
                    </w:rPr>
                    <w:t>（</w:t>
                  </w:r>
                  <w:r>
                    <w:rPr>
                      <w:rFonts w:hint="default" w:ascii="Times New Roman" w:hAnsi="Times New Roman" w:cs="Times New Roman"/>
                      <w:color w:val="auto"/>
                      <w:u w:val="none"/>
                    </w:rPr>
                    <w:t>试行</w:t>
                  </w:r>
                  <w:r>
                    <w:rPr>
                      <w:rFonts w:hint="eastAsia" w:ascii="Times New Roman" w:hAnsi="Times New Roman" w:eastAsia="宋体" w:cs="Times New Roman"/>
                      <w:color w:val="auto"/>
                      <w:kern w:val="2"/>
                      <w:sz w:val="21"/>
                      <w:szCs w:val="21"/>
                      <w:u w:val="none"/>
                      <w:lang w:val="en-US" w:eastAsia="zh-CN" w:bidi="ar-SA"/>
                    </w:rPr>
                    <w:t>）</w:t>
                  </w:r>
                  <w:r>
                    <w:rPr>
                      <w:rFonts w:hint="default" w:ascii="Times New Roman" w:hAnsi="Times New Roman" w:cs="Times New Roman"/>
                      <w:color w:val="auto"/>
                      <w:u w:val="none"/>
                    </w:rPr>
                    <w:t>》</w:t>
                  </w:r>
                  <w:r>
                    <w:rPr>
                      <w:rFonts w:hint="eastAsia" w:ascii="Times New Roman" w:hAnsi="Times New Roman" w:eastAsia="宋体" w:cs="Times New Roman"/>
                      <w:color w:val="auto"/>
                      <w:kern w:val="2"/>
                      <w:sz w:val="21"/>
                      <w:szCs w:val="21"/>
                      <w:u w:val="none"/>
                      <w:lang w:val="en-US" w:eastAsia="zh-CN" w:bidi="ar-SA"/>
                    </w:rPr>
                    <w:t>（</w:t>
                  </w:r>
                  <w:r>
                    <w:rPr>
                      <w:rFonts w:hint="default" w:ascii="Times New Roman" w:hAnsi="Times New Roman" w:cs="Times New Roman"/>
                      <w:color w:val="auto"/>
                      <w:u w:val="none"/>
                    </w:rPr>
                    <w:t>环办环评[2016]14号</w:t>
                  </w:r>
                  <w:r>
                    <w:rPr>
                      <w:rFonts w:hint="eastAsia" w:ascii="Times New Roman" w:hAnsi="Times New Roman" w:eastAsia="宋体" w:cs="Times New Roman"/>
                      <w:color w:val="auto"/>
                      <w:kern w:val="2"/>
                      <w:sz w:val="21"/>
                      <w:szCs w:val="21"/>
                      <w:u w:val="none"/>
                      <w:lang w:val="en-US" w:eastAsia="zh-CN" w:bidi="ar-SA"/>
                    </w:rPr>
                    <w:t>）</w:t>
                  </w:r>
                  <w:r>
                    <w:rPr>
                      <w:rFonts w:hint="default" w:ascii="Times New Roman" w:hAnsi="Times New Roman" w:cs="Times New Roman"/>
                      <w:color w:val="auto"/>
                      <w:u w:val="none"/>
                    </w:rPr>
                    <w:t>中严格总量管控的相关要求，确定主要控制污染物因子总量管控限值。开发区主要污染物排放总量应纳入长春市主要污染物排放总量管理体系内并严格控制，做到科学调剂，合理使用。</w:t>
                  </w:r>
                </w:p>
              </w:tc>
              <w:tc>
                <w:tcPr>
                  <w:tcW w:w="1498" w:type="pct"/>
                  <w:noWrap w:val="0"/>
                  <w:vAlign w:val="center"/>
                </w:tcPr>
                <w:p w14:paraId="63FEBA7F">
                  <w:pPr>
                    <w:adjustRightInd w:val="0"/>
                    <w:snapToGrid w:val="0"/>
                    <w:ind w:firstLine="420" w:firstLineChars="200"/>
                    <w:jc w:val="center"/>
                    <w:rPr>
                      <w:rFonts w:hint="default" w:ascii="Times New Roman" w:hAnsi="Times New Roman" w:cs="Times New Roman"/>
                      <w:color w:val="auto"/>
                      <w:u w:val="none"/>
                    </w:rPr>
                  </w:pPr>
                  <w:r>
                    <w:rPr>
                      <w:rFonts w:hint="default" w:ascii="Times New Roman" w:hAnsi="Times New Roman" w:cs="Times New Roman"/>
                      <w:color w:val="auto"/>
                      <w:u w:val="none"/>
                    </w:rPr>
                    <w:t>根据吉林省生态环境厅《关于进一步明确建设项目主要污染物排放总量审核有关事宜的复函》，本项目属于其他行业排放管理的建设项目，因此本次可豁免污染物总量的审核。</w:t>
                  </w:r>
                </w:p>
              </w:tc>
              <w:tc>
                <w:tcPr>
                  <w:tcW w:w="540" w:type="pct"/>
                  <w:noWrap w:val="0"/>
                  <w:vAlign w:val="center"/>
                </w:tcPr>
                <w:p w14:paraId="2705138F">
                  <w:pPr>
                    <w:adjustRightInd w:val="0"/>
                    <w:snapToGrid w:val="0"/>
                    <w:jc w:val="center"/>
                    <w:rPr>
                      <w:rFonts w:hint="default" w:ascii="Times New Roman" w:hAnsi="Times New Roman" w:cs="Times New Roman"/>
                      <w:color w:val="auto"/>
                      <w:u w:val="none"/>
                    </w:rPr>
                  </w:pPr>
                  <w:r>
                    <w:rPr>
                      <w:rFonts w:hint="default" w:ascii="Times New Roman" w:hAnsi="Times New Roman" w:eastAsia="宋体" w:cs="Times New Roman"/>
                      <w:color w:val="auto"/>
                      <w:u w:val="none"/>
                      <w:lang w:eastAsia="zh-CN"/>
                    </w:rPr>
                    <w:t>符合</w:t>
                  </w:r>
                </w:p>
              </w:tc>
            </w:tr>
          </w:tbl>
          <w:p w14:paraId="1E23CF7B">
            <w:pPr>
              <w:autoSpaceDE w:val="0"/>
              <w:autoSpaceDN w:val="0"/>
              <w:adjustRightInd w:val="0"/>
              <w:snapToGrid w:val="0"/>
              <w:spacing w:line="360" w:lineRule="auto"/>
              <w:ind w:firstLine="480" w:firstLineChars="200"/>
              <w:rPr>
                <w:rFonts w:hint="eastAsia"/>
                <w:kern w:val="0"/>
                <w:sz w:val="24"/>
              </w:rPr>
            </w:pPr>
          </w:p>
        </w:tc>
      </w:tr>
      <w:tr w14:paraId="7F6983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5" w:type="pct"/>
            <w:noWrap w:val="0"/>
            <w:vAlign w:val="center"/>
          </w:tcPr>
          <w:p w14:paraId="154C1830">
            <w:pPr>
              <w:autoSpaceDE w:val="0"/>
              <w:autoSpaceDN w:val="0"/>
              <w:adjustRightInd w:val="0"/>
              <w:snapToGrid w:val="0"/>
              <w:jc w:val="center"/>
              <w:rPr>
                <w:rFonts w:hint="eastAsia" w:ascii="宋体" w:hAnsi="宋体" w:cs="宋体"/>
                <w:kern w:val="0"/>
                <w:szCs w:val="21"/>
              </w:rPr>
            </w:pPr>
            <w:r>
              <w:rPr>
                <w:rFonts w:hint="eastAsia" w:ascii="宋体" w:hAnsi="宋体" w:cs="宋体"/>
                <w:kern w:val="0"/>
                <w:sz w:val="24"/>
              </w:rPr>
              <w:t>其他符合性分析</w:t>
            </w:r>
          </w:p>
        </w:tc>
        <w:tc>
          <w:tcPr>
            <w:tcW w:w="4054" w:type="pct"/>
            <w:gridSpan w:val="3"/>
            <w:noWrap w:val="0"/>
            <w:vAlign w:val="center"/>
          </w:tcPr>
          <w:p w14:paraId="1B937F44">
            <w:pPr>
              <w:pStyle w:val="84"/>
              <w:autoSpaceDE w:val="0"/>
              <w:autoSpaceDN w:val="0"/>
              <w:spacing w:line="360" w:lineRule="auto"/>
              <w:ind w:firstLine="482" w:firstLineChars="200"/>
              <w:jc w:val="both"/>
              <w:rPr>
                <w:b/>
                <w:bCs/>
                <w:sz w:val="24"/>
                <w:lang w:eastAsia="zh-CN"/>
              </w:rPr>
            </w:pPr>
            <w:r>
              <w:rPr>
                <w:b/>
                <w:bCs/>
                <w:sz w:val="24"/>
                <w:lang w:eastAsia="zh-CN"/>
              </w:rPr>
              <w:t>1、产业政策符合性分析</w:t>
            </w:r>
          </w:p>
          <w:p w14:paraId="529FB32F">
            <w:pPr>
              <w:spacing w:line="360" w:lineRule="auto"/>
              <w:ind w:firstLine="480" w:firstLineChars="200"/>
              <w:rPr>
                <w:b/>
                <w:bCs/>
                <w:i/>
                <w:iCs/>
                <w:sz w:val="24"/>
                <w:u w:val="single"/>
              </w:rPr>
            </w:pPr>
            <w:r>
              <w:rPr>
                <w:i/>
                <w:iCs/>
                <w:sz w:val="24"/>
                <w:u w:val="single"/>
              </w:rPr>
              <w:t>根据《产业结构调整指导目录（202</w:t>
            </w:r>
            <w:r>
              <w:rPr>
                <w:rFonts w:hint="eastAsia"/>
                <w:i/>
                <w:iCs/>
                <w:sz w:val="24"/>
                <w:u w:val="single"/>
              </w:rPr>
              <w:t>4年版</w:t>
            </w:r>
            <w:r>
              <w:rPr>
                <w:i/>
                <w:iCs/>
                <w:sz w:val="24"/>
                <w:u w:val="single"/>
              </w:rPr>
              <w:t>）》，本项目不属于“鼓励类”、“限制类”和“淘汰类”范围内，属于允许类。因此，项目的建设符合国家产业政策。</w:t>
            </w:r>
          </w:p>
          <w:p w14:paraId="04274C51">
            <w:pPr>
              <w:spacing w:line="360" w:lineRule="auto"/>
              <w:ind w:firstLine="482" w:firstLineChars="200"/>
              <w:rPr>
                <w:b/>
                <w:bCs/>
                <w:sz w:val="24"/>
              </w:rPr>
            </w:pPr>
            <w:r>
              <w:rPr>
                <w:b/>
                <w:bCs/>
                <w:sz w:val="24"/>
              </w:rPr>
              <w:t>2、项目“三线一单”符合性分析</w:t>
            </w:r>
          </w:p>
          <w:p w14:paraId="5629F0FE">
            <w:pPr>
              <w:spacing w:line="360" w:lineRule="auto"/>
              <w:ind w:firstLine="480" w:firstLineChars="200"/>
              <w:rPr>
                <w:sz w:val="24"/>
              </w:rPr>
            </w:pPr>
            <w:r>
              <w:rPr>
                <w:sz w:val="24"/>
              </w:rPr>
              <w:t>（1）生态保护红线</w:t>
            </w:r>
          </w:p>
          <w:p w14:paraId="78C9F97C">
            <w:pPr>
              <w:pStyle w:val="11"/>
              <w:spacing w:line="360" w:lineRule="auto"/>
              <w:ind w:firstLine="480" w:firstLineChars="200"/>
              <w:rPr>
                <w:rFonts w:ascii="Times New Roman" w:hAnsi="Times New Roman"/>
                <w:sz w:val="24"/>
              </w:rPr>
            </w:pPr>
            <w:r>
              <w:rPr>
                <w:rFonts w:ascii="Times New Roman" w:hAnsi="Times New Roman"/>
                <w:sz w:val="24"/>
              </w:rPr>
              <w:t>根据吉林省人民政府发布《</w:t>
            </w:r>
            <w:r>
              <w:rPr>
                <w:rFonts w:hint="eastAsia" w:ascii="Times New Roman" w:hAnsi="Times New Roman"/>
                <w:sz w:val="24"/>
              </w:rPr>
              <w:t>关于加强生态环境分区管控的若干措施</w:t>
            </w:r>
            <w:r>
              <w:rPr>
                <w:rFonts w:ascii="Times New Roman" w:hAnsi="Times New Roman"/>
                <w:sz w:val="24"/>
              </w:rPr>
              <w:t>》</w:t>
            </w:r>
            <w:r>
              <w:rPr>
                <w:rFonts w:hint="eastAsia" w:ascii="Times New Roman" w:hAnsi="Times New Roman"/>
                <w:sz w:val="24"/>
                <w:lang w:eastAsia="zh-CN"/>
              </w:rPr>
              <w:t>（</w:t>
            </w:r>
            <w:r>
              <w:rPr>
                <w:rFonts w:ascii="Times New Roman" w:hAnsi="Times New Roman"/>
                <w:sz w:val="24"/>
              </w:rPr>
              <w:t>吉</w:t>
            </w:r>
            <w:r>
              <w:rPr>
                <w:rFonts w:hint="eastAsia" w:ascii="Times New Roman" w:hAnsi="Times New Roman"/>
                <w:sz w:val="24"/>
              </w:rPr>
              <w:t>办发[</w:t>
            </w:r>
            <w:r>
              <w:rPr>
                <w:rFonts w:ascii="Times New Roman" w:hAnsi="Times New Roman"/>
                <w:sz w:val="24"/>
              </w:rPr>
              <w:t>202</w:t>
            </w:r>
            <w:r>
              <w:rPr>
                <w:rFonts w:hint="eastAsia" w:ascii="Times New Roman" w:hAnsi="Times New Roman"/>
                <w:sz w:val="24"/>
              </w:rPr>
              <w:t>4</w:t>
            </w:r>
            <w:r>
              <w:rPr>
                <w:rFonts w:ascii="Times New Roman" w:hAnsi="Times New Roman"/>
                <w:sz w:val="24"/>
              </w:rPr>
              <w:t>]</w:t>
            </w:r>
            <w:r>
              <w:rPr>
                <w:rFonts w:hint="eastAsia" w:ascii="Times New Roman" w:hAnsi="Times New Roman"/>
                <w:sz w:val="24"/>
              </w:rPr>
              <w:t>12</w:t>
            </w:r>
            <w:r>
              <w:rPr>
                <w:rFonts w:ascii="Times New Roman" w:hAnsi="Times New Roman"/>
                <w:sz w:val="24"/>
              </w:rPr>
              <w:t>号</w:t>
            </w:r>
            <w:r>
              <w:rPr>
                <w:rFonts w:hint="eastAsia" w:ascii="Times New Roman" w:hAnsi="Times New Roman"/>
                <w:sz w:val="24"/>
                <w:lang w:eastAsia="zh-CN"/>
              </w:rPr>
              <w:t>）</w:t>
            </w:r>
            <w:r>
              <w:rPr>
                <w:rFonts w:ascii="Times New Roman" w:hAnsi="Times New Roman"/>
                <w:sz w:val="24"/>
              </w:rPr>
              <w:t>中要求，本项目位于长春北湖科技开发区，位于</w:t>
            </w:r>
            <w:r>
              <w:rPr>
                <w:rFonts w:hint="eastAsia" w:ascii="Times New Roman" w:hAnsi="Times New Roman"/>
                <w:sz w:val="24"/>
              </w:rPr>
              <w:t>重点管控</w:t>
            </w:r>
            <w:r>
              <w:rPr>
                <w:rFonts w:ascii="Times New Roman" w:hAnsi="Times New Roman"/>
                <w:sz w:val="24"/>
              </w:rPr>
              <w:t>单元，</w:t>
            </w:r>
            <w:r>
              <w:rPr>
                <w:rFonts w:hint="eastAsia" w:ascii="Times New Roman" w:hAnsi="Times New Roman"/>
                <w:sz w:val="24"/>
              </w:rPr>
              <w:t>管控单元编号为</w:t>
            </w:r>
            <w:r>
              <w:rPr>
                <w:rFonts w:hint="eastAsia" w:ascii="Times New Roman" w:hAnsi="Times New Roman"/>
                <w:kern w:val="0"/>
                <w:sz w:val="24"/>
                <w:lang w:eastAsia="zh-CN"/>
              </w:rPr>
              <w:t>ZH22011320004</w:t>
            </w:r>
            <w:r>
              <w:rPr>
                <w:rFonts w:hint="eastAsia" w:ascii="Times New Roman" w:hAnsi="Times New Roman"/>
                <w:sz w:val="24"/>
              </w:rPr>
              <w:t>，</w:t>
            </w:r>
            <w:r>
              <w:rPr>
                <w:rFonts w:ascii="Times New Roman" w:hAnsi="Times New Roman"/>
                <w:sz w:val="24"/>
              </w:rPr>
              <w:t>项目位于生态保护红线范围外。因此，本项目符合生态红线要求。根据《</w:t>
            </w:r>
            <w:r>
              <w:rPr>
                <w:rFonts w:hint="eastAsia" w:ascii="Times New Roman" w:hAnsi="Times New Roman"/>
                <w:sz w:val="24"/>
              </w:rPr>
              <w:t>关于加强生态环境分区管控的若干措施</w:t>
            </w:r>
            <w:r>
              <w:rPr>
                <w:rFonts w:ascii="Times New Roman" w:hAnsi="Times New Roman"/>
                <w:sz w:val="24"/>
              </w:rPr>
              <w:t>》</w:t>
            </w:r>
            <w:r>
              <w:rPr>
                <w:rFonts w:hint="eastAsia" w:ascii="Times New Roman" w:hAnsi="Times New Roman"/>
                <w:sz w:val="24"/>
                <w:lang w:eastAsia="zh-CN"/>
              </w:rPr>
              <w:t>（</w:t>
            </w:r>
            <w:r>
              <w:rPr>
                <w:rFonts w:ascii="Times New Roman" w:hAnsi="Times New Roman"/>
                <w:sz w:val="24"/>
              </w:rPr>
              <w:t>吉</w:t>
            </w:r>
            <w:r>
              <w:rPr>
                <w:rFonts w:hint="eastAsia" w:ascii="Times New Roman" w:hAnsi="Times New Roman"/>
                <w:sz w:val="24"/>
              </w:rPr>
              <w:t>办发[</w:t>
            </w:r>
            <w:r>
              <w:rPr>
                <w:rFonts w:ascii="Times New Roman" w:hAnsi="Times New Roman"/>
                <w:sz w:val="24"/>
              </w:rPr>
              <w:t>202</w:t>
            </w:r>
            <w:r>
              <w:rPr>
                <w:rFonts w:hint="eastAsia" w:ascii="Times New Roman" w:hAnsi="Times New Roman"/>
                <w:sz w:val="24"/>
              </w:rPr>
              <w:t>4</w:t>
            </w:r>
            <w:r>
              <w:rPr>
                <w:rFonts w:ascii="Times New Roman" w:hAnsi="Times New Roman"/>
                <w:sz w:val="24"/>
              </w:rPr>
              <w:t>]</w:t>
            </w:r>
            <w:r>
              <w:rPr>
                <w:rFonts w:hint="eastAsia" w:ascii="Times New Roman" w:hAnsi="Times New Roman"/>
                <w:sz w:val="24"/>
              </w:rPr>
              <w:t>12</w:t>
            </w:r>
            <w:r>
              <w:rPr>
                <w:rFonts w:ascii="Times New Roman" w:hAnsi="Times New Roman"/>
                <w:sz w:val="24"/>
              </w:rPr>
              <w:t>号</w:t>
            </w:r>
            <w:r>
              <w:rPr>
                <w:rFonts w:hint="eastAsia" w:ascii="Times New Roman" w:hAnsi="Times New Roman"/>
                <w:sz w:val="24"/>
                <w:lang w:eastAsia="zh-CN"/>
              </w:rPr>
              <w:t>）</w:t>
            </w:r>
            <w:r>
              <w:rPr>
                <w:rFonts w:ascii="Times New Roman" w:hAnsi="Times New Roman"/>
                <w:sz w:val="24"/>
              </w:rPr>
              <w:t>中要求：</w:t>
            </w:r>
            <w:r>
              <w:rPr>
                <w:rFonts w:hint="eastAsia" w:ascii="Times New Roman" w:hAnsi="Times New Roman"/>
                <w:sz w:val="24"/>
              </w:rPr>
              <w:t>重点管控单元严格按照法律法规和有关规定，以及差别化的生态环境准入要求，加强污染物排放控制和环境风险防控</w:t>
            </w:r>
            <w:r>
              <w:rPr>
                <w:rFonts w:ascii="Times New Roman" w:hAnsi="Times New Roman"/>
                <w:sz w:val="24"/>
              </w:rPr>
              <w:t>，</w:t>
            </w:r>
            <w:r>
              <w:rPr>
                <w:rFonts w:hint="eastAsia" w:ascii="Times New Roman" w:hAnsi="Times New Roman"/>
                <w:sz w:val="24"/>
              </w:rPr>
              <w:t>不断提升资源利用效率，稳步改善生态环境质量。</w:t>
            </w:r>
            <w:r>
              <w:rPr>
                <w:rFonts w:ascii="Times New Roman" w:hAnsi="Times New Roman"/>
                <w:sz w:val="24"/>
              </w:rPr>
              <w:t>根据吉林省生态环境准入清单（总体准入要求），本项目不属于空间布局约束中的项目，详见表1-</w:t>
            </w:r>
            <w:r>
              <w:rPr>
                <w:rFonts w:hint="eastAsia" w:ascii="Times New Roman" w:hAnsi="Times New Roman"/>
                <w:sz w:val="24"/>
                <w:lang w:val="en-US" w:eastAsia="zh-CN"/>
              </w:rPr>
              <w:t>2</w:t>
            </w:r>
            <w:r>
              <w:rPr>
                <w:rFonts w:ascii="Times New Roman" w:hAnsi="Times New Roman"/>
                <w:sz w:val="24"/>
              </w:rPr>
              <w:t>，满足</w:t>
            </w:r>
            <w:r>
              <w:rPr>
                <w:rFonts w:hint="eastAsia" w:ascii="Times New Roman" w:hAnsi="Times New Roman"/>
                <w:sz w:val="24"/>
              </w:rPr>
              <w:t>重点管控</w:t>
            </w:r>
            <w:r>
              <w:rPr>
                <w:rFonts w:ascii="Times New Roman" w:hAnsi="Times New Roman"/>
                <w:sz w:val="24"/>
              </w:rPr>
              <w:t>单元</w:t>
            </w:r>
            <w:r>
              <w:rPr>
                <w:rFonts w:hint="eastAsia" w:ascii="Times New Roman" w:hAnsi="Times New Roman"/>
                <w:sz w:val="24"/>
              </w:rPr>
              <w:t>（</w:t>
            </w:r>
            <w:r>
              <w:rPr>
                <w:rFonts w:hint="eastAsia" w:ascii="Times New Roman" w:hAnsi="Times New Roman"/>
                <w:kern w:val="0"/>
                <w:sz w:val="24"/>
                <w:lang w:eastAsia="zh-CN"/>
              </w:rPr>
              <w:t>ZH22011320004</w:t>
            </w:r>
            <w:r>
              <w:rPr>
                <w:rFonts w:hint="eastAsia" w:ascii="Times New Roman" w:hAnsi="Times New Roman"/>
                <w:sz w:val="24"/>
              </w:rPr>
              <w:t>）</w:t>
            </w:r>
            <w:r>
              <w:rPr>
                <w:rFonts w:ascii="Times New Roman" w:hAnsi="Times New Roman"/>
                <w:sz w:val="24"/>
              </w:rPr>
              <w:t>要求；项目所在区域不属于生活饮用水水源保护区、风景名胜区、自然保护区等生态保护红线区域，项目建设不涉及生态红线划定区。</w:t>
            </w:r>
          </w:p>
          <w:p w14:paraId="11804821">
            <w:pPr>
              <w:pStyle w:val="11"/>
              <w:spacing w:line="360" w:lineRule="auto"/>
              <w:ind w:firstLine="480" w:firstLineChars="200"/>
              <w:rPr>
                <w:rFonts w:ascii="Times New Roman" w:hAnsi="Times New Roman"/>
                <w:sz w:val="24"/>
              </w:rPr>
            </w:pPr>
            <w:r>
              <w:rPr>
                <w:rFonts w:ascii="Times New Roman" w:hAnsi="Times New Roman"/>
                <w:sz w:val="24"/>
              </w:rPr>
              <w:t>（2）环境质量底线</w:t>
            </w:r>
          </w:p>
          <w:p w14:paraId="162C090F">
            <w:pPr>
              <w:pStyle w:val="11"/>
              <w:spacing w:line="360" w:lineRule="auto"/>
              <w:ind w:firstLine="480" w:firstLineChars="200"/>
              <w:rPr>
                <w:rFonts w:ascii="Times New Roman" w:hAnsi="Times New Roman"/>
                <w:sz w:val="24"/>
              </w:rPr>
            </w:pPr>
            <w:r>
              <w:rPr>
                <w:rFonts w:ascii="Times New Roman" w:hAnsi="Times New Roman"/>
                <w:sz w:val="24"/>
              </w:rPr>
              <w:t>本项目选址区域为环境空气功能区二类区，执行二级标准，根据吉林省生态环境厅公布的《吉林省202</w:t>
            </w:r>
            <w:r>
              <w:rPr>
                <w:rFonts w:hint="eastAsia" w:ascii="Times New Roman" w:hAnsi="Times New Roman"/>
                <w:sz w:val="24"/>
              </w:rPr>
              <w:t>3</w:t>
            </w:r>
            <w:r>
              <w:rPr>
                <w:rFonts w:ascii="Times New Roman" w:hAnsi="Times New Roman"/>
                <w:sz w:val="24"/>
              </w:rPr>
              <w:t>年生态环境状况公报》中相关数据，202</w:t>
            </w:r>
            <w:r>
              <w:rPr>
                <w:rFonts w:hint="eastAsia" w:ascii="Times New Roman" w:hAnsi="Times New Roman"/>
                <w:sz w:val="24"/>
              </w:rPr>
              <w:t>3</w:t>
            </w:r>
            <w:r>
              <w:rPr>
                <w:rFonts w:ascii="Times New Roman" w:hAnsi="Times New Roman"/>
                <w:sz w:val="24"/>
              </w:rPr>
              <w:t>年</w:t>
            </w:r>
            <w:r>
              <w:rPr>
                <w:rFonts w:hint="eastAsia" w:ascii="Times New Roman" w:hAnsi="Times New Roman"/>
                <w:sz w:val="24"/>
              </w:rPr>
              <w:t>长春</w:t>
            </w:r>
            <w:r>
              <w:rPr>
                <w:rFonts w:ascii="Times New Roman" w:hAnsi="Times New Roman"/>
                <w:sz w:val="24"/>
              </w:rPr>
              <w:t>市环境空气质量属于达标区；</w:t>
            </w:r>
            <w:r>
              <w:rPr>
                <w:rFonts w:hint="eastAsia" w:ascii="Times New Roman" w:hAnsi="Times New Roman"/>
                <w:sz w:val="24"/>
              </w:rPr>
              <w:t>制备试验中产生的喷砂废气经喷砂机自带的滤筒除尘器处理后通过</w:t>
            </w:r>
            <w:r>
              <w:rPr>
                <w:rFonts w:hint="eastAsia" w:ascii="Times New Roman" w:hAnsi="Times New Roman"/>
                <w:sz w:val="24"/>
                <w:lang w:val="en-US" w:eastAsia="zh-CN"/>
              </w:rPr>
              <w:t>15</w:t>
            </w:r>
            <w:r>
              <w:rPr>
                <w:rFonts w:hint="eastAsia" w:ascii="Times New Roman" w:hAnsi="Times New Roman"/>
                <w:sz w:val="24"/>
              </w:rPr>
              <w:t>m高排气筒DA001达标排放。</w:t>
            </w:r>
            <w:r>
              <w:rPr>
                <w:rFonts w:hint="eastAsia" w:ascii="Times New Roman" w:hAnsi="Times New Roman"/>
                <w:sz w:val="24"/>
                <w:lang w:eastAsia="zh-CN"/>
              </w:rPr>
              <w:t>制备实验及</w:t>
            </w:r>
            <w:r>
              <w:rPr>
                <w:rFonts w:hint="eastAsia" w:ascii="Times New Roman" w:hAnsi="Times New Roman"/>
                <w:sz w:val="24"/>
              </w:rPr>
              <w:t>喷涂实验产生的有机废气经过滤棉及活性炭吸附后通过</w:t>
            </w:r>
            <w:r>
              <w:rPr>
                <w:rFonts w:hint="eastAsia" w:ascii="Times New Roman" w:hAnsi="Times New Roman"/>
                <w:sz w:val="24"/>
                <w:lang w:val="en-US" w:eastAsia="zh-CN"/>
              </w:rPr>
              <w:t>15</w:t>
            </w:r>
            <w:r>
              <w:rPr>
                <w:rFonts w:hint="eastAsia" w:ascii="Times New Roman" w:hAnsi="Times New Roman"/>
                <w:sz w:val="24"/>
              </w:rPr>
              <w:t>m高排气筒DA002达标排放</w:t>
            </w:r>
            <w:r>
              <w:rPr>
                <w:rFonts w:ascii="Times New Roman" w:hAnsi="Times New Roman"/>
                <w:sz w:val="24"/>
              </w:rPr>
              <w:t>，</w:t>
            </w:r>
            <w:r>
              <w:rPr>
                <w:rFonts w:hint="eastAsia" w:ascii="Times New Roman" w:hAnsi="Times New Roman"/>
                <w:sz w:val="24"/>
              </w:rPr>
              <w:t>不会</w:t>
            </w:r>
            <w:r>
              <w:rPr>
                <w:rFonts w:ascii="Times New Roman" w:hAnsi="Times New Roman"/>
                <w:sz w:val="24"/>
              </w:rPr>
              <w:t>影响区域大气环境质量现状。</w:t>
            </w:r>
          </w:p>
          <w:p w14:paraId="2602FC85">
            <w:pPr>
              <w:adjustRightInd w:val="0"/>
              <w:snapToGrid w:val="0"/>
              <w:spacing w:line="360" w:lineRule="auto"/>
              <w:ind w:firstLine="480" w:firstLineChars="200"/>
              <w:jc w:val="left"/>
              <w:rPr>
                <w:sz w:val="24"/>
                <w:szCs w:val="28"/>
              </w:rPr>
            </w:pPr>
            <w:r>
              <w:rPr>
                <w:rFonts w:hint="eastAsia"/>
                <w:sz w:val="24"/>
              </w:rPr>
              <w:t>本项</w:t>
            </w:r>
            <w:r>
              <w:rPr>
                <w:rFonts w:hint="eastAsia"/>
                <w:sz w:val="24"/>
                <w:highlight w:val="none"/>
              </w:rPr>
              <w:t>目受</w:t>
            </w:r>
            <w:r>
              <w:rPr>
                <w:rFonts w:hint="eastAsia"/>
                <w:sz w:val="24"/>
                <w:highlight w:val="none"/>
                <w:lang w:eastAsia="zh-CN"/>
              </w:rPr>
              <w:t>纳</w:t>
            </w:r>
            <w:r>
              <w:rPr>
                <w:rFonts w:hint="eastAsia"/>
                <w:sz w:val="24"/>
                <w:highlight w:val="none"/>
              </w:rPr>
              <w:t>水体为干雾海河，</w:t>
            </w:r>
            <w:r>
              <w:rPr>
                <w:rFonts w:hint="eastAsia"/>
                <w:sz w:val="24"/>
              </w:rPr>
              <w:t>干雾海河为雾开河一级支流</w:t>
            </w:r>
            <w:r>
              <w:rPr>
                <w:sz w:val="24"/>
              </w:rPr>
              <w:t>，</w:t>
            </w:r>
            <w:r>
              <w:rPr>
                <w:rFonts w:hint="eastAsia"/>
                <w:sz w:val="24"/>
              </w:rPr>
              <w:t>干雾海河河口-河口为雾开河德惠市农业用水区，为</w:t>
            </w:r>
            <w:r>
              <w:rPr>
                <w:sz w:val="24"/>
              </w:rPr>
              <w:t>Ⅳ</w:t>
            </w:r>
            <w:r>
              <w:rPr>
                <w:rFonts w:hint="eastAsia"/>
                <w:sz w:val="24"/>
              </w:rPr>
              <w:t>类水体功能区，</w:t>
            </w:r>
            <w:r>
              <w:rPr>
                <w:sz w:val="24"/>
              </w:rPr>
              <w:t>根据吉林省生态环境厅发布的《吉林省江河国控断面水质月报》（202</w:t>
            </w:r>
            <w:r>
              <w:rPr>
                <w:rFonts w:hint="eastAsia"/>
                <w:sz w:val="24"/>
              </w:rPr>
              <w:t>3年全年</w:t>
            </w:r>
            <w:r>
              <w:rPr>
                <w:sz w:val="24"/>
              </w:rPr>
              <w:t>），</w:t>
            </w:r>
            <w:r>
              <w:rPr>
                <w:rFonts w:hint="eastAsia"/>
                <w:sz w:val="24"/>
              </w:rPr>
              <w:t>雾开河十三家子大桥断面3、5、6、7月份不</w:t>
            </w:r>
            <w:r>
              <w:rPr>
                <w:sz w:val="24"/>
              </w:rPr>
              <w:t>满足</w:t>
            </w:r>
            <w:r>
              <w:rPr>
                <w:kern w:val="0"/>
                <w:sz w:val="24"/>
                <w:szCs w:val="20"/>
              </w:rPr>
              <w:t>《地表水环境质量标准》（GB3838-2002）中</w:t>
            </w:r>
            <w:r>
              <w:rPr>
                <w:sz w:val="24"/>
              </w:rPr>
              <w:t>Ⅳ</w:t>
            </w:r>
            <w:r>
              <w:rPr>
                <w:kern w:val="0"/>
                <w:sz w:val="24"/>
                <w:szCs w:val="20"/>
              </w:rPr>
              <w:t>类标准</w:t>
            </w:r>
            <w:r>
              <w:rPr>
                <w:rFonts w:hint="eastAsia"/>
                <w:kern w:val="0"/>
                <w:sz w:val="24"/>
                <w:szCs w:val="20"/>
              </w:rPr>
              <w:t>，其余月份均满足</w:t>
            </w:r>
            <w:r>
              <w:rPr>
                <w:kern w:val="0"/>
                <w:sz w:val="24"/>
                <w:szCs w:val="20"/>
              </w:rPr>
              <w:t>《地表水环境质量标准》（GB3838-2002）中</w:t>
            </w:r>
            <w:r>
              <w:rPr>
                <w:sz w:val="24"/>
              </w:rPr>
              <w:t>Ⅳ</w:t>
            </w:r>
            <w:r>
              <w:rPr>
                <w:kern w:val="0"/>
                <w:sz w:val="24"/>
                <w:szCs w:val="20"/>
              </w:rPr>
              <w:t>类标准</w:t>
            </w:r>
            <w:r>
              <w:rPr>
                <w:sz w:val="24"/>
              </w:rPr>
              <w:t>。</w:t>
            </w:r>
          </w:p>
          <w:p w14:paraId="5AA506CA">
            <w:pPr>
              <w:pStyle w:val="11"/>
              <w:spacing w:line="360" w:lineRule="auto"/>
              <w:ind w:firstLine="480" w:firstLineChars="200"/>
              <w:rPr>
                <w:rFonts w:ascii="Times New Roman" w:hAnsi="Times New Roman"/>
                <w:sz w:val="24"/>
              </w:rPr>
            </w:pPr>
            <w:r>
              <w:rPr>
                <w:rFonts w:ascii="Times New Roman" w:hAnsi="Times New Roman"/>
                <w:sz w:val="24"/>
              </w:rPr>
              <w:t>（3）资源利用上线</w:t>
            </w:r>
          </w:p>
          <w:p w14:paraId="72858ECF">
            <w:pPr>
              <w:pStyle w:val="11"/>
              <w:spacing w:line="360" w:lineRule="auto"/>
              <w:ind w:firstLine="480" w:firstLineChars="200"/>
              <w:rPr>
                <w:rFonts w:ascii="Times New Roman" w:hAnsi="Times New Roman"/>
                <w:kern w:val="0"/>
                <w:sz w:val="24"/>
              </w:rPr>
            </w:pPr>
            <w:r>
              <w:rPr>
                <w:rFonts w:ascii="Times New Roman" w:hAnsi="Times New Roman"/>
                <w:sz w:val="24"/>
              </w:rPr>
              <w:t>“资源利用上线”地区能源、水、土地</w:t>
            </w:r>
            <w:r>
              <w:rPr>
                <w:rFonts w:ascii="Times New Roman" w:hAnsi="Times New Roman"/>
                <w:kern w:val="8"/>
                <w:sz w:val="24"/>
              </w:rPr>
              <w:t>等资源消耗不得突破的“天花板”，</w:t>
            </w:r>
            <w:r>
              <w:rPr>
                <w:rFonts w:ascii="Times New Roman" w:hAnsi="Times New Roman"/>
                <w:sz w:val="24"/>
                <w:lang w:bidi="ar"/>
              </w:rPr>
              <w:t>项目</w:t>
            </w:r>
            <w:r>
              <w:rPr>
                <w:rFonts w:hint="eastAsia" w:ascii="Times New Roman" w:hAnsi="Times New Roman"/>
                <w:sz w:val="24"/>
                <w:lang w:bidi="ar"/>
              </w:rPr>
              <w:t>研磨机冷却用水循环使用，生活</w:t>
            </w:r>
            <w:r>
              <w:rPr>
                <w:rFonts w:ascii="Times New Roman" w:hAnsi="Times New Roman"/>
                <w:sz w:val="24"/>
                <w:lang w:bidi="ar"/>
              </w:rPr>
              <w:t>用水</w:t>
            </w:r>
            <w:r>
              <w:rPr>
                <w:rFonts w:hint="eastAsia" w:ascii="Times New Roman" w:hAnsi="Times New Roman"/>
                <w:sz w:val="24"/>
                <w:lang w:eastAsia="zh-CN" w:bidi="ar"/>
              </w:rPr>
              <w:t>、</w:t>
            </w:r>
            <w:r>
              <w:rPr>
                <w:rFonts w:hint="eastAsia" w:ascii="Times New Roman" w:hAnsi="Times New Roman"/>
                <w:sz w:val="24"/>
                <w:lang w:bidi="ar"/>
              </w:rPr>
              <w:t>实验设备</w:t>
            </w:r>
            <w:r>
              <w:rPr>
                <w:rFonts w:hint="eastAsia" w:ascii="Times New Roman" w:hAnsi="Times New Roman"/>
                <w:sz w:val="24"/>
                <w:lang w:eastAsia="zh-CN" w:bidi="ar"/>
              </w:rPr>
              <w:t>及实验室地面</w:t>
            </w:r>
            <w:r>
              <w:rPr>
                <w:rFonts w:hint="eastAsia" w:ascii="Times New Roman" w:hAnsi="Times New Roman"/>
                <w:sz w:val="24"/>
                <w:lang w:bidi="ar"/>
              </w:rPr>
              <w:t>清洗用水</w:t>
            </w:r>
            <w:r>
              <w:rPr>
                <w:rFonts w:ascii="Times New Roman" w:hAnsi="Times New Roman"/>
                <w:sz w:val="24"/>
                <w:lang w:bidi="ar"/>
              </w:rPr>
              <w:t>来自</w:t>
            </w:r>
            <w:r>
              <w:rPr>
                <w:rFonts w:hint="eastAsia" w:ascii="Times New Roman" w:hAnsi="Times New Roman"/>
                <w:sz w:val="24"/>
                <w:lang w:bidi="ar"/>
              </w:rPr>
              <w:t>供水管网，用水量很小</w:t>
            </w:r>
            <w:r>
              <w:rPr>
                <w:rFonts w:ascii="Times New Roman" w:hAnsi="Times New Roman"/>
                <w:sz w:val="24"/>
                <w:lang w:bidi="ar"/>
              </w:rPr>
              <w:t>，用电来自当地供电系统。项目建成运行后通过内部管理、设备选择、原辅料的选用和管理、污染防治等多方面的采取合理可行的防治措施，以“节能、降耗、减污”为目标，有效的控制污染。项目的水、电等资源利用不会突破区域的资源利用上线。</w:t>
            </w:r>
          </w:p>
          <w:p w14:paraId="0DA33142">
            <w:pPr>
              <w:pStyle w:val="11"/>
              <w:spacing w:line="360" w:lineRule="auto"/>
              <w:ind w:firstLine="480" w:firstLineChars="200"/>
              <w:rPr>
                <w:rFonts w:ascii="Times New Roman" w:hAnsi="Times New Roman"/>
              </w:rPr>
            </w:pPr>
            <w:r>
              <w:rPr>
                <w:rFonts w:ascii="Times New Roman" w:hAnsi="Times New Roman"/>
                <w:kern w:val="0"/>
                <w:sz w:val="24"/>
              </w:rPr>
              <w:t>（4）生态环境准入清单</w:t>
            </w:r>
          </w:p>
          <w:p w14:paraId="5CAD47A7">
            <w:pPr>
              <w:autoSpaceDE w:val="0"/>
              <w:autoSpaceDN w:val="0"/>
              <w:adjustRightInd w:val="0"/>
              <w:snapToGrid w:val="0"/>
              <w:spacing w:line="360" w:lineRule="auto"/>
              <w:ind w:firstLine="480" w:firstLineChars="200"/>
              <w:rPr>
                <w:kern w:val="0"/>
                <w:sz w:val="24"/>
              </w:rPr>
            </w:pPr>
            <w:r>
              <w:rPr>
                <w:kern w:val="0"/>
                <w:sz w:val="24"/>
              </w:rPr>
              <w:t>①与吉林省生态环境准入清单相符性</w:t>
            </w:r>
          </w:p>
          <w:p w14:paraId="35531EE0">
            <w:pPr>
              <w:autoSpaceDE w:val="0"/>
              <w:autoSpaceDN w:val="0"/>
              <w:adjustRightInd w:val="0"/>
              <w:snapToGrid w:val="0"/>
              <w:spacing w:line="360" w:lineRule="auto"/>
              <w:ind w:firstLine="480" w:firstLineChars="200"/>
              <w:rPr>
                <w:i/>
                <w:iCs/>
                <w:kern w:val="0"/>
                <w:sz w:val="24"/>
                <w:u w:val="single"/>
              </w:rPr>
            </w:pPr>
            <w:r>
              <w:rPr>
                <w:i/>
                <w:iCs/>
                <w:kern w:val="0"/>
                <w:sz w:val="24"/>
                <w:u w:val="single"/>
              </w:rPr>
              <w:t>根据</w:t>
            </w:r>
            <w:r>
              <w:rPr>
                <w:i/>
                <w:iCs/>
                <w:sz w:val="24"/>
                <w:u w:val="single"/>
              </w:rPr>
              <w:t>《</w:t>
            </w:r>
            <w:r>
              <w:rPr>
                <w:rFonts w:hint="eastAsia"/>
                <w:i/>
                <w:iCs/>
                <w:sz w:val="24"/>
                <w:u w:val="single"/>
              </w:rPr>
              <w:t>关于加强生态环境分区管控的若干措施</w:t>
            </w:r>
            <w:r>
              <w:rPr>
                <w:i/>
                <w:iCs/>
                <w:sz w:val="24"/>
                <w:u w:val="single"/>
              </w:rPr>
              <w:t>》</w:t>
            </w:r>
            <w:r>
              <w:rPr>
                <w:rFonts w:hint="eastAsia"/>
                <w:i/>
                <w:iCs/>
                <w:sz w:val="24"/>
                <w:u w:val="single"/>
                <w:lang w:eastAsia="zh-CN"/>
              </w:rPr>
              <w:t>（</w:t>
            </w:r>
            <w:r>
              <w:rPr>
                <w:i/>
                <w:iCs/>
                <w:sz w:val="24"/>
                <w:u w:val="single"/>
              </w:rPr>
              <w:t>吉</w:t>
            </w:r>
            <w:r>
              <w:rPr>
                <w:rFonts w:hint="eastAsia"/>
                <w:i/>
                <w:iCs/>
                <w:sz w:val="24"/>
                <w:u w:val="single"/>
              </w:rPr>
              <w:t>办发[</w:t>
            </w:r>
            <w:r>
              <w:rPr>
                <w:i/>
                <w:iCs/>
                <w:sz w:val="24"/>
                <w:u w:val="single"/>
              </w:rPr>
              <w:t>202</w:t>
            </w:r>
            <w:r>
              <w:rPr>
                <w:rFonts w:hint="eastAsia"/>
                <w:i/>
                <w:iCs/>
                <w:sz w:val="24"/>
                <w:u w:val="single"/>
              </w:rPr>
              <w:t>4</w:t>
            </w:r>
            <w:r>
              <w:rPr>
                <w:i/>
                <w:iCs/>
                <w:sz w:val="24"/>
                <w:u w:val="single"/>
              </w:rPr>
              <w:t>]</w:t>
            </w:r>
            <w:r>
              <w:rPr>
                <w:rFonts w:hint="eastAsia"/>
                <w:i/>
                <w:iCs/>
                <w:sz w:val="24"/>
                <w:u w:val="single"/>
              </w:rPr>
              <w:t>12</w:t>
            </w:r>
            <w:r>
              <w:rPr>
                <w:i/>
                <w:iCs/>
                <w:sz w:val="24"/>
                <w:u w:val="single"/>
              </w:rPr>
              <w:t>号</w:t>
            </w:r>
            <w:r>
              <w:rPr>
                <w:rFonts w:hint="eastAsia"/>
                <w:i/>
                <w:iCs/>
                <w:sz w:val="24"/>
                <w:u w:val="single"/>
                <w:lang w:eastAsia="zh-CN"/>
              </w:rPr>
              <w:t>）</w:t>
            </w:r>
            <w:r>
              <w:rPr>
                <w:i/>
                <w:iCs/>
                <w:kern w:val="0"/>
                <w:sz w:val="24"/>
                <w:u w:val="single"/>
              </w:rPr>
              <w:t>，本项目与吉林省生态环境准入清单相符性分析如下：</w:t>
            </w:r>
          </w:p>
          <w:p w14:paraId="2AAD060B">
            <w:pPr>
              <w:adjustRightInd w:val="0"/>
              <w:snapToGrid w:val="0"/>
              <w:jc w:val="center"/>
              <w:rPr>
                <w:b/>
                <w:i/>
                <w:iCs/>
                <w:sz w:val="24"/>
                <w:u w:val="single"/>
              </w:rPr>
            </w:pPr>
            <w:r>
              <w:rPr>
                <w:b/>
                <w:i/>
                <w:iCs/>
                <w:sz w:val="24"/>
                <w:u w:val="single"/>
              </w:rPr>
              <w:t>表1-</w:t>
            </w:r>
            <w:r>
              <w:rPr>
                <w:rFonts w:hint="eastAsia"/>
                <w:b/>
                <w:i/>
                <w:iCs/>
                <w:sz w:val="24"/>
                <w:u w:val="single"/>
                <w:lang w:val="en-US" w:eastAsia="zh-CN"/>
              </w:rPr>
              <w:t>2</w:t>
            </w:r>
            <w:r>
              <w:rPr>
                <w:b/>
                <w:i/>
                <w:iCs/>
                <w:sz w:val="24"/>
                <w:u w:val="single"/>
              </w:rPr>
              <w:t xml:space="preserve">  吉林省总体准入要求</w:t>
            </w:r>
          </w:p>
          <w:tbl>
            <w:tblPr>
              <w:tblStyle w:val="27"/>
              <w:tblW w:w="4997"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809"/>
              <w:gridCol w:w="3913"/>
              <w:gridCol w:w="2462"/>
              <w:gridCol w:w="747"/>
            </w:tblGrid>
            <w:tr w14:paraId="41E10C8C">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510" w:type="pct"/>
                  <w:noWrap w:val="0"/>
                  <w:vAlign w:val="center"/>
                </w:tcPr>
                <w:p w14:paraId="4EF8EB2C">
                  <w:pPr>
                    <w:adjustRightInd w:val="0"/>
                    <w:snapToGrid w:val="0"/>
                    <w:jc w:val="center"/>
                    <w:rPr>
                      <w:i/>
                      <w:iCs/>
                      <w:szCs w:val="21"/>
                      <w:u w:val="single"/>
                    </w:rPr>
                  </w:pPr>
                  <w:r>
                    <w:rPr>
                      <w:i/>
                      <w:iCs/>
                      <w:szCs w:val="21"/>
                      <w:u w:val="single"/>
                    </w:rPr>
                    <w:t>管控领域</w:t>
                  </w:r>
                </w:p>
              </w:tc>
              <w:tc>
                <w:tcPr>
                  <w:tcW w:w="2466" w:type="pct"/>
                  <w:noWrap w:val="0"/>
                  <w:vAlign w:val="center"/>
                </w:tcPr>
                <w:p w14:paraId="498BCC6E">
                  <w:pPr>
                    <w:adjustRightInd w:val="0"/>
                    <w:snapToGrid w:val="0"/>
                    <w:jc w:val="center"/>
                    <w:rPr>
                      <w:i/>
                      <w:iCs/>
                      <w:szCs w:val="21"/>
                      <w:u w:val="single"/>
                    </w:rPr>
                  </w:pPr>
                  <w:r>
                    <w:rPr>
                      <w:i/>
                      <w:iCs/>
                      <w:szCs w:val="21"/>
                      <w:u w:val="single"/>
                    </w:rPr>
                    <w:t>环境准入及管控要求</w:t>
                  </w:r>
                </w:p>
              </w:tc>
              <w:tc>
                <w:tcPr>
                  <w:tcW w:w="1551" w:type="pct"/>
                  <w:noWrap w:val="0"/>
                  <w:vAlign w:val="center"/>
                </w:tcPr>
                <w:p w14:paraId="5F45B02E">
                  <w:pPr>
                    <w:adjustRightInd w:val="0"/>
                    <w:snapToGrid w:val="0"/>
                    <w:jc w:val="center"/>
                    <w:rPr>
                      <w:i/>
                      <w:iCs/>
                      <w:szCs w:val="21"/>
                      <w:u w:val="single"/>
                    </w:rPr>
                  </w:pPr>
                  <w:r>
                    <w:rPr>
                      <w:i/>
                      <w:iCs/>
                      <w:szCs w:val="21"/>
                      <w:u w:val="single"/>
                    </w:rPr>
                    <w:t>本项目</w:t>
                  </w:r>
                </w:p>
              </w:tc>
              <w:tc>
                <w:tcPr>
                  <w:tcW w:w="471" w:type="pct"/>
                  <w:noWrap w:val="0"/>
                  <w:vAlign w:val="center"/>
                </w:tcPr>
                <w:p w14:paraId="430A5D2B">
                  <w:pPr>
                    <w:adjustRightInd w:val="0"/>
                    <w:snapToGrid w:val="0"/>
                    <w:jc w:val="center"/>
                    <w:rPr>
                      <w:i/>
                      <w:iCs/>
                      <w:szCs w:val="21"/>
                      <w:u w:val="single"/>
                    </w:rPr>
                  </w:pPr>
                  <w:r>
                    <w:rPr>
                      <w:i/>
                      <w:iCs/>
                      <w:szCs w:val="21"/>
                      <w:u w:val="single"/>
                    </w:rPr>
                    <w:t>符合性</w:t>
                  </w:r>
                </w:p>
              </w:tc>
            </w:tr>
            <w:tr w14:paraId="4A9DC4E3">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510" w:type="pct"/>
                  <w:vMerge w:val="restart"/>
                  <w:noWrap w:val="0"/>
                  <w:vAlign w:val="center"/>
                </w:tcPr>
                <w:p w14:paraId="47698329">
                  <w:pPr>
                    <w:adjustRightInd w:val="0"/>
                    <w:snapToGrid w:val="0"/>
                    <w:jc w:val="center"/>
                    <w:rPr>
                      <w:i/>
                      <w:iCs/>
                      <w:szCs w:val="21"/>
                      <w:u w:val="single"/>
                    </w:rPr>
                  </w:pPr>
                  <w:r>
                    <w:rPr>
                      <w:i/>
                      <w:iCs/>
                      <w:szCs w:val="21"/>
                      <w:u w:val="single"/>
                    </w:rPr>
                    <w:t>空间布局约 束</w:t>
                  </w:r>
                </w:p>
              </w:tc>
              <w:tc>
                <w:tcPr>
                  <w:tcW w:w="2466" w:type="pct"/>
                  <w:noWrap w:val="0"/>
                  <w:vAlign w:val="center"/>
                </w:tcPr>
                <w:p w14:paraId="7F3DE6D1">
                  <w:pPr>
                    <w:adjustRightInd w:val="0"/>
                    <w:snapToGrid w:val="0"/>
                    <w:ind w:firstLine="420" w:firstLineChars="200"/>
                    <w:jc w:val="center"/>
                    <w:rPr>
                      <w:i/>
                      <w:iCs/>
                      <w:szCs w:val="21"/>
                      <w:u w:val="single"/>
                    </w:rPr>
                  </w:pPr>
                  <w:r>
                    <w:rPr>
                      <w:i/>
                      <w:iCs/>
                      <w:szCs w:val="21"/>
                      <w:u w:val="single"/>
                    </w:rPr>
                    <w:t>禁止新建、扩建《产业结构调整指导目录》（现行）明确的淘汰类项目和引入《市场准入负面清单》（现行）禁止准入类事项，引入项目应符合园区规划、规划环境影响评价和区域产业准入负面清单要求。</w:t>
                  </w:r>
                </w:p>
                <w:p w14:paraId="3AD5E620">
                  <w:pPr>
                    <w:adjustRightInd w:val="0"/>
                    <w:snapToGrid w:val="0"/>
                    <w:ind w:firstLine="420" w:firstLineChars="200"/>
                    <w:jc w:val="center"/>
                    <w:rPr>
                      <w:i/>
                      <w:iCs/>
                      <w:szCs w:val="21"/>
                      <w:u w:val="single"/>
                    </w:rPr>
                  </w:pPr>
                  <w:r>
                    <w:rPr>
                      <w:i/>
                      <w:iCs/>
                      <w:szCs w:val="21"/>
                      <w:u w:val="single"/>
                    </w:rPr>
                    <w:t>列入《产业结构调整指导目录》淘汰类的现状企业，应制定调整计划。生态环境治理措施不符合现行生态环境保护要求、资源能源消耗高、涉及大量排放区域超标污染物的现有企业，应制定整治计划。在调整、整治过渡期内，应严格控制相关企业生产规模，禁止新增产生环境污染的产能和产品。</w:t>
                  </w:r>
                </w:p>
              </w:tc>
              <w:tc>
                <w:tcPr>
                  <w:tcW w:w="1551" w:type="pct"/>
                  <w:noWrap w:val="0"/>
                  <w:vAlign w:val="center"/>
                </w:tcPr>
                <w:p w14:paraId="11F9EB6C">
                  <w:pPr>
                    <w:adjustRightInd w:val="0"/>
                    <w:snapToGrid w:val="0"/>
                    <w:jc w:val="center"/>
                    <w:rPr>
                      <w:i/>
                      <w:iCs/>
                      <w:szCs w:val="21"/>
                      <w:u w:val="single"/>
                    </w:rPr>
                  </w:pPr>
                  <w:r>
                    <w:rPr>
                      <w:i/>
                      <w:iCs/>
                      <w:szCs w:val="21"/>
                      <w:u w:val="single"/>
                    </w:rPr>
                    <w:t>本项目不属于“鼓励类”、“限制类”和“淘汰类”范围内，属于允许类</w:t>
                  </w:r>
                </w:p>
              </w:tc>
              <w:tc>
                <w:tcPr>
                  <w:tcW w:w="471" w:type="pct"/>
                  <w:noWrap w:val="0"/>
                  <w:vAlign w:val="center"/>
                </w:tcPr>
                <w:p w14:paraId="624D5666">
                  <w:pPr>
                    <w:adjustRightInd w:val="0"/>
                    <w:snapToGrid w:val="0"/>
                    <w:jc w:val="center"/>
                    <w:rPr>
                      <w:i/>
                      <w:iCs/>
                      <w:szCs w:val="21"/>
                      <w:u w:val="single"/>
                    </w:rPr>
                  </w:pPr>
                  <w:r>
                    <w:rPr>
                      <w:i/>
                      <w:iCs/>
                      <w:szCs w:val="21"/>
                      <w:u w:val="single"/>
                    </w:rPr>
                    <w:t>符合</w:t>
                  </w:r>
                </w:p>
              </w:tc>
            </w:tr>
            <w:tr w14:paraId="12321B67">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510" w:type="pct"/>
                  <w:vMerge w:val="continue"/>
                  <w:noWrap w:val="0"/>
                  <w:vAlign w:val="center"/>
                </w:tcPr>
                <w:p w14:paraId="31B1D559">
                  <w:pPr>
                    <w:adjustRightInd w:val="0"/>
                    <w:snapToGrid w:val="0"/>
                    <w:jc w:val="center"/>
                    <w:rPr>
                      <w:i/>
                      <w:iCs/>
                      <w:szCs w:val="21"/>
                      <w:u w:val="single"/>
                    </w:rPr>
                  </w:pPr>
                </w:p>
              </w:tc>
              <w:tc>
                <w:tcPr>
                  <w:tcW w:w="2466" w:type="pct"/>
                  <w:noWrap w:val="0"/>
                  <w:vAlign w:val="center"/>
                </w:tcPr>
                <w:p w14:paraId="7FEDE807">
                  <w:pPr>
                    <w:adjustRightInd w:val="0"/>
                    <w:snapToGrid w:val="0"/>
                    <w:ind w:firstLine="420" w:firstLineChars="200"/>
                    <w:jc w:val="center"/>
                    <w:rPr>
                      <w:i/>
                      <w:iCs/>
                      <w:szCs w:val="21"/>
                      <w:u w:val="single"/>
                    </w:rPr>
                  </w:pPr>
                  <w:r>
                    <w:rPr>
                      <w:i/>
                      <w:iCs/>
                      <w:szCs w:val="21"/>
                      <w:u w:val="single"/>
                    </w:rPr>
                    <w:t>强化产业政策在产业转移过程中的引导和约束作用，严格控制在生态脆弱或环境敏感地区建设“两高”行业项目。严格高能耗、高物耗、高水耗和产能过剩、低水平重复建设项目，以及涉及危险化学品、重金属和其他具有重大环境风险建设项目的审批和备案。老工业城市和资源型城市在防止污染转移的基础上，应积极承接有利于延伸产业链、提高技术水平、促进资源综合利用、充分吸纳就业的产业，因地制宜发展优势特色产业。</w:t>
                  </w:r>
                </w:p>
                <w:p w14:paraId="2944FF0B">
                  <w:pPr>
                    <w:adjustRightInd w:val="0"/>
                    <w:snapToGrid w:val="0"/>
                    <w:ind w:firstLine="420" w:firstLineChars="200"/>
                    <w:jc w:val="center"/>
                    <w:rPr>
                      <w:i/>
                      <w:iCs/>
                      <w:szCs w:val="21"/>
                      <w:u w:val="single"/>
                    </w:rPr>
                  </w:pPr>
                  <w:r>
                    <w:rPr>
                      <w:i/>
                      <w:iCs/>
                      <w:szCs w:val="21"/>
                      <w:u w:val="single"/>
                    </w:rPr>
                    <w:t>严格控制钢铁、焦化、电解铝、水泥和平板玻璃等行业新增产能，列入去产能的钢铁企业退出时须一并退出配套的烧结、球团、焦炉、高炉等设备。严格控制尿素、磷铵、电石、烧碱、聚氯乙烯、纯碱、黄磷等过剩行业新增产能，符合政策要求的先进工艺改造提升项目应实行等量或减量置换。</w:t>
                  </w:r>
                </w:p>
                <w:p w14:paraId="155D4944">
                  <w:pPr>
                    <w:adjustRightInd w:val="0"/>
                    <w:snapToGrid w:val="0"/>
                    <w:ind w:firstLine="420" w:firstLineChars="200"/>
                    <w:jc w:val="center"/>
                    <w:rPr>
                      <w:i/>
                      <w:iCs/>
                      <w:szCs w:val="21"/>
                      <w:u w:val="single"/>
                    </w:rPr>
                  </w:pPr>
                  <w:r>
                    <w:rPr>
                      <w:i/>
                      <w:iCs/>
                      <w:szCs w:val="21"/>
                      <w:u w:val="single"/>
                    </w:rPr>
                    <w:t>严控新建燃煤锅炉，县级以上城市建成区原则上不再新建每小时35蒸吨以下燃煤锅炉。</w:t>
                  </w:r>
                </w:p>
              </w:tc>
              <w:tc>
                <w:tcPr>
                  <w:tcW w:w="1551" w:type="pct"/>
                  <w:noWrap w:val="0"/>
                  <w:vAlign w:val="center"/>
                </w:tcPr>
                <w:p w14:paraId="6D73D13F">
                  <w:pPr>
                    <w:adjustRightInd w:val="0"/>
                    <w:snapToGrid w:val="0"/>
                    <w:jc w:val="center"/>
                    <w:rPr>
                      <w:i/>
                      <w:iCs/>
                      <w:szCs w:val="21"/>
                      <w:u w:val="single"/>
                    </w:rPr>
                  </w:pPr>
                  <w:r>
                    <w:rPr>
                      <w:i/>
                      <w:iCs/>
                      <w:szCs w:val="21"/>
                      <w:u w:val="single"/>
                    </w:rPr>
                    <w:t>项目符合产业政策要求，不属于高物耗、高水耗、产能过剩、低水平及重大环境风险建设项目</w:t>
                  </w:r>
                </w:p>
              </w:tc>
              <w:tc>
                <w:tcPr>
                  <w:tcW w:w="471" w:type="pct"/>
                  <w:noWrap w:val="0"/>
                  <w:vAlign w:val="center"/>
                </w:tcPr>
                <w:p w14:paraId="0AE305B4">
                  <w:pPr>
                    <w:adjustRightInd w:val="0"/>
                    <w:snapToGrid w:val="0"/>
                    <w:jc w:val="center"/>
                    <w:rPr>
                      <w:i/>
                      <w:iCs/>
                      <w:szCs w:val="21"/>
                      <w:u w:val="single"/>
                    </w:rPr>
                  </w:pPr>
                  <w:r>
                    <w:rPr>
                      <w:i/>
                      <w:iCs/>
                      <w:szCs w:val="21"/>
                      <w:u w:val="single"/>
                    </w:rPr>
                    <w:t>符合</w:t>
                  </w:r>
                </w:p>
              </w:tc>
            </w:tr>
            <w:tr w14:paraId="5D67F8F3">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605" w:hRule="atLeast"/>
                <w:jc w:val="center"/>
              </w:trPr>
              <w:tc>
                <w:tcPr>
                  <w:tcW w:w="510" w:type="pct"/>
                  <w:vMerge w:val="continue"/>
                  <w:noWrap w:val="0"/>
                  <w:vAlign w:val="center"/>
                </w:tcPr>
                <w:p w14:paraId="7E510E06">
                  <w:pPr>
                    <w:adjustRightInd w:val="0"/>
                    <w:snapToGrid w:val="0"/>
                    <w:jc w:val="center"/>
                    <w:rPr>
                      <w:i/>
                      <w:iCs/>
                      <w:szCs w:val="21"/>
                      <w:highlight w:val="cyan"/>
                      <w:u w:val="single"/>
                    </w:rPr>
                  </w:pPr>
                </w:p>
              </w:tc>
              <w:tc>
                <w:tcPr>
                  <w:tcW w:w="2466" w:type="pct"/>
                  <w:noWrap w:val="0"/>
                  <w:vAlign w:val="center"/>
                </w:tcPr>
                <w:p w14:paraId="39125DDC">
                  <w:pPr>
                    <w:adjustRightInd w:val="0"/>
                    <w:snapToGrid w:val="0"/>
                    <w:ind w:firstLine="420" w:firstLineChars="200"/>
                    <w:jc w:val="center"/>
                    <w:rPr>
                      <w:i/>
                      <w:iCs/>
                      <w:szCs w:val="21"/>
                      <w:u w:val="single"/>
                    </w:rPr>
                  </w:pPr>
                  <w:r>
                    <w:rPr>
                      <w:i/>
                      <w:iCs/>
                      <w:szCs w:val="21"/>
                      <w:u w:val="single"/>
                    </w:rPr>
                    <w:t>重大项目原则上应布局在优化开发区和重点开发区，并符合国土空间总体规划。</w:t>
                  </w:r>
                </w:p>
                <w:p w14:paraId="2B7D86EC">
                  <w:pPr>
                    <w:adjustRightInd w:val="0"/>
                    <w:snapToGrid w:val="0"/>
                    <w:ind w:firstLine="420" w:firstLineChars="200"/>
                    <w:jc w:val="center"/>
                    <w:rPr>
                      <w:i/>
                      <w:iCs/>
                      <w:szCs w:val="21"/>
                      <w:u w:val="single"/>
                    </w:rPr>
                  </w:pPr>
                  <w:r>
                    <w:rPr>
                      <w:i/>
                      <w:iCs/>
                      <w:szCs w:val="21"/>
                      <w:u w:val="single"/>
                    </w:rPr>
                    <w:t>化工石化、有色冶炼、制浆造纸等可能引发环境风险的项目，以及涉及石化、化工、工业涂装等重点行业高VOCs排放的建设项目，在符合国家产业政策和清洁生产水平要求、满足污染物排放标准以及污染物排放总量控制指标前提下，应当在依法设立、基础设施齐全并具备有效规划、规划环境影响评价的产业园区内布设。</w:t>
                  </w:r>
                </w:p>
                <w:p w14:paraId="54A0961C">
                  <w:pPr>
                    <w:adjustRightInd w:val="0"/>
                    <w:snapToGrid w:val="0"/>
                    <w:ind w:firstLine="420" w:firstLineChars="200"/>
                    <w:jc w:val="center"/>
                    <w:rPr>
                      <w:i/>
                      <w:iCs/>
                      <w:szCs w:val="21"/>
                      <w:u w:val="single"/>
                    </w:rPr>
                  </w:pPr>
                  <w:r>
                    <w:rPr>
                      <w:i/>
                      <w:iCs/>
                      <w:szCs w:val="21"/>
                      <w:u w:val="single"/>
                    </w:rPr>
                    <w:t>严格落实规划环评及其批复文件环境准入条件，空气质量未达标地区制定更严格的产业准入门槛。</w:t>
                  </w:r>
                </w:p>
              </w:tc>
              <w:tc>
                <w:tcPr>
                  <w:tcW w:w="1551" w:type="pct"/>
                  <w:noWrap w:val="0"/>
                  <w:vAlign w:val="center"/>
                </w:tcPr>
                <w:p w14:paraId="09202776">
                  <w:pPr>
                    <w:adjustRightInd w:val="0"/>
                    <w:snapToGrid w:val="0"/>
                    <w:jc w:val="center"/>
                    <w:rPr>
                      <w:i/>
                      <w:iCs/>
                      <w:szCs w:val="21"/>
                      <w:u w:val="single"/>
                    </w:rPr>
                  </w:pPr>
                  <w:r>
                    <w:rPr>
                      <w:i/>
                      <w:iCs/>
                      <w:szCs w:val="21"/>
                      <w:u w:val="single"/>
                    </w:rPr>
                    <w:t>本项目</w:t>
                  </w:r>
                  <w:r>
                    <w:rPr>
                      <w:rFonts w:hint="eastAsia"/>
                      <w:i/>
                      <w:iCs/>
                      <w:szCs w:val="21"/>
                      <w:u w:val="single"/>
                    </w:rPr>
                    <w:t>不属于化工石化、有色冶炼、制浆造纸项目，</w:t>
                  </w:r>
                  <w:r>
                    <w:rPr>
                      <w:rFonts w:hint="eastAsia"/>
                      <w:i/>
                      <w:iCs/>
                      <w:szCs w:val="21"/>
                      <w:u w:val="single"/>
                      <w:lang w:eastAsia="zh-CN"/>
                    </w:rPr>
                    <w:t>喷涂实验及制备实验</w:t>
                  </w:r>
                  <w:r>
                    <w:rPr>
                      <w:rFonts w:hint="eastAsia"/>
                      <w:i/>
                      <w:iCs/>
                      <w:szCs w:val="21"/>
                      <w:u w:val="single"/>
                    </w:rPr>
                    <w:t>有机废气经过</w:t>
                  </w:r>
                  <w:r>
                    <w:rPr>
                      <w:rFonts w:hint="eastAsia"/>
                      <w:i/>
                      <w:iCs/>
                      <w:szCs w:val="21"/>
                      <w:u w:val="single"/>
                      <w:lang w:eastAsia="zh-CN"/>
                    </w:rPr>
                    <w:t>过滤棉</w:t>
                  </w:r>
                  <w:r>
                    <w:rPr>
                      <w:rFonts w:hint="eastAsia"/>
                      <w:i/>
                      <w:iCs/>
                      <w:szCs w:val="21"/>
                      <w:u w:val="single"/>
                      <w:lang w:val="en-US" w:eastAsia="zh-CN"/>
                    </w:rPr>
                    <w:t>+</w:t>
                  </w:r>
                  <w:r>
                    <w:rPr>
                      <w:rFonts w:hint="eastAsia"/>
                      <w:i/>
                      <w:iCs/>
                      <w:szCs w:val="21"/>
                      <w:u w:val="single"/>
                    </w:rPr>
                    <w:t>活性炭吸附后通过</w:t>
                  </w:r>
                  <w:r>
                    <w:rPr>
                      <w:rFonts w:hint="eastAsia"/>
                      <w:i/>
                      <w:iCs/>
                      <w:szCs w:val="21"/>
                      <w:u w:val="single"/>
                      <w:lang w:val="en-US" w:eastAsia="zh-CN"/>
                    </w:rPr>
                    <w:t>15</w:t>
                  </w:r>
                  <w:r>
                    <w:rPr>
                      <w:rFonts w:hint="eastAsia"/>
                      <w:i/>
                      <w:iCs/>
                      <w:szCs w:val="21"/>
                      <w:u w:val="single"/>
                    </w:rPr>
                    <w:t>m高排气筒DA002排放，NMHC及甲苯可满足《大气污染物综合排放标准》（GB16297-1996）二级排放标准要求。</w:t>
                  </w:r>
                </w:p>
              </w:tc>
              <w:tc>
                <w:tcPr>
                  <w:tcW w:w="471" w:type="pct"/>
                  <w:noWrap w:val="0"/>
                  <w:vAlign w:val="center"/>
                </w:tcPr>
                <w:p w14:paraId="4A7C8E1F">
                  <w:pPr>
                    <w:adjustRightInd w:val="0"/>
                    <w:snapToGrid w:val="0"/>
                    <w:jc w:val="center"/>
                    <w:rPr>
                      <w:i/>
                      <w:iCs/>
                      <w:szCs w:val="21"/>
                      <w:u w:val="single"/>
                    </w:rPr>
                  </w:pPr>
                  <w:r>
                    <w:rPr>
                      <w:i/>
                      <w:iCs/>
                      <w:szCs w:val="21"/>
                      <w:u w:val="single"/>
                    </w:rPr>
                    <w:t>符合</w:t>
                  </w:r>
                </w:p>
              </w:tc>
            </w:tr>
            <w:tr w14:paraId="7897BAD7">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8" w:hRule="atLeast"/>
                <w:jc w:val="center"/>
              </w:trPr>
              <w:tc>
                <w:tcPr>
                  <w:tcW w:w="510" w:type="pct"/>
                  <w:vMerge w:val="continue"/>
                  <w:noWrap w:val="0"/>
                  <w:vAlign w:val="center"/>
                </w:tcPr>
                <w:p w14:paraId="689775CF">
                  <w:pPr>
                    <w:adjustRightInd w:val="0"/>
                    <w:snapToGrid w:val="0"/>
                    <w:jc w:val="center"/>
                    <w:rPr>
                      <w:i/>
                      <w:iCs/>
                      <w:szCs w:val="21"/>
                      <w:highlight w:val="cyan"/>
                      <w:u w:val="single"/>
                    </w:rPr>
                  </w:pPr>
                </w:p>
              </w:tc>
              <w:tc>
                <w:tcPr>
                  <w:tcW w:w="2466" w:type="pct"/>
                  <w:noWrap w:val="0"/>
                  <w:vAlign w:val="center"/>
                </w:tcPr>
                <w:p w14:paraId="41E71159">
                  <w:pPr>
                    <w:adjustRightInd w:val="0"/>
                    <w:snapToGrid w:val="0"/>
                    <w:ind w:firstLine="420" w:firstLineChars="200"/>
                    <w:jc w:val="center"/>
                    <w:rPr>
                      <w:i/>
                      <w:iCs/>
                      <w:szCs w:val="21"/>
                      <w:u w:val="single"/>
                    </w:rPr>
                  </w:pPr>
                  <w:r>
                    <w:rPr>
                      <w:i/>
                      <w:iCs/>
                      <w:u w:val="single"/>
                    </w:rPr>
                    <w:t>进一步优化全省化工产业布局，提高化工行业本质安全和绿色发展水平，引领化工园区从规范化发展到高质量发展、促进化工产业转型升级</w:t>
                  </w:r>
                  <w:r>
                    <w:rPr>
                      <w:rFonts w:hint="eastAsia"/>
                      <w:i/>
                      <w:iCs/>
                      <w:u w:val="single"/>
                    </w:rPr>
                    <w:t>。</w:t>
                  </w:r>
                </w:p>
              </w:tc>
              <w:tc>
                <w:tcPr>
                  <w:tcW w:w="1551" w:type="pct"/>
                  <w:noWrap w:val="0"/>
                  <w:vAlign w:val="center"/>
                </w:tcPr>
                <w:p w14:paraId="512D993D">
                  <w:pPr>
                    <w:adjustRightInd w:val="0"/>
                    <w:snapToGrid w:val="0"/>
                    <w:jc w:val="center"/>
                    <w:rPr>
                      <w:i/>
                      <w:iCs/>
                      <w:szCs w:val="21"/>
                      <w:u w:val="single"/>
                    </w:rPr>
                  </w:pPr>
                  <w:r>
                    <w:rPr>
                      <w:rFonts w:hint="eastAsia"/>
                      <w:i/>
                      <w:iCs/>
                      <w:szCs w:val="21"/>
                      <w:u w:val="single"/>
                    </w:rPr>
                    <w:t>本项目不属于化工行业</w:t>
                  </w:r>
                </w:p>
              </w:tc>
              <w:tc>
                <w:tcPr>
                  <w:tcW w:w="471" w:type="pct"/>
                  <w:noWrap w:val="0"/>
                  <w:vAlign w:val="center"/>
                </w:tcPr>
                <w:p w14:paraId="38D4CDD4">
                  <w:pPr>
                    <w:adjustRightInd w:val="0"/>
                    <w:snapToGrid w:val="0"/>
                    <w:jc w:val="center"/>
                    <w:rPr>
                      <w:i/>
                      <w:iCs/>
                      <w:szCs w:val="21"/>
                      <w:u w:val="single"/>
                    </w:rPr>
                  </w:pPr>
                  <w:r>
                    <w:rPr>
                      <w:i/>
                      <w:iCs/>
                      <w:szCs w:val="21"/>
                      <w:u w:val="single"/>
                    </w:rPr>
                    <w:t>符合</w:t>
                  </w:r>
                </w:p>
              </w:tc>
            </w:tr>
            <w:tr w14:paraId="44E5A72F">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510" w:type="pct"/>
                  <w:vMerge w:val="restart"/>
                  <w:noWrap w:val="0"/>
                  <w:vAlign w:val="center"/>
                </w:tcPr>
                <w:p w14:paraId="226D28AB">
                  <w:pPr>
                    <w:adjustRightInd w:val="0"/>
                    <w:snapToGrid w:val="0"/>
                    <w:jc w:val="center"/>
                    <w:rPr>
                      <w:i/>
                      <w:iCs/>
                      <w:szCs w:val="21"/>
                      <w:highlight w:val="cyan"/>
                      <w:u w:val="single"/>
                    </w:rPr>
                  </w:pPr>
                  <w:r>
                    <w:rPr>
                      <w:i/>
                      <w:iCs/>
                      <w:szCs w:val="21"/>
                      <w:u w:val="single"/>
                    </w:rPr>
                    <w:t>污染物排放管控</w:t>
                  </w:r>
                </w:p>
              </w:tc>
              <w:tc>
                <w:tcPr>
                  <w:tcW w:w="2466" w:type="pct"/>
                  <w:noWrap w:val="0"/>
                  <w:vAlign w:val="center"/>
                </w:tcPr>
                <w:p w14:paraId="5B33F21C">
                  <w:pPr>
                    <w:adjustRightInd w:val="0"/>
                    <w:snapToGrid w:val="0"/>
                    <w:ind w:firstLine="420" w:firstLineChars="200"/>
                    <w:jc w:val="center"/>
                    <w:rPr>
                      <w:i/>
                      <w:iCs/>
                      <w:szCs w:val="21"/>
                      <w:u w:val="single"/>
                    </w:rPr>
                  </w:pPr>
                  <w:r>
                    <w:rPr>
                      <w:i/>
                      <w:iCs/>
                      <w:u w:val="single"/>
                    </w:rPr>
                    <w:t>落实主要污染物总量控制和排污许可制度。新建、改建、扩建重点行业建设项目实行主要污染物排放等量或倍量削减替代。严格涉VOCs建设项目环境影响评价，逐步推进区域内VOCs排放等量或倍量削减替代。</w:t>
                  </w:r>
                </w:p>
              </w:tc>
              <w:tc>
                <w:tcPr>
                  <w:tcW w:w="1551" w:type="pct"/>
                  <w:noWrap w:val="0"/>
                  <w:vAlign w:val="center"/>
                </w:tcPr>
                <w:p w14:paraId="4F077C0C">
                  <w:pPr>
                    <w:adjustRightInd w:val="0"/>
                    <w:snapToGrid w:val="0"/>
                    <w:jc w:val="center"/>
                    <w:rPr>
                      <w:i/>
                      <w:iCs/>
                      <w:szCs w:val="21"/>
                      <w:u w:val="single"/>
                    </w:rPr>
                  </w:pPr>
                  <w:r>
                    <w:rPr>
                      <w:rFonts w:hint="eastAsia"/>
                      <w:i/>
                      <w:iCs/>
                      <w:szCs w:val="21"/>
                      <w:u w:val="single"/>
                      <w:lang w:eastAsia="zh-CN"/>
                    </w:rPr>
                    <w:t>制备实验及喷涂实验</w:t>
                  </w:r>
                  <w:r>
                    <w:rPr>
                      <w:rFonts w:hint="eastAsia"/>
                      <w:i/>
                      <w:iCs/>
                      <w:szCs w:val="21"/>
                      <w:u w:val="single"/>
                    </w:rPr>
                    <w:t>有机废气经</w:t>
                  </w:r>
                  <w:r>
                    <w:rPr>
                      <w:rFonts w:hint="eastAsia"/>
                      <w:i/>
                      <w:iCs/>
                      <w:szCs w:val="21"/>
                      <w:u w:val="single"/>
                      <w:lang w:eastAsia="zh-CN"/>
                    </w:rPr>
                    <w:t>过滤棉</w:t>
                  </w:r>
                  <w:r>
                    <w:rPr>
                      <w:rFonts w:hint="eastAsia"/>
                      <w:i/>
                      <w:iCs/>
                      <w:szCs w:val="21"/>
                      <w:u w:val="single"/>
                      <w:lang w:val="en-US" w:eastAsia="zh-CN"/>
                    </w:rPr>
                    <w:t>+</w:t>
                  </w:r>
                  <w:r>
                    <w:rPr>
                      <w:rFonts w:hint="eastAsia"/>
                      <w:i/>
                      <w:iCs/>
                      <w:szCs w:val="21"/>
                      <w:highlight w:val="none"/>
                      <w:u w:val="single"/>
                    </w:rPr>
                    <w:t>活性炭</w:t>
                  </w:r>
                  <w:r>
                    <w:rPr>
                      <w:rFonts w:hint="eastAsia"/>
                      <w:i/>
                      <w:iCs/>
                      <w:szCs w:val="21"/>
                      <w:u w:val="single"/>
                    </w:rPr>
                    <w:t>吸附后通过</w:t>
                  </w:r>
                  <w:r>
                    <w:rPr>
                      <w:rFonts w:hint="eastAsia"/>
                      <w:i/>
                      <w:iCs/>
                      <w:szCs w:val="21"/>
                      <w:u w:val="single"/>
                      <w:lang w:val="en-US" w:eastAsia="zh-CN"/>
                    </w:rPr>
                    <w:t>15</w:t>
                  </w:r>
                  <w:r>
                    <w:rPr>
                      <w:rFonts w:hint="eastAsia"/>
                      <w:i/>
                      <w:iCs/>
                      <w:szCs w:val="21"/>
                      <w:u w:val="single"/>
                    </w:rPr>
                    <w:t>m高排气筒DA002排放，NMHC及甲苯可满足《大气污染物综合排放标准》（GB16297-1996）二级排放标准要求。</w:t>
                  </w:r>
                </w:p>
              </w:tc>
              <w:tc>
                <w:tcPr>
                  <w:tcW w:w="471" w:type="pct"/>
                  <w:noWrap w:val="0"/>
                  <w:vAlign w:val="center"/>
                </w:tcPr>
                <w:p w14:paraId="68345459">
                  <w:pPr>
                    <w:adjustRightInd w:val="0"/>
                    <w:snapToGrid w:val="0"/>
                    <w:jc w:val="center"/>
                    <w:rPr>
                      <w:i/>
                      <w:iCs/>
                      <w:szCs w:val="21"/>
                      <w:u w:val="single"/>
                    </w:rPr>
                  </w:pPr>
                  <w:r>
                    <w:rPr>
                      <w:i/>
                      <w:iCs/>
                      <w:szCs w:val="21"/>
                      <w:u w:val="single"/>
                    </w:rPr>
                    <w:t>符合</w:t>
                  </w:r>
                </w:p>
              </w:tc>
            </w:tr>
            <w:tr w14:paraId="6CF244A7">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25" w:hRule="atLeast"/>
                <w:jc w:val="center"/>
              </w:trPr>
              <w:tc>
                <w:tcPr>
                  <w:tcW w:w="510" w:type="pct"/>
                  <w:vMerge w:val="continue"/>
                  <w:noWrap w:val="0"/>
                  <w:vAlign w:val="center"/>
                </w:tcPr>
                <w:p w14:paraId="303D2019">
                  <w:pPr>
                    <w:adjustRightInd w:val="0"/>
                    <w:snapToGrid w:val="0"/>
                    <w:jc w:val="center"/>
                    <w:rPr>
                      <w:i/>
                      <w:iCs/>
                      <w:szCs w:val="21"/>
                      <w:highlight w:val="cyan"/>
                      <w:u w:val="single"/>
                    </w:rPr>
                  </w:pPr>
                </w:p>
              </w:tc>
              <w:tc>
                <w:tcPr>
                  <w:tcW w:w="2466" w:type="pct"/>
                  <w:noWrap w:val="0"/>
                  <w:vAlign w:val="center"/>
                </w:tcPr>
                <w:p w14:paraId="798AC44F">
                  <w:pPr>
                    <w:adjustRightInd w:val="0"/>
                    <w:snapToGrid w:val="0"/>
                    <w:ind w:firstLine="420" w:firstLineChars="200"/>
                    <w:jc w:val="center"/>
                    <w:rPr>
                      <w:i/>
                      <w:iCs/>
                      <w:szCs w:val="21"/>
                      <w:u w:val="single"/>
                    </w:rPr>
                  </w:pPr>
                  <w:r>
                    <w:rPr>
                      <w:i/>
                      <w:iCs/>
                      <w:szCs w:val="21"/>
                      <w:u w:val="single"/>
                    </w:rPr>
                    <w:t>空气质量未达标地区新建项目涉及二氧化硫、氮氧化物、颗粒物、挥发性有机物（VOC</w:t>
                  </w:r>
                  <w:r>
                    <w:rPr>
                      <w:i/>
                      <w:iCs/>
                      <w:szCs w:val="21"/>
                      <w:u w:val="single"/>
                      <w:vertAlign w:val="subscript"/>
                    </w:rPr>
                    <w:t>S</w:t>
                  </w:r>
                  <w:r>
                    <w:rPr>
                      <w:i/>
                      <w:iCs/>
                      <w:szCs w:val="21"/>
                      <w:u w:val="single"/>
                    </w:rPr>
                    <w:t>）全面执行大气污染物特别排放限值。</w:t>
                  </w:r>
                </w:p>
              </w:tc>
              <w:tc>
                <w:tcPr>
                  <w:tcW w:w="1551" w:type="pct"/>
                  <w:noWrap w:val="0"/>
                  <w:vAlign w:val="center"/>
                </w:tcPr>
                <w:p w14:paraId="5FF5EF64">
                  <w:pPr>
                    <w:adjustRightInd w:val="0"/>
                    <w:snapToGrid w:val="0"/>
                    <w:jc w:val="center"/>
                    <w:rPr>
                      <w:rFonts w:hint="eastAsia" w:eastAsia="宋体"/>
                      <w:i/>
                      <w:iCs/>
                      <w:szCs w:val="21"/>
                      <w:u w:val="single"/>
                      <w:lang w:eastAsia="zh-CN"/>
                    </w:rPr>
                  </w:pPr>
                  <w:r>
                    <w:rPr>
                      <w:i/>
                      <w:iCs/>
                      <w:szCs w:val="21"/>
                      <w:highlight w:val="none"/>
                      <w:u w:val="single"/>
                    </w:rPr>
                    <w:t>本项目</w:t>
                  </w:r>
                  <w:r>
                    <w:rPr>
                      <w:rFonts w:hint="eastAsia"/>
                      <w:i/>
                      <w:iCs/>
                      <w:szCs w:val="21"/>
                      <w:highlight w:val="none"/>
                      <w:u w:val="single"/>
                    </w:rPr>
                    <w:t>所在位置属于空气质量达标区</w:t>
                  </w:r>
                  <w:r>
                    <w:rPr>
                      <w:rFonts w:hint="eastAsia"/>
                      <w:i/>
                      <w:iCs/>
                      <w:szCs w:val="21"/>
                      <w:highlight w:val="none"/>
                      <w:u w:val="single"/>
                      <w:lang w:eastAsia="zh-CN"/>
                    </w:rPr>
                    <w:t>，厂区内无组织排放NMHC排放标准执行《挥发性有机物无组织排放控制标准》（GB37822-2019）中厂区内VOCs无组织特别排放限值。</w:t>
                  </w:r>
                </w:p>
              </w:tc>
              <w:tc>
                <w:tcPr>
                  <w:tcW w:w="471" w:type="pct"/>
                  <w:noWrap w:val="0"/>
                  <w:vAlign w:val="center"/>
                </w:tcPr>
                <w:p w14:paraId="3EE02532">
                  <w:pPr>
                    <w:adjustRightInd w:val="0"/>
                    <w:snapToGrid w:val="0"/>
                    <w:jc w:val="center"/>
                    <w:rPr>
                      <w:i/>
                      <w:iCs/>
                      <w:szCs w:val="21"/>
                      <w:u w:val="single"/>
                    </w:rPr>
                  </w:pPr>
                  <w:r>
                    <w:rPr>
                      <w:i/>
                      <w:iCs/>
                      <w:szCs w:val="21"/>
                      <w:u w:val="single"/>
                    </w:rPr>
                    <w:t>符合</w:t>
                  </w:r>
                </w:p>
              </w:tc>
            </w:tr>
            <w:tr w14:paraId="14392E9E">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25" w:hRule="atLeast"/>
                <w:jc w:val="center"/>
              </w:trPr>
              <w:tc>
                <w:tcPr>
                  <w:tcW w:w="510" w:type="pct"/>
                  <w:vMerge w:val="continue"/>
                  <w:noWrap w:val="0"/>
                  <w:vAlign w:val="center"/>
                </w:tcPr>
                <w:p w14:paraId="6D362561">
                  <w:pPr>
                    <w:adjustRightInd w:val="0"/>
                    <w:snapToGrid w:val="0"/>
                    <w:jc w:val="center"/>
                    <w:rPr>
                      <w:i/>
                      <w:iCs/>
                      <w:szCs w:val="21"/>
                      <w:highlight w:val="cyan"/>
                      <w:u w:val="single"/>
                    </w:rPr>
                  </w:pPr>
                </w:p>
              </w:tc>
              <w:tc>
                <w:tcPr>
                  <w:tcW w:w="2466" w:type="pct"/>
                  <w:noWrap w:val="0"/>
                  <w:vAlign w:val="center"/>
                </w:tcPr>
                <w:p w14:paraId="2A406233">
                  <w:pPr>
                    <w:adjustRightInd w:val="0"/>
                    <w:snapToGrid w:val="0"/>
                    <w:ind w:firstLine="420" w:firstLineChars="200"/>
                    <w:jc w:val="center"/>
                    <w:rPr>
                      <w:i/>
                      <w:iCs/>
                      <w:szCs w:val="21"/>
                      <w:u w:val="single"/>
                    </w:rPr>
                  </w:pPr>
                  <w:r>
                    <w:rPr>
                      <w:i/>
                      <w:iCs/>
                      <w:szCs w:val="21"/>
                      <w:u w:val="single"/>
                    </w:rPr>
                    <w:t>推行秸秆全量化处置，持续推进秸秆肥料化、饲料化、能源化、基料化和原料化，逐步形成秸秆综合利用的长效机制。</w:t>
                  </w:r>
                </w:p>
              </w:tc>
              <w:tc>
                <w:tcPr>
                  <w:tcW w:w="1551" w:type="pct"/>
                  <w:noWrap w:val="0"/>
                  <w:vAlign w:val="center"/>
                </w:tcPr>
                <w:p w14:paraId="318FCDBC">
                  <w:pPr>
                    <w:adjustRightInd w:val="0"/>
                    <w:snapToGrid w:val="0"/>
                    <w:jc w:val="center"/>
                    <w:rPr>
                      <w:i/>
                      <w:iCs/>
                      <w:szCs w:val="21"/>
                      <w:u w:val="single"/>
                    </w:rPr>
                  </w:pPr>
                  <w:r>
                    <w:rPr>
                      <w:rFonts w:hint="eastAsia"/>
                      <w:i/>
                      <w:iCs/>
                      <w:szCs w:val="21"/>
                      <w:u w:val="single"/>
                    </w:rPr>
                    <w:t>不涉及</w:t>
                  </w:r>
                </w:p>
              </w:tc>
              <w:tc>
                <w:tcPr>
                  <w:tcW w:w="471" w:type="pct"/>
                  <w:noWrap w:val="0"/>
                  <w:vAlign w:val="center"/>
                </w:tcPr>
                <w:p w14:paraId="2244E11B">
                  <w:pPr>
                    <w:adjustRightInd w:val="0"/>
                    <w:snapToGrid w:val="0"/>
                    <w:jc w:val="center"/>
                    <w:rPr>
                      <w:i/>
                      <w:iCs/>
                      <w:szCs w:val="21"/>
                      <w:u w:val="single"/>
                    </w:rPr>
                  </w:pPr>
                  <w:r>
                    <w:rPr>
                      <w:rFonts w:hint="eastAsia"/>
                      <w:i/>
                      <w:iCs/>
                      <w:szCs w:val="21"/>
                      <w:u w:val="single"/>
                    </w:rPr>
                    <w:t>符合</w:t>
                  </w:r>
                </w:p>
              </w:tc>
            </w:tr>
            <w:tr w14:paraId="58C8B26F">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25" w:hRule="atLeast"/>
                <w:jc w:val="center"/>
              </w:trPr>
              <w:tc>
                <w:tcPr>
                  <w:tcW w:w="510" w:type="pct"/>
                  <w:vMerge w:val="continue"/>
                  <w:noWrap w:val="0"/>
                  <w:vAlign w:val="center"/>
                </w:tcPr>
                <w:p w14:paraId="619E8C94">
                  <w:pPr>
                    <w:adjustRightInd w:val="0"/>
                    <w:snapToGrid w:val="0"/>
                    <w:jc w:val="center"/>
                    <w:rPr>
                      <w:i/>
                      <w:iCs/>
                      <w:szCs w:val="21"/>
                      <w:highlight w:val="cyan"/>
                      <w:u w:val="single"/>
                    </w:rPr>
                  </w:pPr>
                </w:p>
              </w:tc>
              <w:tc>
                <w:tcPr>
                  <w:tcW w:w="2466" w:type="pct"/>
                  <w:noWrap w:val="0"/>
                  <w:vAlign w:val="center"/>
                </w:tcPr>
                <w:p w14:paraId="77FB72AE">
                  <w:pPr>
                    <w:adjustRightInd w:val="0"/>
                    <w:snapToGrid w:val="0"/>
                    <w:ind w:firstLine="420" w:firstLineChars="200"/>
                    <w:jc w:val="center"/>
                    <w:rPr>
                      <w:i/>
                      <w:iCs/>
                      <w:szCs w:val="21"/>
                      <w:u w:val="single"/>
                    </w:rPr>
                  </w:pPr>
                  <w:r>
                    <w:rPr>
                      <w:i/>
                      <w:iCs/>
                      <w:u w:val="single"/>
                    </w:rPr>
                    <w:t>推动城镇污水处理厂扩容工程和提标改造。超负荷、满负荷运行的污水处理厂要及时实施扩容，出水排入超标水域的污水处理厂要因地制宜提高出水标准。</w:t>
                  </w:r>
                </w:p>
              </w:tc>
              <w:tc>
                <w:tcPr>
                  <w:tcW w:w="1551" w:type="pct"/>
                  <w:noWrap w:val="0"/>
                  <w:vAlign w:val="center"/>
                </w:tcPr>
                <w:p w14:paraId="3A0407D6">
                  <w:pPr>
                    <w:adjustRightInd w:val="0"/>
                    <w:snapToGrid w:val="0"/>
                    <w:jc w:val="center"/>
                    <w:rPr>
                      <w:i/>
                      <w:iCs/>
                      <w:szCs w:val="21"/>
                      <w:u w:val="single"/>
                    </w:rPr>
                  </w:pPr>
                  <w:r>
                    <w:rPr>
                      <w:rFonts w:hint="eastAsia"/>
                      <w:i/>
                      <w:iCs/>
                      <w:szCs w:val="21"/>
                      <w:u w:val="single"/>
                    </w:rPr>
                    <w:t>不涉及</w:t>
                  </w:r>
                </w:p>
              </w:tc>
              <w:tc>
                <w:tcPr>
                  <w:tcW w:w="471" w:type="pct"/>
                  <w:noWrap w:val="0"/>
                  <w:vAlign w:val="center"/>
                </w:tcPr>
                <w:p w14:paraId="3FD0AF80">
                  <w:pPr>
                    <w:adjustRightInd w:val="0"/>
                    <w:snapToGrid w:val="0"/>
                    <w:jc w:val="center"/>
                    <w:rPr>
                      <w:i/>
                      <w:iCs/>
                      <w:szCs w:val="21"/>
                      <w:u w:val="single"/>
                    </w:rPr>
                  </w:pPr>
                  <w:r>
                    <w:rPr>
                      <w:rFonts w:hint="eastAsia"/>
                      <w:i/>
                      <w:iCs/>
                      <w:szCs w:val="21"/>
                      <w:u w:val="single"/>
                    </w:rPr>
                    <w:t>符合</w:t>
                  </w:r>
                </w:p>
              </w:tc>
            </w:tr>
            <w:tr w14:paraId="31304A69">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25" w:hRule="atLeast"/>
                <w:jc w:val="center"/>
              </w:trPr>
              <w:tc>
                <w:tcPr>
                  <w:tcW w:w="510" w:type="pct"/>
                  <w:vMerge w:val="continue"/>
                  <w:noWrap w:val="0"/>
                  <w:vAlign w:val="center"/>
                </w:tcPr>
                <w:p w14:paraId="2A6BA924">
                  <w:pPr>
                    <w:adjustRightInd w:val="0"/>
                    <w:snapToGrid w:val="0"/>
                    <w:jc w:val="center"/>
                    <w:rPr>
                      <w:i/>
                      <w:iCs/>
                      <w:szCs w:val="21"/>
                      <w:highlight w:val="cyan"/>
                      <w:u w:val="single"/>
                    </w:rPr>
                  </w:pPr>
                </w:p>
              </w:tc>
              <w:tc>
                <w:tcPr>
                  <w:tcW w:w="2466" w:type="pct"/>
                  <w:noWrap w:val="0"/>
                  <w:vAlign w:val="center"/>
                </w:tcPr>
                <w:p w14:paraId="4192CD98">
                  <w:pPr>
                    <w:adjustRightInd w:val="0"/>
                    <w:snapToGrid w:val="0"/>
                    <w:ind w:firstLine="420" w:firstLineChars="200"/>
                    <w:jc w:val="center"/>
                    <w:rPr>
                      <w:i/>
                      <w:iCs/>
                      <w:u w:val="single"/>
                    </w:rPr>
                  </w:pPr>
                  <w:r>
                    <w:rPr>
                      <w:i/>
                      <w:iCs/>
                      <w:u w:val="single"/>
                    </w:rPr>
                    <w:t>规模化畜禽养殖场（小区）应当保证畜禽粪污无害化处理和资源化利用设施的正常运转。</w:t>
                  </w:r>
                </w:p>
              </w:tc>
              <w:tc>
                <w:tcPr>
                  <w:tcW w:w="1551" w:type="pct"/>
                  <w:noWrap w:val="0"/>
                  <w:vAlign w:val="center"/>
                </w:tcPr>
                <w:p w14:paraId="24DCB15C">
                  <w:pPr>
                    <w:adjustRightInd w:val="0"/>
                    <w:snapToGrid w:val="0"/>
                    <w:jc w:val="center"/>
                    <w:rPr>
                      <w:i/>
                      <w:iCs/>
                      <w:szCs w:val="21"/>
                      <w:u w:val="single"/>
                    </w:rPr>
                  </w:pPr>
                  <w:r>
                    <w:rPr>
                      <w:rFonts w:hint="eastAsia"/>
                      <w:i/>
                      <w:iCs/>
                      <w:szCs w:val="21"/>
                      <w:u w:val="single"/>
                    </w:rPr>
                    <w:t>不涉及</w:t>
                  </w:r>
                </w:p>
              </w:tc>
              <w:tc>
                <w:tcPr>
                  <w:tcW w:w="471" w:type="pct"/>
                  <w:noWrap w:val="0"/>
                  <w:vAlign w:val="center"/>
                </w:tcPr>
                <w:p w14:paraId="42A86BA0">
                  <w:pPr>
                    <w:adjustRightInd w:val="0"/>
                    <w:snapToGrid w:val="0"/>
                    <w:jc w:val="center"/>
                    <w:rPr>
                      <w:i/>
                      <w:iCs/>
                      <w:szCs w:val="21"/>
                      <w:u w:val="single"/>
                    </w:rPr>
                  </w:pPr>
                  <w:r>
                    <w:rPr>
                      <w:rFonts w:hint="eastAsia"/>
                      <w:i/>
                      <w:iCs/>
                      <w:szCs w:val="21"/>
                      <w:u w:val="single"/>
                    </w:rPr>
                    <w:t>符合</w:t>
                  </w:r>
                </w:p>
              </w:tc>
            </w:tr>
            <w:tr w14:paraId="13E7BA4D">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25" w:hRule="atLeast"/>
                <w:jc w:val="center"/>
              </w:trPr>
              <w:tc>
                <w:tcPr>
                  <w:tcW w:w="510" w:type="pct"/>
                  <w:vMerge w:val="restart"/>
                  <w:noWrap w:val="0"/>
                  <w:vAlign w:val="center"/>
                </w:tcPr>
                <w:p w14:paraId="41F924DC">
                  <w:pPr>
                    <w:adjustRightInd w:val="0"/>
                    <w:snapToGrid w:val="0"/>
                    <w:jc w:val="center"/>
                    <w:rPr>
                      <w:rFonts w:hint="eastAsia"/>
                      <w:i/>
                      <w:iCs/>
                      <w:szCs w:val="21"/>
                      <w:highlight w:val="cyan"/>
                      <w:u w:val="single"/>
                    </w:rPr>
                  </w:pPr>
                  <w:r>
                    <w:rPr>
                      <w:rFonts w:hint="eastAsia"/>
                      <w:i/>
                      <w:iCs/>
                      <w:szCs w:val="21"/>
                      <w:u w:val="single"/>
                    </w:rPr>
                    <w:t>环境风险防控</w:t>
                  </w:r>
                </w:p>
              </w:tc>
              <w:tc>
                <w:tcPr>
                  <w:tcW w:w="2466" w:type="pct"/>
                  <w:noWrap w:val="0"/>
                  <w:vAlign w:val="center"/>
                </w:tcPr>
                <w:p w14:paraId="3B1F2D54">
                  <w:pPr>
                    <w:adjustRightInd w:val="0"/>
                    <w:snapToGrid w:val="0"/>
                    <w:ind w:firstLine="420" w:firstLineChars="200"/>
                    <w:jc w:val="center"/>
                    <w:rPr>
                      <w:i/>
                      <w:iCs/>
                      <w:u w:val="single"/>
                    </w:rPr>
                  </w:pPr>
                  <w:r>
                    <w:rPr>
                      <w:i/>
                      <w:iCs/>
                      <w:u w:val="single"/>
                    </w:rPr>
                    <w:t>到2025年，城镇人口密集区现有不符合防护距离要求的危险化学品生产企业应就地改造达标、搬迁进入规范化工园区或关闭退出，企业安全和环境风险大幅降低。</w:t>
                  </w:r>
                </w:p>
              </w:tc>
              <w:tc>
                <w:tcPr>
                  <w:tcW w:w="1551" w:type="pct"/>
                  <w:noWrap w:val="0"/>
                  <w:vAlign w:val="center"/>
                </w:tcPr>
                <w:p w14:paraId="53F2837C">
                  <w:pPr>
                    <w:adjustRightInd w:val="0"/>
                    <w:snapToGrid w:val="0"/>
                    <w:jc w:val="center"/>
                    <w:rPr>
                      <w:i/>
                      <w:iCs/>
                      <w:szCs w:val="21"/>
                      <w:u w:val="single"/>
                    </w:rPr>
                  </w:pPr>
                  <w:r>
                    <w:rPr>
                      <w:rFonts w:hint="eastAsia"/>
                      <w:i/>
                      <w:iCs/>
                      <w:szCs w:val="21"/>
                      <w:u w:val="single"/>
                    </w:rPr>
                    <w:t>本项目不属于危险化学品生产项目</w:t>
                  </w:r>
                </w:p>
              </w:tc>
              <w:tc>
                <w:tcPr>
                  <w:tcW w:w="471" w:type="pct"/>
                  <w:noWrap w:val="0"/>
                  <w:vAlign w:val="center"/>
                </w:tcPr>
                <w:p w14:paraId="6A751D39">
                  <w:pPr>
                    <w:adjustRightInd w:val="0"/>
                    <w:snapToGrid w:val="0"/>
                    <w:jc w:val="center"/>
                    <w:rPr>
                      <w:i/>
                      <w:iCs/>
                      <w:szCs w:val="21"/>
                      <w:u w:val="single"/>
                    </w:rPr>
                  </w:pPr>
                  <w:r>
                    <w:rPr>
                      <w:rFonts w:hint="eastAsia"/>
                      <w:i/>
                      <w:iCs/>
                      <w:szCs w:val="21"/>
                      <w:u w:val="single"/>
                    </w:rPr>
                    <w:t>符合</w:t>
                  </w:r>
                </w:p>
              </w:tc>
            </w:tr>
            <w:tr w14:paraId="6D5B2CA2">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25" w:hRule="atLeast"/>
                <w:jc w:val="center"/>
              </w:trPr>
              <w:tc>
                <w:tcPr>
                  <w:tcW w:w="510" w:type="pct"/>
                  <w:vMerge w:val="continue"/>
                  <w:noWrap w:val="0"/>
                  <w:vAlign w:val="center"/>
                </w:tcPr>
                <w:p w14:paraId="304E5311">
                  <w:pPr>
                    <w:adjustRightInd w:val="0"/>
                    <w:snapToGrid w:val="0"/>
                    <w:jc w:val="center"/>
                    <w:rPr>
                      <w:i/>
                      <w:iCs/>
                      <w:szCs w:val="21"/>
                      <w:highlight w:val="cyan"/>
                      <w:u w:val="single"/>
                    </w:rPr>
                  </w:pPr>
                </w:p>
              </w:tc>
              <w:tc>
                <w:tcPr>
                  <w:tcW w:w="2466" w:type="pct"/>
                  <w:noWrap w:val="0"/>
                  <w:vAlign w:val="center"/>
                </w:tcPr>
                <w:p w14:paraId="088CFE11">
                  <w:pPr>
                    <w:adjustRightInd w:val="0"/>
                    <w:snapToGrid w:val="0"/>
                    <w:ind w:firstLine="420" w:firstLineChars="200"/>
                    <w:jc w:val="center"/>
                    <w:rPr>
                      <w:i/>
                      <w:iCs/>
                      <w:u w:val="single"/>
                    </w:rPr>
                  </w:pPr>
                  <w:r>
                    <w:rPr>
                      <w:i/>
                      <w:iCs/>
                      <w:u w:val="single"/>
                    </w:rPr>
                    <w:t>巩固城市饮用水水源保护与治理成果，加强饮用水水源地规范化建设，完善风险防控与应急能力建设和相关管理措施，保证饮用水水源水质达标和水源安全。</w:t>
                  </w:r>
                </w:p>
              </w:tc>
              <w:tc>
                <w:tcPr>
                  <w:tcW w:w="1551" w:type="pct"/>
                  <w:noWrap w:val="0"/>
                  <w:vAlign w:val="center"/>
                </w:tcPr>
                <w:p w14:paraId="526BDCB9">
                  <w:pPr>
                    <w:adjustRightInd w:val="0"/>
                    <w:snapToGrid w:val="0"/>
                    <w:jc w:val="center"/>
                    <w:rPr>
                      <w:i/>
                      <w:iCs/>
                      <w:szCs w:val="21"/>
                      <w:u w:val="single"/>
                    </w:rPr>
                  </w:pPr>
                  <w:r>
                    <w:rPr>
                      <w:rFonts w:hint="eastAsia"/>
                      <w:i/>
                      <w:iCs/>
                      <w:szCs w:val="21"/>
                      <w:u w:val="single"/>
                    </w:rPr>
                    <w:t>不涉及</w:t>
                  </w:r>
                </w:p>
              </w:tc>
              <w:tc>
                <w:tcPr>
                  <w:tcW w:w="471" w:type="pct"/>
                  <w:noWrap w:val="0"/>
                  <w:vAlign w:val="center"/>
                </w:tcPr>
                <w:p w14:paraId="3BAFC110">
                  <w:pPr>
                    <w:adjustRightInd w:val="0"/>
                    <w:snapToGrid w:val="0"/>
                    <w:jc w:val="center"/>
                    <w:rPr>
                      <w:i/>
                      <w:iCs/>
                      <w:szCs w:val="21"/>
                      <w:u w:val="single"/>
                    </w:rPr>
                  </w:pPr>
                  <w:r>
                    <w:rPr>
                      <w:rFonts w:hint="eastAsia"/>
                      <w:i/>
                      <w:iCs/>
                      <w:szCs w:val="21"/>
                      <w:u w:val="single"/>
                    </w:rPr>
                    <w:t>符合</w:t>
                  </w:r>
                </w:p>
              </w:tc>
            </w:tr>
            <w:tr w14:paraId="0C2EE720">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25" w:hRule="atLeast"/>
                <w:jc w:val="center"/>
              </w:trPr>
              <w:tc>
                <w:tcPr>
                  <w:tcW w:w="510" w:type="pct"/>
                  <w:vMerge w:val="restart"/>
                  <w:noWrap w:val="0"/>
                  <w:vAlign w:val="center"/>
                </w:tcPr>
                <w:p w14:paraId="0BDE75A1">
                  <w:pPr>
                    <w:adjustRightInd w:val="0"/>
                    <w:snapToGrid w:val="0"/>
                    <w:jc w:val="center"/>
                    <w:rPr>
                      <w:rFonts w:hint="eastAsia"/>
                      <w:i/>
                      <w:iCs/>
                      <w:szCs w:val="21"/>
                      <w:highlight w:val="cyan"/>
                      <w:u w:val="single"/>
                    </w:rPr>
                  </w:pPr>
                  <w:r>
                    <w:rPr>
                      <w:rFonts w:hint="eastAsia"/>
                      <w:i/>
                      <w:iCs/>
                      <w:szCs w:val="21"/>
                      <w:u w:val="single"/>
                    </w:rPr>
                    <w:t>资源利用要求</w:t>
                  </w:r>
                </w:p>
              </w:tc>
              <w:tc>
                <w:tcPr>
                  <w:tcW w:w="2466" w:type="pct"/>
                  <w:noWrap w:val="0"/>
                  <w:vAlign w:val="center"/>
                </w:tcPr>
                <w:p w14:paraId="4D363351">
                  <w:pPr>
                    <w:adjustRightInd w:val="0"/>
                    <w:snapToGrid w:val="0"/>
                    <w:ind w:firstLine="420" w:firstLineChars="200"/>
                    <w:jc w:val="center"/>
                    <w:rPr>
                      <w:i/>
                      <w:iCs/>
                      <w:u w:val="single"/>
                    </w:rPr>
                  </w:pPr>
                  <w:r>
                    <w:rPr>
                      <w:i/>
                      <w:iCs/>
                      <w:u w:val="single"/>
                    </w:rPr>
                    <w:t>推动园区串联用水，分质用水、一水多用和循环利用，提高水资源利用率，建设节水型园区。火电、钢铁、造纸、化工、粮食深加工等重点行业应推广实施节水改造和污水深度处理。鼓励钢铁、火电、纺织印染、造纸、石油石化、化工、制革等高耗水企业废水深度处理回用。</w:t>
                  </w:r>
                </w:p>
              </w:tc>
              <w:tc>
                <w:tcPr>
                  <w:tcW w:w="1551" w:type="pct"/>
                  <w:noWrap w:val="0"/>
                  <w:vAlign w:val="center"/>
                </w:tcPr>
                <w:p w14:paraId="619B4B38">
                  <w:pPr>
                    <w:adjustRightInd w:val="0"/>
                    <w:snapToGrid w:val="0"/>
                    <w:jc w:val="center"/>
                    <w:rPr>
                      <w:i/>
                      <w:iCs/>
                      <w:szCs w:val="21"/>
                      <w:u w:val="single"/>
                    </w:rPr>
                  </w:pPr>
                  <w:r>
                    <w:rPr>
                      <w:rFonts w:hint="eastAsia"/>
                      <w:i/>
                      <w:iCs/>
                      <w:szCs w:val="21"/>
                      <w:u w:val="single"/>
                    </w:rPr>
                    <w:t>不涉及</w:t>
                  </w:r>
                </w:p>
              </w:tc>
              <w:tc>
                <w:tcPr>
                  <w:tcW w:w="471" w:type="pct"/>
                  <w:noWrap w:val="0"/>
                  <w:vAlign w:val="center"/>
                </w:tcPr>
                <w:p w14:paraId="7690B479">
                  <w:pPr>
                    <w:adjustRightInd w:val="0"/>
                    <w:snapToGrid w:val="0"/>
                    <w:jc w:val="center"/>
                    <w:rPr>
                      <w:i/>
                      <w:iCs/>
                      <w:szCs w:val="21"/>
                      <w:u w:val="single"/>
                    </w:rPr>
                  </w:pPr>
                  <w:r>
                    <w:rPr>
                      <w:rFonts w:hint="eastAsia"/>
                      <w:i/>
                      <w:iCs/>
                      <w:szCs w:val="21"/>
                      <w:u w:val="single"/>
                    </w:rPr>
                    <w:t>符合</w:t>
                  </w:r>
                </w:p>
              </w:tc>
            </w:tr>
            <w:tr w14:paraId="43E3B065">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25" w:hRule="atLeast"/>
                <w:jc w:val="center"/>
              </w:trPr>
              <w:tc>
                <w:tcPr>
                  <w:tcW w:w="510" w:type="pct"/>
                  <w:vMerge w:val="continue"/>
                  <w:noWrap w:val="0"/>
                  <w:vAlign w:val="center"/>
                </w:tcPr>
                <w:p w14:paraId="4EF5B399">
                  <w:pPr>
                    <w:adjustRightInd w:val="0"/>
                    <w:snapToGrid w:val="0"/>
                    <w:jc w:val="center"/>
                    <w:rPr>
                      <w:rFonts w:hint="eastAsia"/>
                      <w:i/>
                      <w:iCs/>
                      <w:szCs w:val="21"/>
                      <w:highlight w:val="cyan"/>
                      <w:u w:val="single"/>
                    </w:rPr>
                  </w:pPr>
                </w:p>
              </w:tc>
              <w:tc>
                <w:tcPr>
                  <w:tcW w:w="2466" w:type="pct"/>
                  <w:noWrap w:val="0"/>
                  <w:vAlign w:val="center"/>
                </w:tcPr>
                <w:p w14:paraId="48DE773E">
                  <w:pPr>
                    <w:adjustRightInd w:val="0"/>
                    <w:snapToGrid w:val="0"/>
                    <w:ind w:firstLine="420" w:firstLineChars="200"/>
                    <w:jc w:val="center"/>
                    <w:rPr>
                      <w:i/>
                      <w:iCs/>
                      <w:u w:val="single"/>
                    </w:rPr>
                  </w:pPr>
                  <w:r>
                    <w:rPr>
                      <w:i/>
                      <w:iCs/>
                      <w:u w:val="single"/>
                    </w:rPr>
                    <w:t>按照《中华人民共和国黑土地保护法》《吉林省黑土地保护条例》实施黑土地保护，加大黑土区水土流失治理力度，发展保护性耕作，促进黑土地可持续发展。</w:t>
                  </w:r>
                </w:p>
              </w:tc>
              <w:tc>
                <w:tcPr>
                  <w:tcW w:w="1551" w:type="pct"/>
                  <w:noWrap w:val="0"/>
                  <w:vAlign w:val="center"/>
                </w:tcPr>
                <w:p w14:paraId="700DEF9B">
                  <w:pPr>
                    <w:adjustRightInd w:val="0"/>
                    <w:snapToGrid w:val="0"/>
                    <w:jc w:val="center"/>
                    <w:rPr>
                      <w:i/>
                      <w:iCs/>
                      <w:szCs w:val="21"/>
                      <w:u w:val="single"/>
                    </w:rPr>
                  </w:pPr>
                  <w:r>
                    <w:rPr>
                      <w:rFonts w:hint="eastAsia"/>
                      <w:i/>
                      <w:iCs/>
                      <w:szCs w:val="21"/>
                      <w:u w:val="single"/>
                    </w:rPr>
                    <w:t>不涉及</w:t>
                  </w:r>
                </w:p>
              </w:tc>
              <w:tc>
                <w:tcPr>
                  <w:tcW w:w="471" w:type="pct"/>
                  <w:noWrap w:val="0"/>
                  <w:vAlign w:val="center"/>
                </w:tcPr>
                <w:p w14:paraId="3A67738E">
                  <w:pPr>
                    <w:adjustRightInd w:val="0"/>
                    <w:snapToGrid w:val="0"/>
                    <w:jc w:val="center"/>
                    <w:rPr>
                      <w:i/>
                      <w:iCs/>
                      <w:szCs w:val="21"/>
                      <w:u w:val="single"/>
                    </w:rPr>
                  </w:pPr>
                  <w:r>
                    <w:rPr>
                      <w:rFonts w:hint="eastAsia"/>
                      <w:i/>
                      <w:iCs/>
                      <w:szCs w:val="21"/>
                      <w:u w:val="single"/>
                    </w:rPr>
                    <w:t>符合</w:t>
                  </w:r>
                </w:p>
              </w:tc>
            </w:tr>
            <w:tr w14:paraId="7C6F7137">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25" w:hRule="atLeast"/>
                <w:jc w:val="center"/>
              </w:trPr>
              <w:tc>
                <w:tcPr>
                  <w:tcW w:w="510" w:type="pct"/>
                  <w:vMerge w:val="continue"/>
                  <w:noWrap w:val="0"/>
                  <w:vAlign w:val="center"/>
                </w:tcPr>
                <w:p w14:paraId="1EA05B13">
                  <w:pPr>
                    <w:adjustRightInd w:val="0"/>
                    <w:snapToGrid w:val="0"/>
                    <w:jc w:val="center"/>
                    <w:rPr>
                      <w:i/>
                      <w:iCs/>
                      <w:szCs w:val="21"/>
                      <w:highlight w:val="cyan"/>
                      <w:u w:val="single"/>
                    </w:rPr>
                  </w:pPr>
                </w:p>
              </w:tc>
              <w:tc>
                <w:tcPr>
                  <w:tcW w:w="2466" w:type="pct"/>
                  <w:noWrap w:val="0"/>
                  <w:vAlign w:val="center"/>
                </w:tcPr>
                <w:p w14:paraId="64AA02D5">
                  <w:pPr>
                    <w:adjustRightInd w:val="0"/>
                    <w:snapToGrid w:val="0"/>
                    <w:ind w:firstLine="420" w:firstLineChars="200"/>
                    <w:jc w:val="center"/>
                    <w:rPr>
                      <w:i/>
                      <w:iCs/>
                      <w:u w:val="single"/>
                    </w:rPr>
                  </w:pPr>
                  <w:r>
                    <w:rPr>
                      <w:i/>
                      <w:iCs/>
                      <w:u w:val="single"/>
                    </w:rPr>
                    <w:t>严格控制煤炭消费。制定煤炭消费总量控制目标，规范实行煤炭消费控制目标管理和减量（等量）替代管理。</w:t>
                  </w:r>
                </w:p>
              </w:tc>
              <w:tc>
                <w:tcPr>
                  <w:tcW w:w="1551" w:type="pct"/>
                  <w:noWrap w:val="0"/>
                  <w:vAlign w:val="center"/>
                </w:tcPr>
                <w:p w14:paraId="358D3763">
                  <w:pPr>
                    <w:adjustRightInd w:val="0"/>
                    <w:snapToGrid w:val="0"/>
                    <w:jc w:val="center"/>
                    <w:rPr>
                      <w:i/>
                      <w:iCs/>
                      <w:szCs w:val="21"/>
                      <w:u w:val="single"/>
                    </w:rPr>
                  </w:pPr>
                  <w:r>
                    <w:rPr>
                      <w:rFonts w:hint="eastAsia"/>
                      <w:i/>
                      <w:iCs/>
                      <w:szCs w:val="21"/>
                      <w:u w:val="single"/>
                    </w:rPr>
                    <w:t>本项目生产用热为电加热，</w:t>
                  </w:r>
                  <w:r>
                    <w:rPr>
                      <w:rFonts w:hint="eastAsia"/>
                      <w:i/>
                      <w:iCs/>
                      <w:szCs w:val="21"/>
                      <w:highlight w:val="none"/>
                      <w:u w:val="single"/>
                    </w:rPr>
                    <w:t>生活供暖依托园区地源热泵，</w:t>
                  </w:r>
                  <w:r>
                    <w:rPr>
                      <w:rFonts w:hint="eastAsia"/>
                      <w:i/>
                      <w:iCs/>
                      <w:szCs w:val="21"/>
                      <w:u w:val="single"/>
                    </w:rPr>
                    <w:t>不涉及煤炭消费</w:t>
                  </w:r>
                </w:p>
              </w:tc>
              <w:tc>
                <w:tcPr>
                  <w:tcW w:w="471" w:type="pct"/>
                  <w:noWrap w:val="0"/>
                  <w:vAlign w:val="center"/>
                </w:tcPr>
                <w:p w14:paraId="4699A912">
                  <w:pPr>
                    <w:adjustRightInd w:val="0"/>
                    <w:snapToGrid w:val="0"/>
                    <w:jc w:val="center"/>
                    <w:rPr>
                      <w:i/>
                      <w:iCs/>
                      <w:szCs w:val="21"/>
                      <w:u w:val="single"/>
                    </w:rPr>
                  </w:pPr>
                  <w:r>
                    <w:rPr>
                      <w:rFonts w:hint="eastAsia"/>
                      <w:i/>
                      <w:iCs/>
                      <w:szCs w:val="21"/>
                      <w:u w:val="single"/>
                    </w:rPr>
                    <w:t>符合</w:t>
                  </w:r>
                </w:p>
              </w:tc>
            </w:tr>
            <w:tr w14:paraId="69A2AF40">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25" w:hRule="atLeast"/>
                <w:jc w:val="center"/>
              </w:trPr>
              <w:tc>
                <w:tcPr>
                  <w:tcW w:w="510" w:type="pct"/>
                  <w:vMerge w:val="continue"/>
                  <w:noWrap w:val="0"/>
                  <w:vAlign w:val="center"/>
                </w:tcPr>
                <w:p w14:paraId="69EA3398">
                  <w:pPr>
                    <w:adjustRightInd w:val="0"/>
                    <w:snapToGrid w:val="0"/>
                    <w:jc w:val="center"/>
                    <w:rPr>
                      <w:i/>
                      <w:iCs/>
                      <w:szCs w:val="21"/>
                      <w:highlight w:val="cyan"/>
                      <w:u w:val="single"/>
                    </w:rPr>
                  </w:pPr>
                </w:p>
              </w:tc>
              <w:tc>
                <w:tcPr>
                  <w:tcW w:w="2466" w:type="pct"/>
                  <w:noWrap w:val="0"/>
                  <w:vAlign w:val="center"/>
                </w:tcPr>
                <w:p w14:paraId="005AA361">
                  <w:pPr>
                    <w:adjustRightInd w:val="0"/>
                    <w:snapToGrid w:val="0"/>
                    <w:ind w:firstLine="420" w:firstLineChars="200"/>
                    <w:jc w:val="center"/>
                    <w:rPr>
                      <w:i/>
                      <w:iCs/>
                      <w:u w:val="single"/>
                    </w:rPr>
                  </w:pPr>
                  <w:r>
                    <w:rPr>
                      <w:i/>
                      <w:iCs/>
                      <w:u w:val="single"/>
                    </w:rPr>
                    <w:t>高污染燃料禁燃区内，禁止销售、燃用高污染燃料；禁止新建、扩建燃用高污染燃料的设施。</w:t>
                  </w:r>
                </w:p>
              </w:tc>
              <w:tc>
                <w:tcPr>
                  <w:tcW w:w="1551" w:type="pct"/>
                  <w:noWrap w:val="0"/>
                  <w:vAlign w:val="center"/>
                </w:tcPr>
                <w:p w14:paraId="0808BF8D">
                  <w:pPr>
                    <w:adjustRightInd w:val="0"/>
                    <w:snapToGrid w:val="0"/>
                    <w:jc w:val="center"/>
                    <w:rPr>
                      <w:i/>
                      <w:iCs/>
                      <w:szCs w:val="21"/>
                      <w:u w:val="single"/>
                    </w:rPr>
                  </w:pPr>
                  <w:r>
                    <w:rPr>
                      <w:rFonts w:hint="eastAsia"/>
                      <w:i/>
                      <w:iCs/>
                      <w:szCs w:val="21"/>
                      <w:u w:val="single"/>
                    </w:rPr>
                    <w:t>本项目生产用热为电加热，不涉及高污染燃料使用</w:t>
                  </w:r>
                </w:p>
              </w:tc>
              <w:tc>
                <w:tcPr>
                  <w:tcW w:w="471" w:type="pct"/>
                  <w:noWrap w:val="0"/>
                  <w:vAlign w:val="center"/>
                </w:tcPr>
                <w:p w14:paraId="214FA0BE">
                  <w:pPr>
                    <w:adjustRightInd w:val="0"/>
                    <w:snapToGrid w:val="0"/>
                    <w:jc w:val="center"/>
                    <w:rPr>
                      <w:i/>
                      <w:iCs/>
                      <w:szCs w:val="21"/>
                      <w:u w:val="single"/>
                    </w:rPr>
                  </w:pPr>
                  <w:r>
                    <w:rPr>
                      <w:rFonts w:hint="eastAsia"/>
                      <w:i/>
                      <w:iCs/>
                      <w:szCs w:val="21"/>
                      <w:u w:val="single"/>
                    </w:rPr>
                    <w:t>符合</w:t>
                  </w:r>
                </w:p>
              </w:tc>
            </w:tr>
          </w:tbl>
          <w:p w14:paraId="5FB85EBE">
            <w:pPr>
              <w:autoSpaceDE w:val="0"/>
              <w:autoSpaceDN w:val="0"/>
              <w:adjustRightInd w:val="0"/>
              <w:snapToGrid w:val="0"/>
              <w:rPr>
                <w:i/>
                <w:iCs/>
                <w:kern w:val="0"/>
                <w:sz w:val="24"/>
                <w:u w:val="single"/>
              </w:rPr>
            </w:pPr>
          </w:p>
          <w:p w14:paraId="24431722">
            <w:pPr>
              <w:autoSpaceDE w:val="0"/>
              <w:autoSpaceDN w:val="0"/>
              <w:adjustRightInd w:val="0"/>
              <w:snapToGrid w:val="0"/>
              <w:spacing w:line="360" w:lineRule="auto"/>
              <w:ind w:firstLine="480" w:firstLineChars="200"/>
              <w:rPr>
                <w:i/>
                <w:iCs/>
                <w:kern w:val="0"/>
                <w:sz w:val="24"/>
                <w:u w:val="single"/>
              </w:rPr>
            </w:pPr>
            <w:r>
              <w:rPr>
                <w:i/>
                <w:iCs/>
                <w:kern w:val="0"/>
                <w:sz w:val="24"/>
                <w:u w:val="single"/>
              </w:rPr>
              <w:t>②与</w:t>
            </w:r>
            <w:r>
              <w:rPr>
                <w:rFonts w:hint="eastAsia"/>
                <w:i/>
                <w:iCs/>
                <w:kern w:val="0"/>
                <w:sz w:val="24"/>
                <w:u w:val="single"/>
              </w:rPr>
              <w:t>长春</w:t>
            </w:r>
            <w:r>
              <w:rPr>
                <w:i/>
                <w:iCs/>
                <w:kern w:val="0"/>
                <w:sz w:val="24"/>
                <w:u w:val="single"/>
              </w:rPr>
              <w:t>市生态环境准入清单符合性分析</w:t>
            </w:r>
          </w:p>
          <w:p w14:paraId="17A8F611">
            <w:pPr>
              <w:adjustRightInd w:val="0"/>
              <w:snapToGrid w:val="0"/>
              <w:jc w:val="center"/>
              <w:rPr>
                <w:b/>
                <w:i/>
                <w:iCs/>
                <w:sz w:val="24"/>
                <w:u w:val="single"/>
              </w:rPr>
            </w:pPr>
            <w:r>
              <w:rPr>
                <w:b/>
                <w:i/>
                <w:iCs/>
                <w:sz w:val="24"/>
                <w:u w:val="single"/>
              </w:rPr>
              <w:t>表1-</w:t>
            </w:r>
            <w:r>
              <w:rPr>
                <w:rFonts w:hint="eastAsia"/>
                <w:b/>
                <w:i/>
                <w:iCs/>
                <w:sz w:val="24"/>
                <w:u w:val="single"/>
                <w:lang w:val="en-US" w:eastAsia="zh-CN"/>
              </w:rPr>
              <w:t>3</w:t>
            </w:r>
            <w:r>
              <w:rPr>
                <w:b/>
                <w:i/>
                <w:iCs/>
                <w:sz w:val="24"/>
                <w:u w:val="single"/>
              </w:rPr>
              <w:t xml:space="preserve">  </w:t>
            </w:r>
            <w:r>
              <w:rPr>
                <w:rFonts w:hint="eastAsia"/>
                <w:b/>
                <w:i/>
                <w:iCs/>
                <w:sz w:val="24"/>
                <w:u w:val="single"/>
              </w:rPr>
              <w:t>长春</w:t>
            </w:r>
            <w:r>
              <w:rPr>
                <w:b/>
                <w:i/>
                <w:iCs/>
                <w:sz w:val="24"/>
                <w:u w:val="single"/>
              </w:rPr>
              <w:t>市生态环境准入清单</w:t>
            </w:r>
          </w:p>
          <w:tbl>
            <w:tblPr>
              <w:tblStyle w:val="27"/>
              <w:tblW w:w="4974"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69"/>
              <w:gridCol w:w="795"/>
              <w:gridCol w:w="3336"/>
              <w:gridCol w:w="2170"/>
              <w:gridCol w:w="725"/>
            </w:tblGrid>
            <w:tr w14:paraId="58D3796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noWrap w:val="0"/>
                  <w:vAlign w:val="center"/>
                </w:tcPr>
                <w:p w14:paraId="6B9AD75A">
                  <w:pPr>
                    <w:adjustRightInd w:val="0"/>
                    <w:snapToGrid w:val="0"/>
                    <w:ind w:right="-97" w:rightChars="-46"/>
                    <w:jc w:val="center"/>
                    <w:rPr>
                      <w:i/>
                      <w:iCs/>
                      <w:szCs w:val="21"/>
                      <w:u w:val="single"/>
                    </w:rPr>
                  </w:pPr>
                  <w:r>
                    <w:rPr>
                      <w:i/>
                      <w:iCs/>
                      <w:szCs w:val="21"/>
                      <w:u w:val="single"/>
                    </w:rPr>
                    <w:t>管控</w:t>
                  </w:r>
                </w:p>
                <w:p w14:paraId="73CE25D4">
                  <w:pPr>
                    <w:adjustRightInd w:val="0"/>
                    <w:snapToGrid w:val="0"/>
                    <w:ind w:right="-97" w:rightChars="-46"/>
                    <w:jc w:val="center"/>
                    <w:rPr>
                      <w:i/>
                      <w:iCs/>
                      <w:szCs w:val="21"/>
                      <w:u w:val="single"/>
                    </w:rPr>
                  </w:pPr>
                  <w:r>
                    <w:rPr>
                      <w:i/>
                      <w:iCs/>
                      <w:szCs w:val="21"/>
                      <w:u w:val="single"/>
                    </w:rPr>
                    <w:t>领域</w:t>
                  </w:r>
                </w:p>
              </w:tc>
              <w:tc>
                <w:tcPr>
                  <w:tcW w:w="2616" w:type="pct"/>
                  <w:gridSpan w:val="2"/>
                  <w:noWrap w:val="0"/>
                  <w:vAlign w:val="center"/>
                </w:tcPr>
                <w:p w14:paraId="1B753B5D">
                  <w:pPr>
                    <w:adjustRightInd w:val="0"/>
                    <w:snapToGrid w:val="0"/>
                    <w:ind w:right="-97" w:rightChars="-46"/>
                    <w:jc w:val="center"/>
                    <w:rPr>
                      <w:i/>
                      <w:iCs/>
                      <w:szCs w:val="21"/>
                      <w:u w:val="single"/>
                    </w:rPr>
                  </w:pPr>
                  <w:r>
                    <w:rPr>
                      <w:i/>
                      <w:iCs/>
                      <w:szCs w:val="21"/>
                      <w:u w:val="single"/>
                    </w:rPr>
                    <w:t>管控要求</w:t>
                  </w:r>
                </w:p>
              </w:tc>
              <w:tc>
                <w:tcPr>
                  <w:tcW w:w="1374" w:type="pct"/>
                  <w:noWrap w:val="0"/>
                  <w:vAlign w:val="center"/>
                </w:tcPr>
                <w:p w14:paraId="08F79E59">
                  <w:pPr>
                    <w:adjustRightInd w:val="0"/>
                    <w:snapToGrid w:val="0"/>
                    <w:ind w:right="-97" w:rightChars="-46"/>
                    <w:jc w:val="center"/>
                    <w:rPr>
                      <w:rFonts w:hint="eastAsia"/>
                      <w:i/>
                      <w:iCs/>
                      <w:szCs w:val="21"/>
                      <w:u w:val="single"/>
                    </w:rPr>
                  </w:pPr>
                  <w:r>
                    <w:rPr>
                      <w:rFonts w:hint="eastAsia"/>
                      <w:i/>
                      <w:iCs/>
                      <w:szCs w:val="21"/>
                      <w:u w:val="single"/>
                    </w:rPr>
                    <w:t>本项目</w:t>
                  </w:r>
                </w:p>
              </w:tc>
              <w:tc>
                <w:tcPr>
                  <w:tcW w:w="459" w:type="pct"/>
                  <w:noWrap w:val="0"/>
                  <w:vAlign w:val="center"/>
                </w:tcPr>
                <w:p w14:paraId="39E429DA">
                  <w:pPr>
                    <w:adjustRightInd w:val="0"/>
                    <w:snapToGrid w:val="0"/>
                    <w:ind w:right="-97" w:rightChars="-46"/>
                    <w:jc w:val="center"/>
                    <w:rPr>
                      <w:i/>
                      <w:iCs/>
                      <w:szCs w:val="21"/>
                      <w:u w:val="single"/>
                    </w:rPr>
                  </w:pPr>
                  <w:r>
                    <w:rPr>
                      <w:i/>
                      <w:iCs/>
                      <w:szCs w:val="21"/>
                      <w:u w:val="single"/>
                    </w:rPr>
                    <w:t>符合性</w:t>
                  </w:r>
                </w:p>
              </w:tc>
            </w:tr>
            <w:tr w14:paraId="59314E2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noWrap w:val="0"/>
                  <w:vAlign w:val="center"/>
                </w:tcPr>
                <w:p w14:paraId="00FC137F">
                  <w:pPr>
                    <w:adjustRightInd w:val="0"/>
                    <w:snapToGrid w:val="0"/>
                    <w:ind w:right="-97" w:rightChars="-46"/>
                    <w:jc w:val="center"/>
                    <w:rPr>
                      <w:i/>
                      <w:iCs/>
                      <w:szCs w:val="21"/>
                      <w:u w:val="single"/>
                    </w:rPr>
                  </w:pPr>
                  <w:r>
                    <w:rPr>
                      <w:i/>
                      <w:iCs/>
                      <w:szCs w:val="21"/>
                      <w:u w:val="single"/>
                    </w:rPr>
                    <w:t>空间布局约束</w:t>
                  </w:r>
                </w:p>
              </w:tc>
              <w:tc>
                <w:tcPr>
                  <w:tcW w:w="2616" w:type="pct"/>
                  <w:gridSpan w:val="2"/>
                  <w:noWrap w:val="0"/>
                  <w:vAlign w:val="center"/>
                </w:tcPr>
                <w:p w14:paraId="16C06230">
                  <w:pPr>
                    <w:adjustRightInd w:val="0"/>
                    <w:snapToGrid w:val="0"/>
                    <w:ind w:right="-97" w:rightChars="-46"/>
                    <w:jc w:val="center"/>
                    <w:rPr>
                      <w:i/>
                      <w:iCs/>
                      <w:szCs w:val="21"/>
                      <w:u w:val="single"/>
                    </w:rPr>
                  </w:pPr>
                  <w:r>
                    <w:rPr>
                      <w:i/>
                      <w:iCs/>
                      <w:szCs w:val="21"/>
                      <w:u w:val="single"/>
                    </w:rPr>
                    <w:t>功能布局总体按照“西产业、东生态、中服务”布局思路。西部依托汽开区、高新南区等平台，建设世界级汽车产业基地；依托绿园经济开发区、宽城装备制造产业开发区等平台，建设世界级轨道客车产业基地；依托北湖科技园、亚泰医药产业园、兴隆综保区、二道国际物流经济开发区等平台，建设中国智能装备制造中心和世界级农产品加工产业基地，并构建现代物流体系，承载世界级先进制造业尖峰区和东北亚国际物流中心职能。依托城市东部的大黑山脉，形成中国北方地区最优美的近郊复合生态功能带。中部沿城市中央的人民大街、伊通河、远达大街复合发展轴，集中发展现代金融、信息技术、科技创新、文化艺术等综合服务功能，打造东北亚国际商务服务中心、东北亚科技创新与转化基地。</w:t>
                  </w:r>
                </w:p>
              </w:tc>
              <w:tc>
                <w:tcPr>
                  <w:tcW w:w="1374" w:type="pct"/>
                  <w:noWrap w:val="0"/>
                  <w:vAlign w:val="center"/>
                </w:tcPr>
                <w:p w14:paraId="4EA18EC0">
                  <w:pPr>
                    <w:adjustRightInd w:val="0"/>
                    <w:snapToGrid w:val="0"/>
                    <w:ind w:right="-97" w:rightChars="-46"/>
                    <w:jc w:val="center"/>
                    <w:rPr>
                      <w:rFonts w:hint="eastAsia"/>
                      <w:i/>
                      <w:iCs/>
                      <w:szCs w:val="21"/>
                      <w:u w:val="single"/>
                    </w:rPr>
                  </w:pPr>
                  <w:r>
                    <w:rPr>
                      <w:rFonts w:hint="eastAsia"/>
                      <w:i/>
                      <w:iCs/>
                      <w:szCs w:val="21"/>
                      <w:u w:val="single"/>
                    </w:rPr>
                    <w:t>本项目为北湖科技开发区中的新材料产业园，符合开发区产业定位，符合开发区规划布局要求。</w:t>
                  </w:r>
                </w:p>
              </w:tc>
              <w:tc>
                <w:tcPr>
                  <w:tcW w:w="459" w:type="pct"/>
                  <w:noWrap w:val="0"/>
                  <w:vAlign w:val="center"/>
                </w:tcPr>
                <w:p w14:paraId="0D36C525">
                  <w:pPr>
                    <w:adjustRightInd w:val="0"/>
                    <w:snapToGrid w:val="0"/>
                    <w:ind w:right="-97" w:rightChars="-46"/>
                    <w:jc w:val="center"/>
                    <w:rPr>
                      <w:rFonts w:hint="eastAsia"/>
                      <w:i/>
                      <w:iCs/>
                      <w:szCs w:val="21"/>
                      <w:u w:val="single"/>
                    </w:rPr>
                  </w:pPr>
                  <w:r>
                    <w:rPr>
                      <w:rFonts w:hint="eastAsia"/>
                      <w:i/>
                      <w:iCs/>
                      <w:szCs w:val="21"/>
                      <w:u w:val="single"/>
                    </w:rPr>
                    <w:t>符合</w:t>
                  </w:r>
                </w:p>
              </w:tc>
            </w:tr>
            <w:tr w14:paraId="4918865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vMerge w:val="restart"/>
                  <w:noWrap w:val="0"/>
                  <w:vAlign w:val="center"/>
                </w:tcPr>
                <w:p w14:paraId="2137BC50">
                  <w:pPr>
                    <w:adjustRightInd w:val="0"/>
                    <w:snapToGrid w:val="0"/>
                    <w:ind w:right="-97" w:rightChars="-46"/>
                    <w:jc w:val="center"/>
                    <w:rPr>
                      <w:i/>
                      <w:iCs/>
                      <w:szCs w:val="21"/>
                      <w:u w:val="single"/>
                    </w:rPr>
                  </w:pPr>
                  <w:r>
                    <w:rPr>
                      <w:i/>
                      <w:iCs/>
                      <w:szCs w:val="21"/>
                      <w:u w:val="single"/>
                    </w:rPr>
                    <w:t>污染物排放管控</w:t>
                  </w:r>
                </w:p>
                <w:p w14:paraId="77CC6025">
                  <w:pPr>
                    <w:adjustRightInd w:val="0"/>
                    <w:snapToGrid w:val="0"/>
                    <w:ind w:right="-97" w:rightChars="-46"/>
                    <w:jc w:val="center"/>
                    <w:rPr>
                      <w:i/>
                      <w:iCs/>
                      <w:szCs w:val="21"/>
                      <w:u w:val="single"/>
                    </w:rPr>
                  </w:pPr>
                </w:p>
              </w:tc>
              <w:tc>
                <w:tcPr>
                  <w:tcW w:w="503" w:type="pct"/>
                  <w:vMerge w:val="restart"/>
                  <w:noWrap w:val="0"/>
                  <w:vAlign w:val="center"/>
                </w:tcPr>
                <w:p w14:paraId="42A5FF63">
                  <w:pPr>
                    <w:adjustRightInd w:val="0"/>
                    <w:snapToGrid w:val="0"/>
                    <w:ind w:right="-97" w:rightChars="-46"/>
                    <w:jc w:val="center"/>
                    <w:rPr>
                      <w:i/>
                      <w:iCs/>
                      <w:szCs w:val="21"/>
                      <w:u w:val="single"/>
                    </w:rPr>
                  </w:pPr>
                  <w:r>
                    <w:rPr>
                      <w:i/>
                      <w:iCs/>
                      <w:szCs w:val="21"/>
                      <w:u w:val="single"/>
                    </w:rPr>
                    <w:t>环境质量目标</w:t>
                  </w:r>
                </w:p>
              </w:tc>
              <w:tc>
                <w:tcPr>
                  <w:tcW w:w="2112" w:type="pct"/>
                  <w:noWrap w:val="0"/>
                  <w:vAlign w:val="center"/>
                </w:tcPr>
                <w:p w14:paraId="70209796">
                  <w:pPr>
                    <w:adjustRightInd w:val="0"/>
                    <w:snapToGrid w:val="0"/>
                    <w:ind w:right="-97" w:rightChars="-46"/>
                    <w:jc w:val="center"/>
                    <w:rPr>
                      <w:i/>
                      <w:iCs/>
                      <w:szCs w:val="21"/>
                      <w:u w:val="single"/>
                    </w:rPr>
                  </w:pPr>
                  <w:r>
                    <w:rPr>
                      <w:i/>
                      <w:iCs/>
                      <w:szCs w:val="21"/>
                      <w:u w:val="single"/>
                    </w:rPr>
                    <w:t>大气环境质量持续改善。2025年全市PM2.5年均浓度达到30微克/立方米，优良天数比例达到90%；2035年继续改善（沙尘影响不计入）。</w:t>
                  </w:r>
                </w:p>
              </w:tc>
              <w:tc>
                <w:tcPr>
                  <w:tcW w:w="1374" w:type="pct"/>
                  <w:noWrap w:val="0"/>
                  <w:vAlign w:val="center"/>
                </w:tcPr>
                <w:p w14:paraId="29DD15BF">
                  <w:pPr>
                    <w:adjustRightInd w:val="0"/>
                    <w:snapToGrid w:val="0"/>
                    <w:ind w:right="-97" w:rightChars="-46"/>
                    <w:jc w:val="center"/>
                    <w:rPr>
                      <w:i/>
                      <w:iCs/>
                      <w:szCs w:val="21"/>
                      <w:u w:val="single"/>
                    </w:rPr>
                  </w:pPr>
                  <w:r>
                    <w:rPr>
                      <w:rFonts w:hint="eastAsia"/>
                      <w:i/>
                      <w:iCs/>
                      <w:szCs w:val="21"/>
                      <w:u w:val="single"/>
                    </w:rPr>
                    <w:t>本项目喷砂废气、</w:t>
                  </w:r>
                  <w:r>
                    <w:rPr>
                      <w:rFonts w:hint="eastAsia"/>
                      <w:i/>
                      <w:iCs/>
                      <w:szCs w:val="21"/>
                      <w:u w:val="single"/>
                      <w:lang w:eastAsia="zh-CN"/>
                    </w:rPr>
                    <w:t>喷涂实验及制备实验</w:t>
                  </w:r>
                  <w:r>
                    <w:rPr>
                      <w:rFonts w:hint="eastAsia"/>
                      <w:i/>
                      <w:iCs/>
                      <w:szCs w:val="21"/>
                      <w:u w:val="single"/>
                    </w:rPr>
                    <w:t>有机废气均得到有效治理，可达标排放。对周围环境空气质量影响较小</w:t>
                  </w:r>
                </w:p>
              </w:tc>
              <w:tc>
                <w:tcPr>
                  <w:tcW w:w="459" w:type="pct"/>
                  <w:noWrap w:val="0"/>
                  <w:vAlign w:val="center"/>
                </w:tcPr>
                <w:p w14:paraId="42F83EF2">
                  <w:pPr>
                    <w:adjustRightInd w:val="0"/>
                    <w:snapToGrid w:val="0"/>
                    <w:ind w:right="-97" w:rightChars="-46"/>
                    <w:jc w:val="center"/>
                    <w:rPr>
                      <w:i/>
                      <w:iCs/>
                      <w:szCs w:val="21"/>
                      <w:u w:val="single"/>
                    </w:rPr>
                  </w:pPr>
                  <w:r>
                    <w:rPr>
                      <w:i/>
                      <w:iCs/>
                      <w:szCs w:val="21"/>
                      <w:u w:val="single"/>
                    </w:rPr>
                    <w:t>符合</w:t>
                  </w:r>
                </w:p>
              </w:tc>
            </w:tr>
            <w:tr w14:paraId="66EEFB0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vMerge w:val="continue"/>
                  <w:noWrap w:val="0"/>
                  <w:vAlign w:val="center"/>
                </w:tcPr>
                <w:p w14:paraId="392B2E3D">
                  <w:pPr>
                    <w:adjustRightInd w:val="0"/>
                    <w:snapToGrid w:val="0"/>
                    <w:ind w:right="-97" w:rightChars="-46"/>
                    <w:jc w:val="center"/>
                    <w:rPr>
                      <w:i/>
                      <w:iCs/>
                      <w:szCs w:val="21"/>
                      <w:u w:val="single"/>
                    </w:rPr>
                  </w:pPr>
                </w:p>
              </w:tc>
              <w:tc>
                <w:tcPr>
                  <w:tcW w:w="503" w:type="pct"/>
                  <w:vMerge w:val="continue"/>
                  <w:noWrap w:val="0"/>
                  <w:vAlign w:val="center"/>
                </w:tcPr>
                <w:p w14:paraId="70983F91">
                  <w:pPr>
                    <w:adjustRightInd w:val="0"/>
                    <w:snapToGrid w:val="0"/>
                    <w:ind w:right="-97" w:rightChars="-46"/>
                    <w:jc w:val="center"/>
                    <w:rPr>
                      <w:i/>
                      <w:iCs/>
                      <w:szCs w:val="21"/>
                      <w:u w:val="single"/>
                    </w:rPr>
                  </w:pPr>
                </w:p>
              </w:tc>
              <w:tc>
                <w:tcPr>
                  <w:tcW w:w="2112" w:type="pct"/>
                  <w:noWrap w:val="0"/>
                  <w:vAlign w:val="center"/>
                </w:tcPr>
                <w:p w14:paraId="42EBE43A">
                  <w:pPr>
                    <w:adjustRightInd w:val="0"/>
                    <w:snapToGrid w:val="0"/>
                    <w:ind w:right="-97" w:rightChars="-46"/>
                    <w:jc w:val="center"/>
                    <w:rPr>
                      <w:i/>
                      <w:iCs/>
                      <w:szCs w:val="21"/>
                      <w:u w:val="single"/>
                    </w:rPr>
                  </w:pPr>
                  <w:r>
                    <w:rPr>
                      <w:i/>
                      <w:iCs/>
                      <w:szCs w:val="21"/>
                      <w:u w:val="single"/>
                    </w:rPr>
                    <w:t>水环境质量持续改善。2025年，全市水生态环境质量全面改善，劣Ⅴ类水体全面消除，地表水国控断面达到或好于Ⅲ类水体比例达到62.5%，河流生态水量得到基本保障，生态环境质量实现根本好转，水生态系统功能初步恢复。2035年，全市水生态环境质量在满足水生态功能区要求外，河流生态水量得到根本保障，水生态系统功能全面改善。</w:t>
                  </w:r>
                </w:p>
              </w:tc>
              <w:tc>
                <w:tcPr>
                  <w:tcW w:w="1374" w:type="pct"/>
                  <w:noWrap w:val="0"/>
                  <w:vAlign w:val="center"/>
                </w:tcPr>
                <w:p w14:paraId="464FE889">
                  <w:pPr>
                    <w:adjustRightInd w:val="0"/>
                    <w:snapToGrid w:val="0"/>
                    <w:ind w:right="-97" w:rightChars="-46"/>
                    <w:jc w:val="center"/>
                    <w:rPr>
                      <w:i/>
                      <w:iCs/>
                      <w:szCs w:val="21"/>
                      <w:u w:val="single"/>
                    </w:rPr>
                  </w:pPr>
                  <w:r>
                    <w:rPr>
                      <w:rFonts w:hint="eastAsia"/>
                      <w:i/>
                      <w:iCs/>
                      <w:szCs w:val="21"/>
                      <w:highlight w:val="none"/>
                      <w:u w:val="single"/>
                    </w:rPr>
                    <w:t>项目研磨机冷却水循环使用不外排，</w:t>
                  </w:r>
                  <w:r>
                    <w:rPr>
                      <w:rFonts w:hint="eastAsia"/>
                      <w:i/>
                      <w:iCs/>
                      <w:szCs w:val="21"/>
                      <w:highlight w:val="none"/>
                      <w:u w:val="single"/>
                      <w:lang w:eastAsia="zh-CN"/>
                    </w:rPr>
                    <w:t>实验设备及实验室地面清洗废水桶装收集后委托有资质单位处理</w:t>
                  </w:r>
                  <w:r>
                    <w:rPr>
                      <w:rFonts w:hint="eastAsia"/>
                      <w:i/>
                      <w:iCs/>
                      <w:szCs w:val="21"/>
                      <w:u w:val="single"/>
                    </w:rPr>
                    <w:t>生活污水</w:t>
                  </w:r>
                  <w:r>
                    <w:rPr>
                      <w:rFonts w:hint="eastAsia"/>
                      <w:i/>
                      <w:iCs/>
                      <w:szCs w:val="21"/>
                      <w:u w:val="single"/>
                      <w:lang w:eastAsia="zh-CN"/>
                    </w:rPr>
                    <w:t>由园区定期清淘用作农肥，待长春北湖科技开发区污水处理厂运行后，经市政管网排入该污水厂处理后排入干雾海河</w:t>
                  </w:r>
                  <w:r>
                    <w:rPr>
                      <w:rFonts w:hint="eastAsia"/>
                      <w:i/>
                      <w:iCs/>
                      <w:szCs w:val="21"/>
                      <w:u w:val="single"/>
                    </w:rPr>
                    <w:t>。</w:t>
                  </w:r>
                </w:p>
              </w:tc>
              <w:tc>
                <w:tcPr>
                  <w:tcW w:w="459" w:type="pct"/>
                  <w:noWrap w:val="0"/>
                  <w:vAlign w:val="center"/>
                </w:tcPr>
                <w:p w14:paraId="25CB8A63">
                  <w:pPr>
                    <w:adjustRightInd w:val="0"/>
                    <w:snapToGrid w:val="0"/>
                    <w:ind w:right="-97" w:rightChars="-46"/>
                    <w:jc w:val="center"/>
                    <w:rPr>
                      <w:i/>
                      <w:iCs/>
                      <w:szCs w:val="21"/>
                      <w:u w:val="single"/>
                    </w:rPr>
                  </w:pPr>
                  <w:r>
                    <w:rPr>
                      <w:i/>
                      <w:iCs/>
                      <w:szCs w:val="21"/>
                      <w:u w:val="single"/>
                    </w:rPr>
                    <w:t>符合</w:t>
                  </w:r>
                </w:p>
              </w:tc>
            </w:tr>
            <w:tr w14:paraId="29EAE4C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vMerge w:val="continue"/>
                  <w:noWrap w:val="0"/>
                  <w:vAlign w:val="center"/>
                </w:tcPr>
                <w:p w14:paraId="70001E41">
                  <w:pPr>
                    <w:adjustRightInd w:val="0"/>
                    <w:snapToGrid w:val="0"/>
                    <w:ind w:right="-97" w:rightChars="-46"/>
                    <w:jc w:val="center"/>
                    <w:rPr>
                      <w:i/>
                      <w:iCs/>
                      <w:szCs w:val="21"/>
                      <w:u w:val="single"/>
                    </w:rPr>
                  </w:pPr>
                </w:p>
              </w:tc>
              <w:tc>
                <w:tcPr>
                  <w:tcW w:w="503" w:type="pct"/>
                  <w:vMerge w:val="restart"/>
                  <w:noWrap w:val="0"/>
                  <w:vAlign w:val="center"/>
                </w:tcPr>
                <w:p w14:paraId="559FA9FD">
                  <w:pPr>
                    <w:adjustRightInd w:val="0"/>
                    <w:snapToGrid w:val="0"/>
                    <w:ind w:right="-97" w:rightChars="-46"/>
                    <w:jc w:val="center"/>
                    <w:rPr>
                      <w:i/>
                      <w:iCs/>
                      <w:szCs w:val="21"/>
                      <w:u w:val="single"/>
                    </w:rPr>
                  </w:pPr>
                  <w:r>
                    <w:rPr>
                      <w:i/>
                      <w:iCs/>
                      <w:szCs w:val="21"/>
                      <w:u w:val="single"/>
                    </w:rPr>
                    <w:t>污染物</w:t>
                  </w:r>
                </w:p>
                <w:p w14:paraId="754109A7">
                  <w:pPr>
                    <w:adjustRightInd w:val="0"/>
                    <w:snapToGrid w:val="0"/>
                    <w:ind w:right="-97" w:rightChars="-46"/>
                    <w:jc w:val="center"/>
                    <w:rPr>
                      <w:i/>
                      <w:iCs/>
                      <w:szCs w:val="21"/>
                      <w:u w:val="single"/>
                    </w:rPr>
                  </w:pPr>
                  <w:r>
                    <w:rPr>
                      <w:i/>
                      <w:iCs/>
                      <w:szCs w:val="21"/>
                      <w:u w:val="single"/>
                    </w:rPr>
                    <w:t>控制要求</w:t>
                  </w:r>
                </w:p>
              </w:tc>
              <w:tc>
                <w:tcPr>
                  <w:tcW w:w="2112" w:type="pct"/>
                  <w:noWrap w:val="0"/>
                  <w:vAlign w:val="center"/>
                </w:tcPr>
                <w:p w14:paraId="36830B6B">
                  <w:pPr>
                    <w:adjustRightInd w:val="0"/>
                    <w:snapToGrid w:val="0"/>
                    <w:ind w:right="-97" w:rightChars="-46"/>
                    <w:jc w:val="center"/>
                    <w:rPr>
                      <w:i/>
                      <w:iCs/>
                      <w:szCs w:val="21"/>
                      <w:u w:val="single"/>
                    </w:rPr>
                  </w:pPr>
                  <w:r>
                    <w:rPr>
                      <w:i/>
                      <w:iCs/>
                      <w:szCs w:val="21"/>
                      <w:u w:val="single"/>
                    </w:rPr>
                    <w:t>实施20蒸吨以上燃煤锅炉升级改造，推动秸秆禁烧和综合利用。</w:t>
                  </w:r>
                </w:p>
              </w:tc>
              <w:tc>
                <w:tcPr>
                  <w:tcW w:w="1374" w:type="pct"/>
                  <w:noWrap w:val="0"/>
                  <w:vAlign w:val="center"/>
                </w:tcPr>
                <w:p w14:paraId="09B081C0">
                  <w:pPr>
                    <w:adjustRightInd w:val="0"/>
                    <w:snapToGrid w:val="0"/>
                    <w:ind w:right="-97" w:rightChars="-46"/>
                    <w:jc w:val="center"/>
                    <w:rPr>
                      <w:rFonts w:hint="eastAsia"/>
                      <w:i/>
                      <w:iCs/>
                      <w:szCs w:val="21"/>
                      <w:u w:val="single"/>
                    </w:rPr>
                  </w:pPr>
                  <w:r>
                    <w:rPr>
                      <w:rFonts w:hint="eastAsia"/>
                      <w:i/>
                      <w:iCs/>
                      <w:szCs w:val="21"/>
                      <w:u w:val="single"/>
                    </w:rPr>
                    <w:t>本项目不涉及</w:t>
                  </w:r>
                </w:p>
              </w:tc>
              <w:tc>
                <w:tcPr>
                  <w:tcW w:w="459" w:type="pct"/>
                  <w:noWrap w:val="0"/>
                  <w:vAlign w:val="center"/>
                </w:tcPr>
                <w:p w14:paraId="6D9BF46C">
                  <w:pPr>
                    <w:adjustRightInd w:val="0"/>
                    <w:snapToGrid w:val="0"/>
                    <w:ind w:right="-97" w:rightChars="-46"/>
                    <w:jc w:val="center"/>
                    <w:rPr>
                      <w:i/>
                      <w:iCs/>
                      <w:szCs w:val="21"/>
                      <w:u w:val="single"/>
                    </w:rPr>
                  </w:pPr>
                </w:p>
              </w:tc>
            </w:tr>
            <w:tr w14:paraId="40D8955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vMerge w:val="continue"/>
                  <w:noWrap w:val="0"/>
                  <w:vAlign w:val="center"/>
                </w:tcPr>
                <w:p w14:paraId="5B62A9E7">
                  <w:pPr>
                    <w:adjustRightInd w:val="0"/>
                    <w:snapToGrid w:val="0"/>
                    <w:ind w:right="-97" w:rightChars="-46"/>
                    <w:jc w:val="center"/>
                    <w:rPr>
                      <w:i/>
                      <w:iCs/>
                      <w:szCs w:val="21"/>
                      <w:u w:val="single"/>
                    </w:rPr>
                  </w:pPr>
                </w:p>
              </w:tc>
              <w:tc>
                <w:tcPr>
                  <w:tcW w:w="503" w:type="pct"/>
                  <w:vMerge w:val="continue"/>
                  <w:noWrap w:val="0"/>
                  <w:vAlign w:val="center"/>
                </w:tcPr>
                <w:p w14:paraId="5E76FFC1">
                  <w:pPr>
                    <w:adjustRightInd w:val="0"/>
                    <w:snapToGrid w:val="0"/>
                    <w:ind w:right="-97" w:rightChars="-46"/>
                    <w:jc w:val="center"/>
                    <w:rPr>
                      <w:i/>
                      <w:iCs/>
                      <w:szCs w:val="21"/>
                      <w:u w:val="single"/>
                    </w:rPr>
                  </w:pPr>
                </w:p>
              </w:tc>
              <w:tc>
                <w:tcPr>
                  <w:tcW w:w="2112" w:type="pct"/>
                  <w:noWrap w:val="0"/>
                  <w:vAlign w:val="center"/>
                </w:tcPr>
                <w:p w14:paraId="5A05D9A9">
                  <w:pPr>
                    <w:adjustRightInd w:val="0"/>
                    <w:snapToGrid w:val="0"/>
                    <w:ind w:right="-97" w:rightChars="-46"/>
                    <w:jc w:val="center"/>
                    <w:rPr>
                      <w:i/>
                      <w:iCs/>
                      <w:szCs w:val="21"/>
                      <w:u w:val="single"/>
                    </w:rPr>
                  </w:pPr>
                  <w:r>
                    <w:rPr>
                      <w:i/>
                      <w:iCs/>
                      <w:szCs w:val="21"/>
                      <w:u w:val="single"/>
                    </w:rPr>
                    <w:t>全面推行清洁生产，加强重点企业清洁生产审核，推进重点行业改造生产流程。</w:t>
                  </w:r>
                </w:p>
              </w:tc>
              <w:tc>
                <w:tcPr>
                  <w:tcW w:w="1374" w:type="pct"/>
                  <w:noWrap w:val="0"/>
                  <w:vAlign w:val="center"/>
                </w:tcPr>
                <w:p w14:paraId="1A6C194B">
                  <w:pPr>
                    <w:adjustRightInd w:val="0"/>
                    <w:snapToGrid w:val="0"/>
                    <w:ind w:right="-97" w:rightChars="-46"/>
                    <w:jc w:val="center"/>
                    <w:rPr>
                      <w:rFonts w:hint="eastAsia"/>
                      <w:i/>
                      <w:iCs/>
                      <w:szCs w:val="21"/>
                      <w:u w:val="single"/>
                    </w:rPr>
                  </w:pPr>
                  <w:r>
                    <w:rPr>
                      <w:rFonts w:hint="eastAsia"/>
                      <w:i/>
                      <w:iCs/>
                      <w:szCs w:val="21"/>
                      <w:u w:val="single"/>
                    </w:rPr>
                    <w:t>本项目不属于重点行业</w:t>
                  </w:r>
                </w:p>
              </w:tc>
              <w:tc>
                <w:tcPr>
                  <w:tcW w:w="459" w:type="pct"/>
                  <w:noWrap w:val="0"/>
                  <w:vAlign w:val="center"/>
                </w:tcPr>
                <w:p w14:paraId="672C60C8">
                  <w:pPr>
                    <w:adjustRightInd w:val="0"/>
                    <w:snapToGrid w:val="0"/>
                    <w:ind w:right="-97" w:rightChars="-46"/>
                    <w:jc w:val="center"/>
                    <w:rPr>
                      <w:i/>
                      <w:iCs/>
                      <w:szCs w:val="21"/>
                      <w:u w:val="single"/>
                    </w:rPr>
                  </w:pPr>
                </w:p>
              </w:tc>
            </w:tr>
            <w:tr w14:paraId="7DB964E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vMerge w:val="continue"/>
                  <w:noWrap w:val="0"/>
                  <w:vAlign w:val="center"/>
                </w:tcPr>
                <w:p w14:paraId="55B7A6CF">
                  <w:pPr>
                    <w:adjustRightInd w:val="0"/>
                    <w:snapToGrid w:val="0"/>
                    <w:ind w:right="-97" w:rightChars="-46"/>
                    <w:jc w:val="center"/>
                    <w:rPr>
                      <w:i/>
                      <w:iCs/>
                      <w:szCs w:val="21"/>
                      <w:u w:val="single"/>
                    </w:rPr>
                  </w:pPr>
                </w:p>
              </w:tc>
              <w:tc>
                <w:tcPr>
                  <w:tcW w:w="503" w:type="pct"/>
                  <w:vMerge w:val="continue"/>
                  <w:noWrap w:val="0"/>
                  <w:vAlign w:val="center"/>
                </w:tcPr>
                <w:p w14:paraId="38BED7B0">
                  <w:pPr>
                    <w:adjustRightInd w:val="0"/>
                    <w:snapToGrid w:val="0"/>
                    <w:ind w:right="-97" w:rightChars="-46"/>
                    <w:jc w:val="center"/>
                    <w:rPr>
                      <w:i/>
                      <w:iCs/>
                      <w:szCs w:val="21"/>
                      <w:u w:val="single"/>
                    </w:rPr>
                  </w:pPr>
                </w:p>
              </w:tc>
              <w:tc>
                <w:tcPr>
                  <w:tcW w:w="2112" w:type="pct"/>
                  <w:noWrap w:val="0"/>
                  <w:vAlign w:val="center"/>
                </w:tcPr>
                <w:p w14:paraId="663A1499">
                  <w:pPr>
                    <w:adjustRightInd w:val="0"/>
                    <w:snapToGrid w:val="0"/>
                    <w:ind w:right="-97" w:rightChars="-46"/>
                    <w:jc w:val="center"/>
                    <w:rPr>
                      <w:i/>
                      <w:iCs/>
                      <w:szCs w:val="21"/>
                      <w:u w:val="single"/>
                    </w:rPr>
                  </w:pPr>
                  <w:r>
                    <w:rPr>
                      <w:i/>
                      <w:iCs/>
                      <w:szCs w:val="21"/>
                      <w:u w:val="single"/>
                    </w:rPr>
                    <w:t>加快产业园区绿色化循环化改造，建设绿色低碳的交通网络、建筑体系和工业体系，从源头减少能耗、物耗和污染物排放。</w:t>
                  </w:r>
                </w:p>
              </w:tc>
              <w:tc>
                <w:tcPr>
                  <w:tcW w:w="1374" w:type="pct"/>
                  <w:noWrap w:val="0"/>
                  <w:vAlign w:val="center"/>
                </w:tcPr>
                <w:p w14:paraId="00DFBA8A">
                  <w:pPr>
                    <w:adjustRightInd w:val="0"/>
                    <w:snapToGrid w:val="0"/>
                    <w:ind w:right="-97" w:rightChars="-46"/>
                    <w:jc w:val="center"/>
                    <w:rPr>
                      <w:rFonts w:hint="eastAsia"/>
                      <w:i/>
                      <w:iCs/>
                      <w:szCs w:val="21"/>
                      <w:u w:val="single"/>
                    </w:rPr>
                  </w:pPr>
                  <w:r>
                    <w:rPr>
                      <w:rFonts w:hint="eastAsia"/>
                      <w:i/>
                      <w:iCs/>
                      <w:szCs w:val="21"/>
                      <w:u w:val="single"/>
                    </w:rPr>
                    <w:t>项目不涉及</w:t>
                  </w:r>
                </w:p>
              </w:tc>
              <w:tc>
                <w:tcPr>
                  <w:tcW w:w="459" w:type="pct"/>
                  <w:noWrap w:val="0"/>
                  <w:vAlign w:val="center"/>
                </w:tcPr>
                <w:p w14:paraId="2B2EF8F2">
                  <w:pPr>
                    <w:adjustRightInd w:val="0"/>
                    <w:snapToGrid w:val="0"/>
                    <w:ind w:right="-97" w:rightChars="-46"/>
                    <w:jc w:val="center"/>
                    <w:rPr>
                      <w:i/>
                      <w:iCs/>
                      <w:szCs w:val="21"/>
                      <w:u w:val="single"/>
                    </w:rPr>
                  </w:pPr>
                </w:p>
              </w:tc>
            </w:tr>
            <w:tr w14:paraId="64441AD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vMerge w:val="restart"/>
                  <w:noWrap w:val="0"/>
                  <w:vAlign w:val="center"/>
                </w:tcPr>
                <w:p w14:paraId="70A9D227">
                  <w:pPr>
                    <w:adjustRightInd w:val="0"/>
                    <w:snapToGrid w:val="0"/>
                    <w:ind w:right="-97" w:rightChars="-46"/>
                    <w:jc w:val="center"/>
                    <w:rPr>
                      <w:i/>
                      <w:iCs/>
                      <w:szCs w:val="21"/>
                      <w:u w:val="single"/>
                    </w:rPr>
                  </w:pPr>
                  <w:r>
                    <w:rPr>
                      <w:i/>
                      <w:iCs/>
                      <w:szCs w:val="21"/>
                      <w:u w:val="single"/>
                    </w:rPr>
                    <w:t>资源利用要求</w:t>
                  </w:r>
                </w:p>
              </w:tc>
              <w:tc>
                <w:tcPr>
                  <w:tcW w:w="503" w:type="pct"/>
                  <w:noWrap w:val="0"/>
                  <w:vAlign w:val="center"/>
                </w:tcPr>
                <w:p w14:paraId="6823F0C5">
                  <w:pPr>
                    <w:adjustRightInd w:val="0"/>
                    <w:snapToGrid w:val="0"/>
                    <w:ind w:right="-97" w:rightChars="-46"/>
                    <w:jc w:val="center"/>
                    <w:rPr>
                      <w:i/>
                      <w:iCs/>
                      <w:szCs w:val="21"/>
                      <w:u w:val="single"/>
                    </w:rPr>
                  </w:pPr>
                  <w:r>
                    <w:rPr>
                      <w:i/>
                      <w:iCs/>
                      <w:szCs w:val="21"/>
                      <w:u w:val="single"/>
                    </w:rPr>
                    <w:t>水资源</w:t>
                  </w:r>
                </w:p>
              </w:tc>
              <w:tc>
                <w:tcPr>
                  <w:tcW w:w="2112" w:type="pct"/>
                  <w:noWrap w:val="0"/>
                  <w:vAlign w:val="center"/>
                </w:tcPr>
                <w:p w14:paraId="1649E366">
                  <w:pPr>
                    <w:adjustRightInd w:val="0"/>
                    <w:snapToGrid w:val="0"/>
                    <w:ind w:right="-97" w:rightChars="-46"/>
                    <w:jc w:val="center"/>
                    <w:rPr>
                      <w:i/>
                      <w:iCs/>
                      <w:szCs w:val="21"/>
                      <w:u w:val="single"/>
                    </w:rPr>
                  </w:pPr>
                  <w:r>
                    <w:rPr>
                      <w:i/>
                      <w:iCs/>
                      <w:szCs w:val="21"/>
                      <w:u w:val="single"/>
                    </w:rPr>
                    <w:t>2025年用水量控制在30.20亿立方米内，2035年用水量控制在34.5亿立方米。</w:t>
                  </w:r>
                </w:p>
              </w:tc>
              <w:tc>
                <w:tcPr>
                  <w:tcW w:w="1374" w:type="pct"/>
                  <w:noWrap w:val="0"/>
                  <w:vAlign w:val="center"/>
                </w:tcPr>
                <w:p w14:paraId="2FA6BDFF">
                  <w:pPr>
                    <w:adjustRightInd w:val="0"/>
                    <w:snapToGrid w:val="0"/>
                    <w:ind w:right="-97" w:rightChars="-46"/>
                    <w:jc w:val="center"/>
                    <w:rPr>
                      <w:rFonts w:hint="eastAsia"/>
                      <w:i/>
                      <w:iCs/>
                      <w:szCs w:val="21"/>
                      <w:u w:val="single"/>
                    </w:rPr>
                  </w:pPr>
                  <w:r>
                    <w:rPr>
                      <w:rFonts w:hint="eastAsia"/>
                      <w:i/>
                      <w:iCs/>
                      <w:szCs w:val="21"/>
                      <w:u w:val="single"/>
                    </w:rPr>
                    <w:t>本项目研磨冷却水循环使用，</w:t>
                  </w:r>
                  <w:r>
                    <w:rPr>
                      <w:rFonts w:hint="eastAsia"/>
                      <w:i/>
                      <w:iCs/>
                      <w:szCs w:val="21"/>
                      <w:highlight w:val="none"/>
                      <w:u w:val="single"/>
                    </w:rPr>
                    <w:t>生活用水及实验设备清洗用水量较小</w:t>
                  </w:r>
                </w:p>
              </w:tc>
              <w:tc>
                <w:tcPr>
                  <w:tcW w:w="459" w:type="pct"/>
                  <w:noWrap w:val="0"/>
                  <w:vAlign w:val="center"/>
                </w:tcPr>
                <w:p w14:paraId="505CC3AD">
                  <w:pPr>
                    <w:adjustRightInd w:val="0"/>
                    <w:snapToGrid w:val="0"/>
                    <w:ind w:right="-97" w:rightChars="-46"/>
                    <w:jc w:val="center"/>
                    <w:rPr>
                      <w:rFonts w:hint="eastAsia"/>
                      <w:i/>
                      <w:iCs/>
                      <w:szCs w:val="21"/>
                      <w:u w:val="single"/>
                    </w:rPr>
                  </w:pPr>
                  <w:r>
                    <w:rPr>
                      <w:rFonts w:hint="eastAsia"/>
                      <w:i/>
                      <w:iCs/>
                      <w:szCs w:val="21"/>
                      <w:u w:val="single"/>
                    </w:rPr>
                    <w:t>符合</w:t>
                  </w:r>
                </w:p>
              </w:tc>
            </w:tr>
            <w:tr w14:paraId="563F912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vMerge w:val="continue"/>
                  <w:noWrap w:val="0"/>
                  <w:vAlign w:val="center"/>
                </w:tcPr>
                <w:p w14:paraId="65369884">
                  <w:pPr>
                    <w:adjustRightInd w:val="0"/>
                    <w:snapToGrid w:val="0"/>
                    <w:ind w:right="-97" w:rightChars="-46"/>
                    <w:jc w:val="center"/>
                    <w:rPr>
                      <w:i/>
                      <w:iCs/>
                      <w:szCs w:val="21"/>
                      <w:u w:val="single"/>
                    </w:rPr>
                  </w:pPr>
                </w:p>
              </w:tc>
              <w:tc>
                <w:tcPr>
                  <w:tcW w:w="503" w:type="pct"/>
                  <w:noWrap w:val="0"/>
                  <w:vAlign w:val="center"/>
                </w:tcPr>
                <w:p w14:paraId="24877D95">
                  <w:pPr>
                    <w:adjustRightInd w:val="0"/>
                    <w:snapToGrid w:val="0"/>
                    <w:ind w:right="-97" w:rightChars="-46"/>
                    <w:jc w:val="center"/>
                    <w:rPr>
                      <w:i/>
                      <w:iCs/>
                      <w:szCs w:val="21"/>
                      <w:u w:val="single"/>
                    </w:rPr>
                  </w:pPr>
                  <w:r>
                    <w:rPr>
                      <w:rFonts w:hint="eastAsia"/>
                      <w:i/>
                      <w:iCs/>
                      <w:szCs w:val="21"/>
                      <w:u w:val="single"/>
                    </w:rPr>
                    <w:t>土地资</w:t>
                  </w:r>
                  <w:r>
                    <w:rPr>
                      <w:i/>
                      <w:iCs/>
                      <w:szCs w:val="21"/>
                      <w:u w:val="single"/>
                    </w:rPr>
                    <w:t>源</w:t>
                  </w:r>
                </w:p>
              </w:tc>
              <w:tc>
                <w:tcPr>
                  <w:tcW w:w="2112" w:type="pct"/>
                  <w:noWrap w:val="0"/>
                  <w:vAlign w:val="center"/>
                </w:tcPr>
                <w:p w14:paraId="40C916F3">
                  <w:pPr>
                    <w:adjustRightInd w:val="0"/>
                    <w:snapToGrid w:val="0"/>
                    <w:ind w:right="-97" w:rightChars="-46"/>
                    <w:jc w:val="center"/>
                    <w:rPr>
                      <w:i/>
                      <w:iCs/>
                      <w:szCs w:val="21"/>
                      <w:u w:val="single"/>
                    </w:rPr>
                  </w:pPr>
                  <w:r>
                    <w:rPr>
                      <w:i/>
                      <w:iCs/>
                      <w:szCs w:val="21"/>
                      <w:u w:val="single"/>
                    </w:rPr>
                    <w:t>2025年耕地保有量不低于17858.88平方千米；永久基本农田保护面积不低于14766.90平方千米；城镇开发边界控制在1475.54平方千米以内。</w:t>
                  </w:r>
                </w:p>
              </w:tc>
              <w:tc>
                <w:tcPr>
                  <w:tcW w:w="1374" w:type="pct"/>
                  <w:noWrap w:val="0"/>
                  <w:vAlign w:val="center"/>
                </w:tcPr>
                <w:p w14:paraId="25661160">
                  <w:pPr>
                    <w:adjustRightInd w:val="0"/>
                    <w:snapToGrid w:val="0"/>
                    <w:ind w:right="-97" w:rightChars="-46"/>
                    <w:jc w:val="center"/>
                    <w:rPr>
                      <w:rFonts w:hint="eastAsia"/>
                      <w:i/>
                      <w:iCs/>
                      <w:szCs w:val="21"/>
                      <w:u w:val="single"/>
                    </w:rPr>
                  </w:pPr>
                  <w:r>
                    <w:rPr>
                      <w:rFonts w:hint="eastAsia"/>
                      <w:i/>
                      <w:iCs/>
                      <w:szCs w:val="21"/>
                      <w:u w:val="single"/>
                    </w:rPr>
                    <w:t>本项目位于吉兴产业园内，不占用耕地及永久基本农田</w:t>
                  </w:r>
                </w:p>
              </w:tc>
              <w:tc>
                <w:tcPr>
                  <w:tcW w:w="459" w:type="pct"/>
                  <w:noWrap w:val="0"/>
                  <w:vAlign w:val="center"/>
                </w:tcPr>
                <w:p w14:paraId="48EC6838">
                  <w:pPr>
                    <w:adjustRightInd w:val="0"/>
                    <w:snapToGrid w:val="0"/>
                    <w:ind w:right="-97" w:rightChars="-46"/>
                    <w:jc w:val="center"/>
                    <w:rPr>
                      <w:rFonts w:hint="eastAsia"/>
                      <w:i/>
                      <w:iCs/>
                      <w:szCs w:val="21"/>
                      <w:u w:val="single"/>
                    </w:rPr>
                  </w:pPr>
                  <w:r>
                    <w:rPr>
                      <w:rFonts w:hint="eastAsia"/>
                      <w:i/>
                      <w:iCs/>
                      <w:szCs w:val="21"/>
                      <w:u w:val="single"/>
                    </w:rPr>
                    <w:t>符合</w:t>
                  </w:r>
                </w:p>
              </w:tc>
            </w:tr>
            <w:tr w14:paraId="040EBC8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vMerge w:val="continue"/>
                  <w:noWrap w:val="0"/>
                  <w:vAlign w:val="center"/>
                </w:tcPr>
                <w:p w14:paraId="1C81988F">
                  <w:pPr>
                    <w:adjustRightInd w:val="0"/>
                    <w:snapToGrid w:val="0"/>
                    <w:ind w:right="-97" w:rightChars="-46"/>
                    <w:jc w:val="center"/>
                    <w:rPr>
                      <w:i/>
                      <w:iCs/>
                      <w:szCs w:val="21"/>
                      <w:u w:val="single"/>
                    </w:rPr>
                  </w:pPr>
                </w:p>
              </w:tc>
              <w:tc>
                <w:tcPr>
                  <w:tcW w:w="503" w:type="pct"/>
                  <w:noWrap w:val="0"/>
                  <w:vAlign w:val="center"/>
                </w:tcPr>
                <w:p w14:paraId="0C31622B">
                  <w:pPr>
                    <w:adjustRightInd w:val="0"/>
                    <w:snapToGrid w:val="0"/>
                    <w:ind w:right="-97" w:rightChars="-46"/>
                    <w:jc w:val="center"/>
                    <w:rPr>
                      <w:rFonts w:hint="eastAsia"/>
                      <w:i/>
                      <w:iCs/>
                      <w:szCs w:val="21"/>
                      <w:u w:val="single"/>
                    </w:rPr>
                  </w:pPr>
                  <w:r>
                    <w:rPr>
                      <w:rFonts w:hint="eastAsia"/>
                      <w:i/>
                      <w:iCs/>
                      <w:szCs w:val="21"/>
                      <w:u w:val="single"/>
                    </w:rPr>
                    <w:t>能源</w:t>
                  </w:r>
                </w:p>
              </w:tc>
              <w:tc>
                <w:tcPr>
                  <w:tcW w:w="2112" w:type="pct"/>
                  <w:noWrap w:val="0"/>
                  <w:vAlign w:val="center"/>
                </w:tcPr>
                <w:p w14:paraId="679E032B">
                  <w:pPr>
                    <w:adjustRightInd w:val="0"/>
                    <w:snapToGrid w:val="0"/>
                    <w:ind w:right="-97" w:rightChars="-46"/>
                    <w:jc w:val="center"/>
                    <w:rPr>
                      <w:i/>
                      <w:iCs/>
                      <w:szCs w:val="21"/>
                      <w:u w:val="single"/>
                    </w:rPr>
                  </w:pPr>
                  <w:r>
                    <w:rPr>
                      <w:i/>
                      <w:iCs/>
                      <w:szCs w:val="21"/>
                      <w:u w:val="single"/>
                    </w:rPr>
                    <w:t>2025年，煤炭消费总量控制在2711万吨以内。</w:t>
                  </w:r>
                </w:p>
              </w:tc>
              <w:tc>
                <w:tcPr>
                  <w:tcW w:w="1374" w:type="pct"/>
                  <w:noWrap w:val="0"/>
                  <w:vAlign w:val="center"/>
                </w:tcPr>
                <w:p w14:paraId="13BA910D">
                  <w:pPr>
                    <w:adjustRightInd w:val="0"/>
                    <w:snapToGrid w:val="0"/>
                    <w:ind w:right="-97" w:rightChars="-46"/>
                    <w:jc w:val="center"/>
                    <w:rPr>
                      <w:rFonts w:hint="eastAsia"/>
                      <w:i/>
                      <w:iCs/>
                      <w:szCs w:val="21"/>
                      <w:u w:val="single"/>
                    </w:rPr>
                  </w:pPr>
                  <w:r>
                    <w:rPr>
                      <w:rFonts w:hint="eastAsia"/>
                      <w:i/>
                      <w:iCs/>
                      <w:szCs w:val="21"/>
                      <w:u w:val="single"/>
                    </w:rPr>
                    <w:t>本项目生产用热为电加热，生活供暖依托园区地源热泵，不涉及煤炭消费</w:t>
                  </w:r>
                </w:p>
              </w:tc>
              <w:tc>
                <w:tcPr>
                  <w:tcW w:w="459" w:type="pct"/>
                  <w:noWrap w:val="0"/>
                  <w:vAlign w:val="center"/>
                </w:tcPr>
                <w:p w14:paraId="7CE5021F">
                  <w:pPr>
                    <w:adjustRightInd w:val="0"/>
                    <w:snapToGrid w:val="0"/>
                    <w:ind w:right="-97" w:rightChars="-46"/>
                    <w:jc w:val="center"/>
                    <w:rPr>
                      <w:i/>
                      <w:iCs/>
                      <w:szCs w:val="21"/>
                      <w:u w:val="single"/>
                    </w:rPr>
                  </w:pPr>
                  <w:r>
                    <w:rPr>
                      <w:rFonts w:hint="eastAsia"/>
                      <w:i/>
                      <w:iCs/>
                      <w:szCs w:val="21"/>
                      <w:u w:val="single"/>
                    </w:rPr>
                    <w:t>符合</w:t>
                  </w:r>
                </w:p>
              </w:tc>
            </w:tr>
            <w:tr w14:paraId="5D839AE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vMerge w:val="continue"/>
                  <w:noWrap w:val="0"/>
                  <w:vAlign w:val="center"/>
                </w:tcPr>
                <w:p w14:paraId="09B0933C">
                  <w:pPr>
                    <w:adjustRightInd w:val="0"/>
                    <w:snapToGrid w:val="0"/>
                    <w:ind w:right="-97" w:rightChars="-46"/>
                    <w:jc w:val="center"/>
                    <w:rPr>
                      <w:i/>
                      <w:iCs/>
                      <w:szCs w:val="21"/>
                      <w:u w:val="single"/>
                    </w:rPr>
                  </w:pPr>
                </w:p>
              </w:tc>
              <w:tc>
                <w:tcPr>
                  <w:tcW w:w="503" w:type="pct"/>
                  <w:noWrap w:val="0"/>
                  <w:vAlign w:val="center"/>
                </w:tcPr>
                <w:p w14:paraId="31AD9DA9">
                  <w:pPr>
                    <w:adjustRightInd w:val="0"/>
                    <w:snapToGrid w:val="0"/>
                    <w:ind w:right="-97" w:rightChars="-46"/>
                    <w:jc w:val="center"/>
                    <w:rPr>
                      <w:rFonts w:hint="eastAsia"/>
                      <w:i/>
                      <w:iCs/>
                      <w:szCs w:val="21"/>
                      <w:u w:val="single"/>
                    </w:rPr>
                  </w:pPr>
                  <w:r>
                    <w:rPr>
                      <w:rFonts w:hint="eastAsia"/>
                      <w:i/>
                      <w:iCs/>
                      <w:szCs w:val="21"/>
                      <w:u w:val="single"/>
                    </w:rPr>
                    <w:t>其他</w:t>
                  </w:r>
                </w:p>
              </w:tc>
              <w:tc>
                <w:tcPr>
                  <w:tcW w:w="2112" w:type="pct"/>
                  <w:noWrap w:val="0"/>
                  <w:vAlign w:val="center"/>
                </w:tcPr>
                <w:p w14:paraId="79A035EB">
                  <w:pPr>
                    <w:adjustRightInd w:val="0"/>
                    <w:snapToGrid w:val="0"/>
                    <w:ind w:right="-97" w:rightChars="-46"/>
                    <w:jc w:val="center"/>
                    <w:rPr>
                      <w:i/>
                      <w:iCs/>
                      <w:szCs w:val="21"/>
                      <w:u w:val="single"/>
                    </w:rPr>
                  </w:pPr>
                  <w:r>
                    <w:rPr>
                      <w:i/>
                      <w:iCs/>
                      <w:szCs w:val="21"/>
                      <w:u w:val="single"/>
                    </w:rPr>
                    <w:t>探索构建统一高效的环境产品交易体系，积极推进排污权、用水权、碳排放交易，激发各类市场主体绿色发展内生动力。健全充分反映资源稀缺程度的用水、用电价格，体现环境损害成本的污水、垃圾处理价格，将生态环境成本纳入经济运行成本。推行生活垃圾分类。构建线上线下融合的废旧资源回收和循环利用体系，扩大生产者责任延伸制范围，动态更新产品回收名录，提高废旧资源再生利用水平。提高工业固体废物综合利用水平。发展循环经济。全面建立资源高效利用制度机制，健全资源节约集约循环利用政策体系，积极推进循环经济产业园建设。发展节能环保产业，提升节能环保技术、现代装备和服务水平。积极开发新能源和可再生能源，建立温室气体排放检测制度，构建以循环经济为主体的生态产业体系，培育以低碳为特征的循环经济增长点。</w:t>
                  </w:r>
                </w:p>
              </w:tc>
              <w:tc>
                <w:tcPr>
                  <w:tcW w:w="1374" w:type="pct"/>
                  <w:noWrap w:val="0"/>
                  <w:vAlign w:val="center"/>
                </w:tcPr>
                <w:p w14:paraId="7458D580">
                  <w:pPr>
                    <w:adjustRightInd w:val="0"/>
                    <w:snapToGrid w:val="0"/>
                    <w:ind w:right="-97" w:rightChars="-46"/>
                    <w:jc w:val="center"/>
                    <w:rPr>
                      <w:rFonts w:hint="eastAsia"/>
                      <w:i/>
                      <w:iCs/>
                      <w:szCs w:val="21"/>
                      <w:u w:val="single"/>
                    </w:rPr>
                  </w:pPr>
                  <w:r>
                    <w:rPr>
                      <w:rFonts w:hint="eastAsia"/>
                      <w:i/>
                      <w:iCs/>
                      <w:kern w:val="0"/>
                      <w:szCs w:val="21"/>
                      <w:u w:val="single"/>
                    </w:rPr>
                    <w:t>本项目一般固体废物及危险废物均妥善处理</w:t>
                  </w:r>
                  <w:r>
                    <w:rPr>
                      <w:rFonts w:hint="eastAsia"/>
                      <w:i/>
                      <w:iCs/>
                      <w:szCs w:val="21"/>
                      <w:u w:val="single"/>
                    </w:rPr>
                    <w:t>。</w:t>
                  </w:r>
                </w:p>
              </w:tc>
              <w:tc>
                <w:tcPr>
                  <w:tcW w:w="459" w:type="pct"/>
                  <w:noWrap w:val="0"/>
                  <w:vAlign w:val="center"/>
                </w:tcPr>
                <w:p w14:paraId="173E95CB">
                  <w:pPr>
                    <w:adjustRightInd w:val="0"/>
                    <w:snapToGrid w:val="0"/>
                    <w:ind w:right="-97" w:rightChars="-46"/>
                    <w:jc w:val="center"/>
                    <w:rPr>
                      <w:rFonts w:hint="eastAsia"/>
                      <w:i/>
                      <w:iCs/>
                      <w:szCs w:val="21"/>
                      <w:u w:val="single"/>
                    </w:rPr>
                  </w:pPr>
                  <w:r>
                    <w:rPr>
                      <w:rFonts w:hint="eastAsia"/>
                      <w:i/>
                      <w:iCs/>
                      <w:szCs w:val="21"/>
                      <w:u w:val="single"/>
                    </w:rPr>
                    <w:t>符合</w:t>
                  </w:r>
                </w:p>
              </w:tc>
            </w:tr>
          </w:tbl>
          <w:p w14:paraId="2AF7A96A">
            <w:pPr>
              <w:adjustRightInd w:val="0"/>
              <w:snapToGrid w:val="0"/>
              <w:ind w:firstLine="480" w:firstLineChars="200"/>
              <w:rPr>
                <w:i/>
                <w:iCs/>
                <w:kern w:val="0"/>
                <w:sz w:val="24"/>
                <w:u w:val="single"/>
              </w:rPr>
            </w:pPr>
          </w:p>
          <w:p w14:paraId="1A8F13FA">
            <w:pPr>
              <w:autoSpaceDE w:val="0"/>
              <w:autoSpaceDN w:val="0"/>
              <w:adjustRightInd w:val="0"/>
              <w:snapToGrid w:val="0"/>
              <w:spacing w:line="360" w:lineRule="auto"/>
              <w:ind w:firstLine="480" w:firstLineChars="200"/>
              <w:rPr>
                <w:i/>
                <w:iCs/>
                <w:kern w:val="0"/>
                <w:sz w:val="24"/>
                <w:u w:val="single"/>
              </w:rPr>
            </w:pPr>
            <w:r>
              <w:rPr>
                <w:i/>
                <w:iCs/>
                <w:kern w:val="0"/>
                <w:sz w:val="24"/>
                <w:u w:val="single"/>
              </w:rPr>
              <w:t>③与长春北湖科技开发区</w:t>
            </w:r>
            <w:r>
              <w:rPr>
                <w:rFonts w:hint="eastAsia"/>
                <w:i/>
                <w:iCs/>
                <w:kern w:val="0"/>
                <w:sz w:val="24"/>
                <w:u w:val="single"/>
              </w:rPr>
              <w:t>重点管控单元</w:t>
            </w:r>
            <w:r>
              <w:rPr>
                <w:i/>
                <w:iCs/>
                <w:kern w:val="0"/>
                <w:sz w:val="24"/>
                <w:u w:val="single"/>
              </w:rPr>
              <w:t>符合性分析</w:t>
            </w:r>
          </w:p>
          <w:p w14:paraId="4B6468FB">
            <w:pPr>
              <w:autoSpaceDE w:val="0"/>
              <w:autoSpaceDN w:val="0"/>
              <w:adjustRightInd w:val="0"/>
              <w:snapToGrid w:val="0"/>
              <w:spacing w:line="360" w:lineRule="auto"/>
              <w:ind w:firstLine="480" w:firstLineChars="200"/>
              <w:rPr>
                <w:i/>
                <w:iCs/>
                <w:kern w:val="0"/>
                <w:sz w:val="24"/>
                <w:u w:val="single"/>
              </w:rPr>
            </w:pPr>
            <w:r>
              <w:rPr>
                <w:rFonts w:hint="eastAsia"/>
                <w:i/>
                <w:iCs/>
                <w:kern w:val="0"/>
                <w:sz w:val="24"/>
                <w:u w:val="single"/>
              </w:rPr>
              <w:t>本项目位于北湖科技开发区，属于重点管控单元，管控单元编号：</w:t>
            </w:r>
            <w:r>
              <w:rPr>
                <w:rFonts w:hint="eastAsia"/>
                <w:i/>
                <w:iCs/>
                <w:kern w:val="0"/>
                <w:sz w:val="24"/>
                <w:u w:val="single"/>
                <w:lang w:eastAsia="zh-CN"/>
              </w:rPr>
              <w:t>ZH22011320004</w:t>
            </w:r>
            <w:r>
              <w:rPr>
                <w:rFonts w:hint="eastAsia"/>
                <w:i/>
                <w:iCs/>
                <w:kern w:val="0"/>
                <w:sz w:val="24"/>
                <w:u w:val="single"/>
              </w:rPr>
              <w:t>，与管控单元准入要求符合性详见下表。</w:t>
            </w:r>
          </w:p>
          <w:p w14:paraId="0FE1F806">
            <w:pPr>
              <w:adjustRightInd w:val="0"/>
              <w:snapToGrid w:val="0"/>
              <w:jc w:val="center"/>
              <w:rPr>
                <w:b/>
                <w:i/>
                <w:iCs/>
                <w:sz w:val="24"/>
                <w:highlight w:val="yellow"/>
                <w:u w:val="single"/>
              </w:rPr>
            </w:pPr>
            <w:r>
              <w:rPr>
                <w:b/>
                <w:i/>
                <w:iCs/>
                <w:sz w:val="24"/>
                <w:u w:val="single"/>
              </w:rPr>
              <w:t>表1-</w:t>
            </w:r>
            <w:r>
              <w:rPr>
                <w:rFonts w:hint="eastAsia"/>
                <w:b/>
                <w:i/>
                <w:iCs/>
                <w:sz w:val="24"/>
                <w:u w:val="single"/>
                <w:lang w:val="en-US" w:eastAsia="zh-CN"/>
              </w:rPr>
              <w:t>4</w:t>
            </w:r>
            <w:r>
              <w:rPr>
                <w:b/>
                <w:i/>
                <w:iCs/>
                <w:sz w:val="24"/>
                <w:u w:val="single"/>
              </w:rPr>
              <w:t xml:space="preserve">  </w:t>
            </w:r>
            <w:r>
              <w:rPr>
                <w:rFonts w:hint="eastAsia"/>
                <w:b/>
                <w:i/>
                <w:iCs/>
                <w:sz w:val="24"/>
                <w:u w:val="single"/>
              </w:rPr>
              <w:t>重点管控单元</w:t>
            </w:r>
            <w:r>
              <w:rPr>
                <w:b/>
                <w:i/>
                <w:iCs/>
                <w:sz w:val="24"/>
                <w:u w:val="single"/>
              </w:rPr>
              <w:t>生态环境准入清单</w:t>
            </w:r>
          </w:p>
          <w:tbl>
            <w:tblPr>
              <w:tblStyle w:val="27"/>
              <w:tblW w:w="495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47"/>
              <w:gridCol w:w="807"/>
              <w:gridCol w:w="784"/>
              <w:gridCol w:w="386"/>
              <w:gridCol w:w="2867"/>
              <w:gridCol w:w="1573"/>
              <w:gridCol w:w="687"/>
            </w:tblGrid>
            <w:tr w14:paraId="2BE331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5" w:type="pct"/>
                  <w:tcBorders>
                    <w:top w:val="single" w:color="auto" w:sz="12" w:space="0"/>
                    <w:left w:val="nil"/>
                  </w:tcBorders>
                  <w:noWrap w:val="0"/>
                  <w:vAlign w:val="center"/>
                </w:tcPr>
                <w:p w14:paraId="79AED006">
                  <w:pPr>
                    <w:widowControl/>
                    <w:jc w:val="center"/>
                    <w:rPr>
                      <w:b/>
                      <w:i/>
                      <w:iCs/>
                      <w:kern w:val="0"/>
                      <w:szCs w:val="21"/>
                      <w:u w:val="single"/>
                    </w:rPr>
                  </w:pPr>
                  <w:r>
                    <w:rPr>
                      <w:b/>
                      <w:i/>
                      <w:iCs/>
                      <w:kern w:val="0"/>
                      <w:szCs w:val="21"/>
                      <w:u w:val="single"/>
                    </w:rPr>
                    <w:t>环境管控单元编码</w:t>
                  </w:r>
                </w:p>
              </w:tc>
              <w:tc>
                <w:tcPr>
                  <w:tcW w:w="513" w:type="pct"/>
                  <w:tcBorders>
                    <w:top w:val="single" w:color="auto" w:sz="12" w:space="0"/>
                  </w:tcBorders>
                  <w:noWrap w:val="0"/>
                  <w:vAlign w:val="center"/>
                </w:tcPr>
                <w:p w14:paraId="75B5A577">
                  <w:pPr>
                    <w:widowControl/>
                    <w:jc w:val="center"/>
                    <w:rPr>
                      <w:b/>
                      <w:i/>
                      <w:iCs/>
                      <w:kern w:val="0"/>
                      <w:szCs w:val="21"/>
                      <w:u w:val="single"/>
                    </w:rPr>
                  </w:pPr>
                  <w:r>
                    <w:rPr>
                      <w:b/>
                      <w:i/>
                      <w:iCs/>
                      <w:kern w:val="0"/>
                      <w:szCs w:val="21"/>
                      <w:u w:val="single"/>
                    </w:rPr>
                    <w:t>环境管控单元名称</w:t>
                  </w:r>
                </w:p>
              </w:tc>
              <w:tc>
                <w:tcPr>
                  <w:tcW w:w="499" w:type="pct"/>
                  <w:tcBorders>
                    <w:top w:val="single" w:color="auto" w:sz="12" w:space="0"/>
                    <w:right w:val="single" w:color="auto" w:sz="4" w:space="0"/>
                  </w:tcBorders>
                  <w:noWrap w:val="0"/>
                  <w:vAlign w:val="center"/>
                </w:tcPr>
                <w:p w14:paraId="4FAD8FDD">
                  <w:pPr>
                    <w:widowControl/>
                    <w:jc w:val="center"/>
                    <w:rPr>
                      <w:b/>
                      <w:i/>
                      <w:iCs/>
                      <w:kern w:val="0"/>
                      <w:szCs w:val="21"/>
                      <w:u w:val="single"/>
                    </w:rPr>
                  </w:pPr>
                  <w:r>
                    <w:rPr>
                      <w:b/>
                      <w:i/>
                      <w:iCs/>
                      <w:kern w:val="0"/>
                      <w:szCs w:val="21"/>
                      <w:u w:val="single"/>
                    </w:rPr>
                    <w:t>管控单元分类</w:t>
                  </w:r>
                </w:p>
              </w:tc>
              <w:tc>
                <w:tcPr>
                  <w:tcW w:w="246" w:type="pct"/>
                  <w:tcBorders>
                    <w:top w:val="single" w:color="auto" w:sz="12" w:space="0"/>
                    <w:left w:val="single" w:color="auto" w:sz="4" w:space="0"/>
                    <w:right w:val="single" w:color="auto" w:sz="4" w:space="0"/>
                  </w:tcBorders>
                  <w:noWrap w:val="0"/>
                  <w:vAlign w:val="center"/>
                </w:tcPr>
                <w:p w14:paraId="7585FA18">
                  <w:pPr>
                    <w:jc w:val="center"/>
                    <w:rPr>
                      <w:b/>
                      <w:i/>
                      <w:iCs/>
                      <w:kern w:val="0"/>
                      <w:szCs w:val="21"/>
                      <w:u w:val="single"/>
                    </w:rPr>
                  </w:pPr>
                  <w:r>
                    <w:rPr>
                      <w:b/>
                      <w:i/>
                      <w:iCs/>
                      <w:kern w:val="0"/>
                      <w:szCs w:val="21"/>
                      <w:u w:val="single"/>
                    </w:rPr>
                    <w:t>管控类型</w:t>
                  </w:r>
                </w:p>
              </w:tc>
              <w:tc>
                <w:tcPr>
                  <w:tcW w:w="1825" w:type="pct"/>
                  <w:tcBorders>
                    <w:top w:val="single" w:color="auto" w:sz="12" w:space="0"/>
                    <w:left w:val="single" w:color="auto" w:sz="4" w:space="0"/>
                    <w:right w:val="single" w:color="auto" w:sz="4" w:space="0"/>
                  </w:tcBorders>
                  <w:noWrap w:val="0"/>
                  <w:vAlign w:val="center"/>
                </w:tcPr>
                <w:p w14:paraId="1499C16E">
                  <w:pPr>
                    <w:jc w:val="center"/>
                    <w:rPr>
                      <w:b/>
                      <w:i/>
                      <w:iCs/>
                      <w:kern w:val="0"/>
                      <w:szCs w:val="21"/>
                      <w:u w:val="single"/>
                    </w:rPr>
                  </w:pPr>
                  <w:r>
                    <w:rPr>
                      <w:b/>
                      <w:i/>
                      <w:iCs/>
                      <w:kern w:val="0"/>
                      <w:szCs w:val="21"/>
                      <w:u w:val="single"/>
                    </w:rPr>
                    <w:t>管控要求</w:t>
                  </w:r>
                </w:p>
              </w:tc>
              <w:tc>
                <w:tcPr>
                  <w:tcW w:w="1001" w:type="pct"/>
                  <w:tcBorders>
                    <w:top w:val="single" w:color="auto" w:sz="12" w:space="0"/>
                    <w:left w:val="single" w:color="auto" w:sz="4" w:space="0"/>
                    <w:right w:val="single" w:color="auto" w:sz="4" w:space="0"/>
                  </w:tcBorders>
                  <w:noWrap w:val="0"/>
                  <w:vAlign w:val="center"/>
                </w:tcPr>
                <w:p w14:paraId="0257FB1A">
                  <w:pPr>
                    <w:jc w:val="center"/>
                    <w:rPr>
                      <w:b/>
                      <w:i/>
                      <w:iCs/>
                      <w:kern w:val="0"/>
                      <w:szCs w:val="21"/>
                      <w:u w:val="single"/>
                    </w:rPr>
                  </w:pPr>
                  <w:r>
                    <w:rPr>
                      <w:b/>
                      <w:i/>
                      <w:iCs/>
                      <w:kern w:val="0"/>
                      <w:szCs w:val="21"/>
                      <w:u w:val="single"/>
                    </w:rPr>
                    <w:t>本项目</w:t>
                  </w:r>
                </w:p>
              </w:tc>
              <w:tc>
                <w:tcPr>
                  <w:tcW w:w="438" w:type="pct"/>
                  <w:tcBorders>
                    <w:top w:val="single" w:color="auto" w:sz="12" w:space="0"/>
                    <w:left w:val="single" w:color="auto" w:sz="4" w:space="0"/>
                    <w:right w:val="nil"/>
                  </w:tcBorders>
                  <w:noWrap w:val="0"/>
                  <w:vAlign w:val="center"/>
                </w:tcPr>
                <w:p w14:paraId="320D91E7">
                  <w:pPr>
                    <w:jc w:val="center"/>
                    <w:rPr>
                      <w:b/>
                      <w:i/>
                      <w:iCs/>
                      <w:kern w:val="0"/>
                      <w:szCs w:val="21"/>
                      <w:u w:val="single"/>
                    </w:rPr>
                  </w:pPr>
                  <w:r>
                    <w:rPr>
                      <w:b/>
                      <w:i/>
                      <w:iCs/>
                      <w:kern w:val="0"/>
                      <w:szCs w:val="21"/>
                      <w:u w:val="single"/>
                    </w:rPr>
                    <w:t>符合性</w:t>
                  </w:r>
                </w:p>
              </w:tc>
            </w:tr>
            <w:tr w14:paraId="74A9AA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5" w:hRule="atLeast"/>
                <w:jc w:val="center"/>
              </w:trPr>
              <w:tc>
                <w:tcPr>
                  <w:tcW w:w="475" w:type="pct"/>
                  <w:vMerge w:val="restart"/>
                  <w:tcBorders>
                    <w:left w:val="nil"/>
                  </w:tcBorders>
                  <w:noWrap w:val="0"/>
                  <w:vAlign w:val="center"/>
                </w:tcPr>
                <w:p w14:paraId="449F446F">
                  <w:pPr>
                    <w:widowControl/>
                    <w:jc w:val="center"/>
                    <w:rPr>
                      <w:rFonts w:hint="eastAsia" w:eastAsia="宋体"/>
                      <w:b/>
                      <w:i/>
                      <w:iCs/>
                      <w:kern w:val="0"/>
                      <w:szCs w:val="21"/>
                      <w:u w:val="single"/>
                      <w:lang w:eastAsia="zh-CN"/>
                    </w:rPr>
                  </w:pPr>
                  <w:r>
                    <w:rPr>
                      <w:rFonts w:hint="eastAsia"/>
                      <w:i/>
                      <w:iCs/>
                      <w:szCs w:val="21"/>
                      <w:u w:val="single"/>
                      <w:lang w:eastAsia="zh-CN"/>
                    </w:rPr>
                    <w:t>ZH22011320004</w:t>
                  </w:r>
                </w:p>
              </w:tc>
              <w:tc>
                <w:tcPr>
                  <w:tcW w:w="513" w:type="pct"/>
                  <w:vMerge w:val="restart"/>
                  <w:noWrap w:val="0"/>
                  <w:vAlign w:val="center"/>
                </w:tcPr>
                <w:p w14:paraId="74FF4E30">
                  <w:pPr>
                    <w:widowControl/>
                    <w:jc w:val="center"/>
                    <w:rPr>
                      <w:b/>
                      <w:i/>
                      <w:iCs/>
                      <w:kern w:val="0"/>
                      <w:szCs w:val="21"/>
                      <w:u w:val="single"/>
                    </w:rPr>
                  </w:pPr>
                  <w:r>
                    <w:rPr>
                      <w:i/>
                      <w:iCs/>
                      <w:szCs w:val="21"/>
                      <w:u w:val="single"/>
                    </w:rPr>
                    <w:t>长春北湖科技开发区</w:t>
                  </w:r>
                </w:p>
              </w:tc>
              <w:tc>
                <w:tcPr>
                  <w:tcW w:w="499" w:type="pct"/>
                  <w:vMerge w:val="restart"/>
                  <w:tcBorders>
                    <w:right w:val="single" w:color="auto" w:sz="4" w:space="0"/>
                  </w:tcBorders>
                  <w:noWrap w:val="0"/>
                  <w:vAlign w:val="center"/>
                </w:tcPr>
                <w:p w14:paraId="63652516">
                  <w:pPr>
                    <w:widowControl/>
                    <w:jc w:val="center"/>
                    <w:rPr>
                      <w:b/>
                      <w:i/>
                      <w:iCs/>
                      <w:kern w:val="0"/>
                      <w:szCs w:val="21"/>
                      <w:u w:val="single"/>
                    </w:rPr>
                  </w:pPr>
                  <w:r>
                    <w:rPr>
                      <w:i/>
                      <w:iCs/>
                      <w:szCs w:val="21"/>
                      <w:u w:val="single"/>
                    </w:rPr>
                    <w:t>2-重点管控</w:t>
                  </w:r>
                </w:p>
              </w:tc>
              <w:tc>
                <w:tcPr>
                  <w:tcW w:w="246" w:type="pct"/>
                  <w:tcBorders>
                    <w:left w:val="single" w:color="auto" w:sz="4" w:space="0"/>
                    <w:right w:val="single" w:color="auto" w:sz="4" w:space="0"/>
                  </w:tcBorders>
                  <w:noWrap w:val="0"/>
                  <w:vAlign w:val="center"/>
                </w:tcPr>
                <w:p w14:paraId="2F160324">
                  <w:pPr>
                    <w:jc w:val="center"/>
                    <w:rPr>
                      <w:i/>
                      <w:iCs/>
                      <w:kern w:val="0"/>
                      <w:szCs w:val="21"/>
                      <w:u w:val="single"/>
                    </w:rPr>
                  </w:pPr>
                  <w:r>
                    <w:rPr>
                      <w:i/>
                      <w:iCs/>
                      <w:kern w:val="0"/>
                      <w:szCs w:val="21"/>
                      <w:u w:val="single"/>
                    </w:rPr>
                    <w:t>空间布局约束</w:t>
                  </w:r>
                </w:p>
              </w:tc>
              <w:tc>
                <w:tcPr>
                  <w:tcW w:w="1825" w:type="pct"/>
                  <w:tcBorders>
                    <w:left w:val="single" w:color="auto" w:sz="4" w:space="0"/>
                    <w:right w:val="single" w:color="auto" w:sz="4" w:space="0"/>
                  </w:tcBorders>
                  <w:noWrap w:val="0"/>
                  <w:vAlign w:val="center"/>
                </w:tcPr>
                <w:p w14:paraId="4A561767">
                  <w:pPr>
                    <w:jc w:val="center"/>
                    <w:rPr>
                      <w:i/>
                      <w:iCs/>
                      <w:kern w:val="0"/>
                      <w:szCs w:val="21"/>
                      <w:u w:val="single"/>
                    </w:rPr>
                  </w:pPr>
                  <w:r>
                    <w:rPr>
                      <w:i/>
                      <w:iCs/>
                      <w:kern w:val="0"/>
                      <w:szCs w:val="21"/>
                      <w:u w:val="single"/>
                    </w:rPr>
                    <w:t>1</w:t>
                  </w:r>
                  <w:r>
                    <w:rPr>
                      <w:rFonts w:hint="eastAsia"/>
                      <w:i/>
                      <w:iCs/>
                      <w:kern w:val="0"/>
                      <w:szCs w:val="21"/>
                      <w:u w:val="single"/>
                    </w:rPr>
                    <w:t>严格落实规划环评及其批复文件环境准入条件</w:t>
                  </w:r>
                  <w:r>
                    <w:rPr>
                      <w:i/>
                      <w:iCs/>
                      <w:kern w:val="0"/>
                      <w:szCs w:val="21"/>
                      <w:u w:val="single"/>
                    </w:rPr>
                    <w:t>。</w:t>
                  </w:r>
                </w:p>
                <w:p w14:paraId="17DC1C94">
                  <w:pPr>
                    <w:jc w:val="center"/>
                    <w:rPr>
                      <w:i/>
                      <w:iCs/>
                      <w:kern w:val="0"/>
                      <w:szCs w:val="21"/>
                      <w:u w:val="single"/>
                    </w:rPr>
                  </w:pPr>
                  <w:r>
                    <w:rPr>
                      <w:i/>
                      <w:iCs/>
                      <w:kern w:val="0"/>
                      <w:szCs w:val="21"/>
                      <w:u w:val="single"/>
                    </w:rPr>
                    <w:t>2禁止在化工园区外新建、扩建化工项目，未纳入国家《石化产业规划布局方案》的新建炼化项目一律不得建设。</w:t>
                  </w:r>
                </w:p>
                <w:p w14:paraId="41C9ECC8">
                  <w:pPr>
                    <w:jc w:val="center"/>
                    <w:rPr>
                      <w:i/>
                      <w:iCs/>
                      <w:kern w:val="0"/>
                      <w:szCs w:val="21"/>
                      <w:u w:val="single"/>
                    </w:rPr>
                  </w:pPr>
                  <w:r>
                    <w:rPr>
                      <w:i/>
                      <w:iCs/>
                      <w:kern w:val="0"/>
                      <w:szCs w:val="21"/>
                      <w:u w:val="single"/>
                    </w:rPr>
                    <w:t>3禁止含双对氯苯基三氯乙烷、三丁基锡、全氟辛酸及其盐类、全氟辛烷磺酸、红丹等有害物质的涂料；含苯类、苯酚、苯甲醛和二（三）氯甲烷的脱漆剂，立德粉，聚氯乙烯建筑防水接缝材料(焦油型)的化工材料产业。</w:t>
                  </w:r>
                </w:p>
                <w:p w14:paraId="333B2339">
                  <w:pPr>
                    <w:jc w:val="center"/>
                    <w:rPr>
                      <w:i/>
                      <w:iCs/>
                      <w:kern w:val="0"/>
                      <w:szCs w:val="21"/>
                      <w:u w:val="single"/>
                    </w:rPr>
                  </w:pPr>
                  <w:r>
                    <w:rPr>
                      <w:i/>
                      <w:iCs/>
                      <w:kern w:val="0"/>
                      <w:szCs w:val="21"/>
                      <w:u w:val="single"/>
                    </w:rPr>
                    <w:t>4禁止新建高毒、高残留以及对环境影响大的农药原药生产装置产业。</w:t>
                  </w:r>
                </w:p>
                <w:p w14:paraId="7EB2851D">
                  <w:pPr>
                    <w:jc w:val="center"/>
                    <w:rPr>
                      <w:i/>
                      <w:iCs/>
                      <w:kern w:val="0"/>
                      <w:szCs w:val="21"/>
                      <w:u w:val="single"/>
                    </w:rPr>
                  </w:pPr>
                  <w:r>
                    <w:rPr>
                      <w:i/>
                      <w:iCs/>
                      <w:kern w:val="0"/>
                      <w:szCs w:val="21"/>
                      <w:u w:val="single"/>
                    </w:rPr>
                    <w:t>5禁止造成恶臭污染的橡胶和塑料制品业及重金属污染的铅蓄电池行业。</w:t>
                  </w:r>
                </w:p>
              </w:tc>
              <w:tc>
                <w:tcPr>
                  <w:tcW w:w="1001" w:type="pct"/>
                  <w:tcBorders>
                    <w:left w:val="single" w:color="auto" w:sz="4" w:space="0"/>
                    <w:right w:val="single" w:color="auto" w:sz="4" w:space="0"/>
                  </w:tcBorders>
                  <w:noWrap w:val="0"/>
                  <w:vAlign w:val="center"/>
                </w:tcPr>
                <w:p w14:paraId="39BEA097">
                  <w:pPr>
                    <w:jc w:val="center"/>
                    <w:rPr>
                      <w:rFonts w:hint="eastAsia"/>
                      <w:i/>
                      <w:iCs/>
                      <w:szCs w:val="21"/>
                      <w:u w:val="single"/>
                    </w:rPr>
                  </w:pPr>
                  <w:r>
                    <w:rPr>
                      <w:rFonts w:hint="eastAsia"/>
                      <w:i/>
                      <w:iCs/>
                      <w:szCs w:val="21"/>
                      <w:u w:val="single"/>
                    </w:rPr>
                    <w:t>本项目为北湖科技开发区中的材料产业园，符合开发区产业定位，符合开发区规划布局要求。</w:t>
                  </w:r>
                </w:p>
              </w:tc>
              <w:tc>
                <w:tcPr>
                  <w:tcW w:w="438" w:type="pct"/>
                  <w:tcBorders>
                    <w:left w:val="single" w:color="auto" w:sz="4" w:space="0"/>
                    <w:right w:val="nil"/>
                  </w:tcBorders>
                  <w:noWrap w:val="0"/>
                  <w:vAlign w:val="center"/>
                </w:tcPr>
                <w:p w14:paraId="04C137DF">
                  <w:pPr>
                    <w:jc w:val="center"/>
                    <w:rPr>
                      <w:rFonts w:hint="eastAsia"/>
                      <w:bCs/>
                      <w:i/>
                      <w:iCs/>
                      <w:kern w:val="0"/>
                      <w:szCs w:val="21"/>
                      <w:u w:val="single"/>
                    </w:rPr>
                  </w:pPr>
                  <w:r>
                    <w:rPr>
                      <w:rFonts w:hint="eastAsia"/>
                      <w:bCs/>
                      <w:i/>
                      <w:iCs/>
                      <w:kern w:val="0"/>
                      <w:szCs w:val="21"/>
                      <w:u w:val="single"/>
                    </w:rPr>
                    <w:t>符合</w:t>
                  </w:r>
                </w:p>
              </w:tc>
            </w:tr>
            <w:tr w14:paraId="259200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75" w:type="pct"/>
                  <w:vMerge w:val="continue"/>
                  <w:tcBorders>
                    <w:left w:val="nil"/>
                  </w:tcBorders>
                  <w:noWrap w:val="0"/>
                  <w:vAlign w:val="center"/>
                </w:tcPr>
                <w:p w14:paraId="7093386B">
                  <w:pPr>
                    <w:widowControl/>
                    <w:jc w:val="center"/>
                    <w:rPr>
                      <w:i/>
                      <w:iCs/>
                      <w:color w:val="FF0000"/>
                      <w:szCs w:val="21"/>
                      <w:u w:val="single"/>
                    </w:rPr>
                  </w:pPr>
                </w:p>
              </w:tc>
              <w:tc>
                <w:tcPr>
                  <w:tcW w:w="513" w:type="pct"/>
                  <w:vMerge w:val="continue"/>
                  <w:noWrap w:val="0"/>
                  <w:vAlign w:val="center"/>
                </w:tcPr>
                <w:p w14:paraId="36C5548C">
                  <w:pPr>
                    <w:widowControl/>
                    <w:jc w:val="center"/>
                    <w:rPr>
                      <w:i/>
                      <w:iCs/>
                      <w:color w:val="FF0000"/>
                      <w:szCs w:val="21"/>
                      <w:u w:val="single"/>
                    </w:rPr>
                  </w:pPr>
                </w:p>
              </w:tc>
              <w:tc>
                <w:tcPr>
                  <w:tcW w:w="499" w:type="pct"/>
                  <w:vMerge w:val="continue"/>
                  <w:tcBorders>
                    <w:right w:val="single" w:color="auto" w:sz="4" w:space="0"/>
                  </w:tcBorders>
                  <w:noWrap w:val="0"/>
                  <w:vAlign w:val="center"/>
                </w:tcPr>
                <w:p w14:paraId="717336E3">
                  <w:pPr>
                    <w:widowControl/>
                    <w:jc w:val="center"/>
                    <w:rPr>
                      <w:i/>
                      <w:iCs/>
                      <w:color w:val="FF0000"/>
                      <w:szCs w:val="21"/>
                      <w:u w:val="single"/>
                    </w:rPr>
                  </w:pPr>
                </w:p>
              </w:tc>
              <w:tc>
                <w:tcPr>
                  <w:tcW w:w="246" w:type="pct"/>
                  <w:tcBorders>
                    <w:left w:val="single" w:color="auto" w:sz="4" w:space="0"/>
                    <w:right w:val="single" w:color="auto" w:sz="4" w:space="0"/>
                  </w:tcBorders>
                  <w:noWrap w:val="0"/>
                  <w:vAlign w:val="center"/>
                </w:tcPr>
                <w:p w14:paraId="448F22BE">
                  <w:pPr>
                    <w:jc w:val="center"/>
                    <w:rPr>
                      <w:i/>
                      <w:iCs/>
                      <w:color w:val="FF0000"/>
                      <w:szCs w:val="21"/>
                      <w:u w:val="single"/>
                    </w:rPr>
                  </w:pPr>
                  <w:r>
                    <w:rPr>
                      <w:i/>
                      <w:iCs/>
                      <w:kern w:val="0"/>
                      <w:szCs w:val="21"/>
                      <w:u w:val="single"/>
                    </w:rPr>
                    <w:t>污染物排放管控</w:t>
                  </w:r>
                </w:p>
              </w:tc>
              <w:tc>
                <w:tcPr>
                  <w:tcW w:w="1825" w:type="pct"/>
                  <w:tcBorders>
                    <w:left w:val="single" w:color="auto" w:sz="4" w:space="0"/>
                    <w:right w:val="single" w:color="auto" w:sz="4" w:space="0"/>
                  </w:tcBorders>
                  <w:noWrap w:val="0"/>
                  <w:vAlign w:val="center"/>
                </w:tcPr>
                <w:p w14:paraId="7B16BF6D">
                  <w:pPr>
                    <w:jc w:val="center"/>
                    <w:rPr>
                      <w:i/>
                      <w:iCs/>
                      <w:color w:val="000000"/>
                      <w:szCs w:val="21"/>
                      <w:u w:val="single"/>
                    </w:rPr>
                  </w:pPr>
                  <w:r>
                    <w:rPr>
                      <w:i/>
                      <w:iCs/>
                      <w:color w:val="000000"/>
                      <w:szCs w:val="21"/>
                      <w:u w:val="single"/>
                    </w:rPr>
                    <w:t>1工业涂装等涉及挥发性有机物排放的行业企业属于控制重点，应推广使用低（无）挥发性有机物含量的原辅材料，安装高效集气装置等措施，提升工艺废气、尾气收集处置率。</w:t>
                  </w:r>
                </w:p>
                <w:p w14:paraId="38FC2305">
                  <w:pPr>
                    <w:jc w:val="center"/>
                    <w:rPr>
                      <w:i/>
                      <w:iCs/>
                      <w:color w:val="000000"/>
                      <w:szCs w:val="21"/>
                      <w:u w:val="single"/>
                    </w:rPr>
                  </w:pPr>
                  <w:r>
                    <w:rPr>
                      <w:i/>
                      <w:iCs/>
                      <w:color w:val="000000"/>
                      <w:szCs w:val="21"/>
                      <w:u w:val="single"/>
                    </w:rPr>
                    <w:t>2重点行业污染治理升级改造，推进各类园区循环化改造。</w:t>
                  </w:r>
                </w:p>
                <w:p w14:paraId="6F5D9BB1">
                  <w:pPr>
                    <w:jc w:val="center"/>
                    <w:rPr>
                      <w:i/>
                      <w:iCs/>
                      <w:color w:val="000000"/>
                      <w:szCs w:val="21"/>
                      <w:u w:val="single"/>
                    </w:rPr>
                  </w:pPr>
                  <w:r>
                    <w:rPr>
                      <w:i/>
                      <w:iCs/>
                      <w:color w:val="000000"/>
                      <w:szCs w:val="21"/>
                      <w:u w:val="single"/>
                    </w:rPr>
                    <w:t>3一体推进重点行业大气污染深度治理与节能降碳，推动大型燃煤锅炉、钢铁、水泥等行业超低排放改造，推动重点行业、重点领域氮氧化物减排，探索开展大气污染物与温室气体排放协同控制改造提升工程试点。</w:t>
                  </w:r>
                </w:p>
                <w:p w14:paraId="170087D3">
                  <w:pPr>
                    <w:jc w:val="center"/>
                    <w:rPr>
                      <w:i/>
                      <w:iCs/>
                      <w:color w:val="FF0000"/>
                      <w:szCs w:val="21"/>
                      <w:u w:val="single"/>
                    </w:rPr>
                  </w:pPr>
                  <w:r>
                    <w:rPr>
                      <w:i/>
                      <w:iCs/>
                      <w:color w:val="000000"/>
                      <w:szCs w:val="21"/>
                      <w:u w:val="single"/>
                    </w:rPr>
                    <w:t>4执行《吉林省新污染物治理实施方案》相关要求，加强新污染物多环境介质协同治理，全面强化清洁生产和绿色制造。</w:t>
                  </w:r>
                </w:p>
              </w:tc>
              <w:tc>
                <w:tcPr>
                  <w:tcW w:w="1001" w:type="pct"/>
                  <w:tcBorders>
                    <w:left w:val="single" w:color="auto" w:sz="4" w:space="0"/>
                    <w:right w:val="single" w:color="auto" w:sz="4" w:space="0"/>
                  </w:tcBorders>
                  <w:noWrap w:val="0"/>
                  <w:vAlign w:val="center"/>
                </w:tcPr>
                <w:p w14:paraId="2DA600DE">
                  <w:pPr>
                    <w:jc w:val="center"/>
                    <w:rPr>
                      <w:i/>
                      <w:iCs/>
                      <w:szCs w:val="21"/>
                      <w:highlight w:val="yellow"/>
                      <w:u w:val="single"/>
                    </w:rPr>
                  </w:pPr>
                  <w:r>
                    <w:rPr>
                      <w:rFonts w:hint="eastAsia"/>
                      <w:i/>
                      <w:iCs/>
                      <w:szCs w:val="21"/>
                      <w:u w:val="single"/>
                    </w:rPr>
                    <w:t>项目有机废气经</w:t>
                  </w:r>
                  <w:r>
                    <w:rPr>
                      <w:rFonts w:hint="eastAsia"/>
                      <w:i/>
                      <w:iCs/>
                      <w:szCs w:val="21"/>
                      <w:u w:val="single"/>
                      <w:lang w:eastAsia="zh-CN"/>
                    </w:rPr>
                    <w:t>过滤棉</w:t>
                  </w:r>
                  <w:r>
                    <w:rPr>
                      <w:rFonts w:hint="eastAsia"/>
                      <w:i/>
                      <w:iCs/>
                      <w:szCs w:val="21"/>
                      <w:u w:val="single"/>
                      <w:lang w:val="en-US" w:eastAsia="zh-CN"/>
                    </w:rPr>
                    <w:t>+</w:t>
                  </w:r>
                  <w:r>
                    <w:rPr>
                      <w:rFonts w:hint="eastAsia"/>
                      <w:i/>
                      <w:iCs/>
                      <w:szCs w:val="21"/>
                      <w:u w:val="single"/>
                    </w:rPr>
                    <w:t>活性炭吸附后通过</w:t>
                  </w:r>
                  <w:r>
                    <w:rPr>
                      <w:rFonts w:hint="eastAsia"/>
                      <w:i/>
                      <w:iCs/>
                      <w:szCs w:val="21"/>
                      <w:u w:val="single"/>
                      <w:lang w:val="en-US" w:eastAsia="zh-CN"/>
                    </w:rPr>
                    <w:t>15</w:t>
                  </w:r>
                  <w:r>
                    <w:rPr>
                      <w:rFonts w:hint="eastAsia"/>
                      <w:i/>
                      <w:iCs/>
                      <w:szCs w:val="21"/>
                      <w:u w:val="single"/>
                    </w:rPr>
                    <w:t>m高排气筒DA002排放。</w:t>
                  </w:r>
                </w:p>
              </w:tc>
              <w:tc>
                <w:tcPr>
                  <w:tcW w:w="438" w:type="pct"/>
                  <w:tcBorders>
                    <w:left w:val="single" w:color="auto" w:sz="4" w:space="0"/>
                    <w:right w:val="nil"/>
                  </w:tcBorders>
                  <w:noWrap w:val="0"/>
                  <w:vAlign w:val="center"/>
                </w:tcPr>
                <w:p w14:paraId="605F58F8">
                  <w:pPr>
                    <w:jc w:val="center"/>
                    <w:rPr>
                      <w:rFonts w:hint="eastAsia"/>
                      <w:i/>
                      <w:iCs/>
                      <w:color w:val="FF0000"/>
                      <w:szCs w:val="21"/>
                      <w:u w:val="single"/>
                    </w:rPr>
                  </w:pPr>
                  <w:r>
                    <w:rPr>
                      <w:rFonts w:hint="eastAsia"/>
                      <w:i/>
                      <w:iCs/>
                      <w:szCs w:val="21"/>
                      <w:u w:val="single"/>
                    </w:rPr>
                    <w:t>符合</w:t>
                  </w:r>
                </w:p>
              </w:tc>
            </w:tr>
            <w:tr w14:paraId="7B7241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5" w:type="pct"/>
                  <w:vMerge w:val="continue"/>
                  <w:tcBorders>
                    <w:left w:val="nil"/>
                  </w:tcBorders>
                  <w:noWrap w:val="0"/>
                  <w:vAlign w:val="center"/>
                </w:tcPr>
                <w:p w14:paraId="60D59173">
                  <w:pPr>
                    <w:widowControl/>
                    <w:jc w:val="center"/>
                    <w:rPr>
                      <w:i/>
                      <w:iCs/>
                      <w:color w:val="FF0000"/>
                      <w:szCs w:val="21"/>
                      <w:u w:val="single"/>
                    </w:rPr>
                  </w:pPr>
                </w:p>
              </w:tc>
              <w:tc>
                <w:tcPr>
                  <w:tcW w:w="513" w:type="pct"/>
                  <w:vMerge w:val="continue"/>
                  <w:noWrap w:val="0"/>
                  <w:vAlign w:val="center"/>
                </w:tcPr>
                <w:p w14:paraId="24FA0900">
                  <w:pPr>
                    <w:widowControl/>
                    <w:jc w:val="center"/>
                    <w:rPr>
                      <w:i/>
                      <w:iCs/>
                      <w:color w:val="FF0000"/>
                      <w:szCs w:val="21"/>
                      <w:u w:val="single"/>
                    </w:rPr>
                  </w:pPr>
                </w:p>
              </w:tc>
              <w:tc>
                <w:tcPr>
                  <w:tcW w:w="499" w:type="pct"/>
                  <w:vMerge w:val="continue"/>
                  <w:tcBorders>
                    <w:right w:val="single" w:color="auto" w:sz="4" w:space="0"/>
                  </w:tcBorders>
                  <w:noWrap w:val="0"/>
                  <w:vAlign w:val="center"/>
                </w:tcPr>
                <w:p w14:paraId="54FBD72D">
                  <w:pPr>
                    <w:widowControl/>
                    <w:jc w:val="center"/>
                    <w:rPr>
                      <w:i/>
                      <w:iCs/>
                      <w:color w:val="FF0000"/>
                      <w:szCs w:val="21"/>
                      <w:u w:val="single"/>
                    </w:rPr>
                  </w:pPr>
                </w:p>
              </w:tc>
              <w:tc>
                <w:tcPr>
                  <w:tcW w:w="246" w:type="pct"/>
                  <w:tcBorders>
                    <w:left w:val="single" w:color="auto" w:sz="4" w:space="0"/>
                    <w:right w:val="single" w:color="auto" w:sz="4" w:space="0"/>
                  </w:tcBorders>
                  <w:noWrap w:val="0"/>
                  <w:vAlign w:val="center"/>
                </w:tcPr>
                <w:p w14:paraId="030B6B22">
                  <w:pPr>
                    <w:jc w:val="center"/>
                    <w:rPr>
                      <w:i/>
                      <w:iCs/>
                      <w:szCs w:val="21"/>
                      <w:u w:val="single"/>
                    </w:rPr>
                  </w:pPr>
                  <w:r>
                    <w:rPr>
                      <w:i/>
                      <w:iCs/>
                      <w:szCs w:val="21"/>
                      <w:u w:val="single"/>
                    </w:rPr>
                    <w:t>环境风险防控</w:t>
                  </w:r>
                </w:p>
              </w:tc>
              <w:tc>
                <w:tcPr>
                  <w:tcW w:w="1825" w:type="pct"/>
                  <w:tcBorders>
                    <w:left w:val="single" w:color="auto" w:sz="4" w:space="0"/>
                    <w:right w:val="single" w:color="auto" w:sz="4" w:space="0"/>
                  </w:tcBorders>
                  <w:noWrap w:val="0"/>
                  <w:vAlign w:val="center"/>
                </w:tcPr>
                <w:p w14:paraId="1FFF435C">
                  <w:pPr>
                    <w:widowControl/>
                    <w:jc w:val="center"/>
                    <w:rPr>
                      <w:i/>
                      <w:iCs/>
                      <w:szCs w:val="21"/>
                      <w:u w:val="single"/>
                    </w:rPr>
                  </w:pPr>
                  <w:r>
                    <w:rPr>
                      <w:i/>
                      <w:iCs/>
                      <w:szCs w:val="21"/>
                      <w:u w:val="single"/>
                    </w:rPr>
                    <w:t>1污染地块落实《污染地块土壤环境管理办法（试行）》要求，在环境调查、风险评估、治理与修复阶段实施土壤与地下水风险管控，暂不开发利用的地块实施以防治污染扩散为目的的土壤和地下水污染防治，对再开发利用地块实施以安全利用为目的的土壤和地下水污染防治。</w:t>
                  </w:r>
                </w:p>
                <w:p w14:paraId="5547758C">
                  <w:pPr>
                    <w:widowControl/>
                    <w:jc w:val="center"/>
                    <w:rPr>
                      <w:i/>
                      <w:iCs/>
                      <w:szCs w:val="21"/>
                      <w:u w:val="single"/>
                    </w:rPr>
                  </w:pPr>
                  <w:r>
                    <w:rPr>
                      <w:i/>
                      <w:iCs/>
                      <w:szCs w:val="21"/>
                      <w:u w:val="single"/>
                    </w:rPr>
                    <w:t>2土壤环境污染重点监管企业、危化品仓储企业落实《工矿用地土壤环境管理办法（试行）》要求，实施项目环评、设计建设、拆除设施、终止经营全生命周期土壤和地下水污染防治。</w:t>
                  </w:r>
                </w:p>
                <w:p w14:paraId="20AEAC8D">
                  <w:pPr>
                    <w:widowControl/>
                    <w:jc w:val="center"/>
                    <w:rPr>
                      <w:i/>
                      <w:iCs/>
                      <w:szCs w:val="21"/>
                      <w:u w:val="single"/>
                    </w:rPr>
                  </w:pPr>
                  <w:r>
                    <w:rPr>
                      <w:i/>
                      <w:iCs/>
                      <w:szCs w:val="21"/>
                      <w:u w:val="single"/>
                    </w:rPr>
                    <w:t>3开发区应制定环境风险应急预案，成立应急组织机构，定期开展应急演练，提高区域环境风险防范能力。</w:t>
                  </w:r>
                </w:p>
                <w:p w14:paraId="745C9A9E">
                  <w:pPr>
                    <w:widowControl/>
                    <w:jc w:val="center"/>
                    <w:rPr>
                      <w:i/>
                      <w:iCs/>
                      <w:szCs w:val="21"/>
                      <w:u w:val="single"/>
                    </w:rPr>
                  </w:pPr>
                  <w:r>
                    <w:rPr>
                      <w:i/>
                      <w:iCs/>
                      <w:szCs w:val="21"/>
                      <w:u w:val="single"/>
                    </w:rPr>
                    <w:t>4</w:t>
                  </w:r>
                  <w:r>
                    <w:rPr>
                      <w:rFonts w:hint="eastAsia"/>
                      <w:i/>
                      <w:iCs/>
                      <w:szCs w:val="21"/>
                      <w:u w:val="single"/>
                    </w:rPr>
                    <w:t>严格管理涉及易导致环境风险的有毒有害和易燃易爆物质的生产、使用、贮运等新建、改扩建项目</w:t>
                  </w:r>
                  <w:r>
                    <w:rPr>
                      <w:i/>
                      <w:iCs/>
                      <w:szCs w:val="21"/>
                      <w:u w:val="single"/>
                    </w:rPr>
                    <w:t>。</w:t>
                  </w:r>
                </w:p>
              </w:tc>
              <w:tc>
                <w:tcPr>
                  <w:tcW w:w="1001" w:type="pct"/>
                  <w:tcBorders>
                    <w:left w:val="single" w:color="auto" w:sz="4" w:space="0"/>
                    <w:right w:val="single" w:color="auto" w:sz="4" w:space="0"/>
                  </w:tcBorders>
                  <w:noWrap w:val="0"/>
                  <w:vAlign w:val="center"/>
                </w:tcPr>
                <w:p w14:paraId="34433351">
                  <w:pPr>
                    <w:jc w:val="center"/>
                    <w:rPr>
                      <w:rFonts w:hint="eastAsia"/>
                      <w:i/>
                      <w:iCs/>
                      <w:szCs w:val="21"/>
                      <w:u w:val="single"/>
                    </w:rPr>
                  </w:pPr>
                  <w:r>
                    <w:rPr>
                      <w:rFonts w:hint="eastAsia"/>
                      <w:i/>
                      <w:iCs/>
                      <w:szCs w:val="21"/>
                      <w:u w:val="single"/>
                    </w:rPr>
                    <w:t>本项目不属于土壤环境重点监管企业，</w:t>
                  </w:r>
                  <w:r>
                    <w:rPr>
                      <w:rFonts w:hint="eastAsia"/>
                      <w:i/>
                      <w:iCs/>
                      <w:szCs w:val="21"/>
                      <w:u w:val="single"/>
                      <w:lang w:eastAsia="zh-CN"/>
                    </w:rPr>
                    <w:t>不属于危化品仓储企业</w:t>
                  </w:r>
                  <w:r>
                    <w:rPr>
                      <w:rFonts w:hint="eastAsia"/>
                      <w:i/>
                      <w:iCs/>
                      <w:szCs w:val="21"/>
                      <w:u w:val="single"/>
                    </w:rPr>
                    <w:t>。</w:t>
                  </w:r>
                </w:p>
              </w:tc>
              <w:tc>
                <w:tcPr>
                  <w:tcW w:w="438" w:type="pct"/>
                  <w:tcBorders>
                    <w:left w:val="single" w:color="auto" w:sz="4" w:space="0"/>
                    <w:right w:val="nil"/>
                  </w:tcBorders>
                  <w:noWrap w:val="0"/>
                  <w:vAlign w:val="center"/>
                </w:tcPr>
                <w:p w14:paraId="53F939B1">
                  <w:pPr>
                    <w:jc w:val="center"/>
                    <w:rPr>
                      <w:i/>
                      <w:iCs/>
                      <w:szCs w:val="21"/>
                      <w:u w:val="single"/>
                    </w:rPr>
                  </w:pPr>
                </w:p>
              </w:tc>
            </w:tr>
            <w:tr w14:paraId="333B9A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5" w:type="pct"/>
                  <w:vMerge w:val="continue"/>
                  <w:tcBorders>
                    <w:left w:val="nil"/>
                    <w:bottom w:val="single" w:color="auto" w:sz="12" w:space="0"/>
                  </w:tcBorders>
                  <w:noWrap w:val="0"/>
                  <w:vAlign w:val="center"/>
                </w:tcPr>
                <w:p w14:paraId="69C56A68">
                  <w:pPr>
                    <w:widowControl/>
                    <w:jc w:val="center"/>
                    <w:rPr>
                      <w:i/>
                      <w:iCs/>
                      <w:color w:val="FF0000"/>
                      <w:szCs w:val="21"/>
                      <w:u w:val="single"/>
                    </w:rPr>
                  </w:pPr>
                </w:p>
              </w:tc>
              <w:tc>
                <w:tcPr>
                  <w:tcW w:w="513" w:type="pct"/>
                  <w:vMerge w:val="continue"/>
                  <w:tcBorders>
                    <w:bottom w:val="single" w:color="auto" w:sz="12" w:space="0"/>
                  </w:tcBorders>
                  <w:noWrap w:val="0"/>
                  <w:vAlign w:val="center"/>
                </w:tcPr>
                <w:p w14:paraId="0A92C1E0">
                  <w:pPr>
                    <w:widowControl/>
                    <w:jc w:val="center"/>
                    <w:rPr>
                      <w:i/>
                      <w:iCs/>
                      <w:color w:val="FF0000"/>
                      <w:szCs w:val="21"/>
                      <w:u w:val="single"/>
                    </w:rPr>
                  </w:pPr>
                </w:p>
              </w:tc>
              <w:tc>
                <w:tcPr>
                  <w:tcW w:w="499" w:type="pct"/>
                  <w:vMerge w:val="continue"/>
                  <w:tcBorders>
                    <w:bottom w:val="single" w:color="auto" w:sz="12" w:space="0"/>
                    <w:right w:val="single" w:color="auto" w:sz="4" w:space="0"/>
                  </w:tcBorders>
                  <w:noWrap w:val="0"/>
                  <w:vAlign w:val="center"/>
                </w:tcPr>
                <w:p w14:paraId="3BAF905A">
                  <w:pPr>
                    <w:widowControl/>
                    <w:jc w:val="center"/>
                    <w:rPr>
                      <w:i/>
                      <w:iCs/>
                      <w:color w:val="FF0000"/>
                      <w:szCs w:val="21"/>
                      <w:u w:val="single"/>
                    </w:rPr>
                  </w:pPr>
                </w:p>
              </w:tc>
              <w:tc>
                <w:tcPr>
                  <w:tcW w:w="246" w:type="pct"/>
                  <w:tcBorders>
                    <w:left w:val="single" w:color="auto" w:sz="4" w:space="0"/>
                    <w:bottom w:val="single" w:color="auto" w:sz="12" w:space="0"/>
                    <w:right w:val="single" w:color="auto" w:sz="4" w:space="0"/>
                  </w:tcBorders>
                  <w:noWrap w:val="0"/>
                  <w:vAlign w:val="center"/>
                </w:tcPr>
                <w:p w14:paraId="4A731889">
                  <w:pPr>
                    <w:jc w:val="center"/>
                    <w:rPr>
                      <w:i/>
                      <w:iCs/>
                      <w:szCs w:val="21"/>
                      <w:u w:val="single"/>
                    </w:rPr>
                  </w:pPr>
                  <w:r>
                    <w:rPr>
                      <w:i/>
                      <w:iCs/>
                      <w:szCs w:val="21"/>
                      <w:u w:val="single"/>
                    </w:rPr>
                    <w:t>资源开发效率</w:t>
                  </w:r>
                </w:p>
              </w:tc>
              <w:tc>
                <w:tcPr>
                  <w:tcW w:w="1825" w:type="pct"/>
                  <w:tcBorders>
                    <w:left w:val="single" w:color="auto" w:sz="4" w:space="0"/>
                    <w:bottom w:val="single" w:color="auto" w:sz="12" w:space="0"/>
                    <w:right w:val="single" w:color="auto" w:sz="4" w:space="0"/>
                  </w:tcBorders>
                  <w:noWrap w:val="0"/>
                  <w:vAlign w:val="center"/>
                </w:tcPr>
                <w:p w14:paraId="3533BD31">
                  <w:pPr>
                    <w:jc w:val="center"/>
                    <w:rPr>
                      <w:i/>
                      <w:iCs/>
                      <w:szCs w:val="21"/>
                      <w:u w:val="single"/>
                    </w:rPr>
                  </w:pPr>
                  <w:r>
                    <w:rPr>
                      <w:i/>
                      <w:iCs/>
                      <w:szCs w:val="21"/>
                      <w:u w:val="single"/>
                    </w:rPr>
                    <w:t>1推广园区集中供热，园区新建供热设施执行特别排放限值</w:t>
                  </w:r>
                  <w:r>
                    <w:rPr>
                      <w:rFonts w:hint="eastAsia"/>
                      <w:i/>
                      <w:iCs/>
                      <w:szCs w:val="21"/>
                      <w:u w:val="single"/>
                    </w:rPr>
                    <w:t>或按省、市相关文件要求执行排放浓度限值</w:t>
                  </w:r>
                  <w:r>
                    <w:rPr>
                      <w:i/>
                      <w:iCs/>
                      <w:szCs w:val="21"/>
                      <w:u w:val="single"/>
                    </w:rPr>
                    <w:t>。</w:t>
                  </w:r>
                </w:p>
                <w:p w14:paraId="346AE805">
                  <w:pPr>
                    <w:jc w:val="center"/>
                    <w:rPr>
                      <w:i/>
                      <w:iCs/>
                      <w:szCs w:val="21"/>
                      <w:u w:val="single"/>
                    </w:rPr>
                  </w:pPr>
                  <w:r>
                    <w:rPr>
                      <w:i/>
                      <w:iCs/>
                      <w:szCs w:val="21"/>
                      <w:u w:val="single"/>
                    </w:rPr>
                    <w:t>2完成吉林省下达的产能置换要求。各产业执行对应的清洁生产标准。</w:t>
                  </w:r>
                </w:p>
              </w:tc>
              <w:tc>
                <w:tcPr>
                  <w:tcW w:w="1001" w:type="pct"/>
                  <w:tcBorders>
                    <w:left w:val="single" w:color="auto" w:sz="4" w:space="0"/>
                    <w:bottom w:val="single" w:color="auto" w:sz="12" w:space="0"/>
                    <w:right w:val="single" w:color="auto" w:sz="4" w:space="0"/>
                  </w:tcBorders>
                  <w:noWrap w:val="0"/>
                  <w:vAlign w:val="center"/>
                </w:tcPr>
                <w:p w14:paraId="1EDDEB95">
                  <w:pPr>
                    <w:jc w:val="center"/>
                    <w:rPr>
                      <w:i/>
                      <w:iCs/>
                      <w:szCs w:val="21"/>
                      <w:u w:val="single"/>
                    </w:rPr>
                  </w:pPr>
                  <w:r>
                    <w:rPr>
                      <w:rFonts w:hint="eastAsia"/>
                      <w:i/>
                      <w:iCs/>
                      <w:szCs w:val="21"/>
                      <w:u w:val="single"/>
                    </w:rPr>
                    <w:t>项目生产采用电加热，生活供暖依托园区地源热泵</w:t>
                  </w:r>
                </w:p>
              </w:tc>
              <w:tc>
                <w:tcPr>
                  <w:tcW w:w="438" w:type="pct"/>
                  <w:tcBorders>
                    <w:left w:val="single" w:color="auto" w:sz="4" w:space="0"/>
                    <w:bottom w:val="single" w:color="auto" w:sz="12" w:space="0"/>
                    <w:right w:val="nil"/>
                  </w:tcBorders>
                  <w:noWrap w:val="0"/>
                  <w:vAlign w:val="center"/>
                </w:tcPr>
                <w:p w14:paraId="429EAE46">
                  <w:pPr>
                    <w:jc w:val="center"/>
                    <w:rPr>
                      <w:i/>
                      <w:iCs/>
                      <w:szCs w:val="21"/>
                      <w:u w:val="single"/>
                    </w:rPr>
                  </w:pPr>
                </w:p>
              </w:tc>
            </w:tr>
          </w:tbl>
          <w:p w14:paraId="01983238">
            <w:pPr>
              <w:adjustRightInd w:val="0"/>
              <w:snapToGrid w:val="0"/>
              <w:spacing w:line="360" w:lineRule="auto"/>
              <w:ind w:firstLine="480" w:firstLineChars="200"/>
              <w:rPr>
                <w:kern w:val="0"/>
                <w:sz w:val="24"/>
              </w:rPr>
            </w:pPr>
          </w:p>
          <w:p w14:paraId="638083E6">
            <w:pPr>
              <w:adjustRightInd w:val="0"/>
              <w:snapToGrid w:val="0"/>
              <w:spacing w:line="360" w:lineRule="auto"/>
              <w:ind w:firstLine="480" w:firstLineChars="200"/>
              <w:rPr>
                <w:b/>
                <w:bCs/>
                <w:kern w:val="0"/>
                <w:sz w:val="24"/>
              </w:rPr>
            </w:pPr>
            <w:r>
              <w:rPr>
                <w:rFonts w:hint="eastAsia"/>
                <w:kern w:val="0"/>
                <w:sz w:val="24"/>
              </w:rPr>
              <w:t>综上</w:t>
            </w:r>
            <w:r>
              <w:rPr>
                <w:kern w:val="0"/>
                <w:sz w:val="24"/>
              </w:rPr>
              <w:t>，本项目</w:t>
            </w:r>
            <w:r>
              <w:rPr>
                <w:rFonts w:hint="eastAsia"/>
                <w:kern w:val="0"/>
                <w:sz w:val="24"/>
              </w:rPr>
              <w:t>符合</w:t>
            </w:r>
            <w:r>
              <w:rPr>
                <w:sz w:val="24"/>
              </w:rPr>
              <w:t>《</w:t>
            </w:r>
            <w:r>
              <w:rPr>
                <w:rFonts w:hint="eastAsia"/>
                <w:sz w:val="24"/>
              </w:rPr>
              <w:t>关于加强生态环境分区管控的若干措施</w:t>
            </w:r>
            <w:r>
              <w:rPr>
                <w:sz w:val="24"/>
              </w:rPr>
              <w:t>》</w:t>
            </w:r>
            <w:r>
              <w:rPr>
                <w:rFonts w:hint="eastAsia"/>
                <w:sz w:val="24"/>
                <w:lang w:eastAsia="zh-CN"/>
              </w:rPr>
              <w:t>（</w:t>
            </w:r>
            <w:r>
              <w:rPr>
                <w:sz w:val="24"/>
              </w:rPr>
              <w:t>吉</w:t>
            </w:r>
            <w:r>
              <w:rPr>
                <w:rFonts w:hint="eastAsia"/>
                <w:sz w:val="24"/>
              </w:rPr>
              <w:t>办发[</w:t>
            </w:r>
            <w:r>
              <w:rPr>
                <w:sz w:val="24"/>
              </w:rPr>
              <w:t>202</w:t>
            </w:r>
            <w:r>
              <w:rPr>
                <w:rFonts w:hint="eastAsia"/>
                <w:sz w:val="24"/>
              </w:rPr>
              <w:t>4</w:t>
            </w:r>
            <w:r>
              <w:rPr>
                <w:sz w:val="24"/>
              </w:rPr>
              <w:t>]</w:t>
            </w:r>
            <w:r>
              <w:rPr>
                <w:rFonts w:hint="eastAsia"/>
                <w:sz w:val="24"/>
              </w:rPr>
              <w:t>12</w:t>
            </w:r>
            <w:r>
              <w:rPr>
                <w:sz w:val="24"/>
              </w:rPr>
              <w:t>号</w:t>
            </w:r>
            <w:r>
              <w:rPr>
                <w:rFonts w:hint="eastAsia"/>
                <w:sz w:val="24"/>
                <w:lang w:eastAsia="zh-CN"/>
              </w:rPr>
              <w:t>）</w:t>
            </w:r>
            <w:r>
              <w:rPr>
                <w:rFonts w:hint="eastAsia"/>
                <w:sz w:val="24"/>
              </w:rPr>
              <w:t>中</w:t>
            </w:r>
            <w:r>
              <w:rPr>
                <w:kern w:val="0"/>
                <w:sz w:val="24"/>
              </w:rPr>
              <w:t>生态环境准入清单</w:t>
            </w:r>
            <w:r>
              <w:rPr>
                <w:rFonts w:hint="eastAsia"/>
                <w:kern w:val="0"/>
                <w:sz w:val="24"/>
              </w:rPr>
              <w:t>要求</w:t>
            </w:r>
            <w:r>
              <w:rPr>
                <w:kern w:val="0"/>
                <w:sz w:val="24"/>
              </w:rPr>
              <w:t>。</w:t>
            </w:r>
          </w:p>
          <w:p w14:paraId="2403355F">
            <w:pPr>
              <w:pStyle w:val="91"/>
              <w:ind w:firstLine="482"/>
              <w:rPr>
                <w:b/>
                <w:bCs/>
                <w:kern w:val="8"/>
                <w:sz w:val="24"/>
              </w:rPr>
            </w:pPr>
            <w:r>
              <w:rPr>
                <w:rFonts w:hint="eastAsia"/>
                <w:b/>
                <w:bCs/>
                <w:kern w:val="0"/>
                <w:sz w:val="24"/>
              </w:rPr>
              <w:t>3</w:t>
            </w:r>
            <w:r>
              <w:rPr>
                <w:b/>
                <w:bCs/>
                <w:kern w:val="0"/>
                <w:sz w:val="24"/>
              </w:rPr>
              <w:t>、与《吉林省生态环境保护“十四五”规划》符合性分析</w:t>
            </w:r>
          </w:p>
          <w:p w14:paraId="53DAB51E">
            <w:pPr>
              <w:widowControl/>
              <w:jc w:val="center"/>
              <w:rPr>
                <w:b/>
                <w:bCs/>
                <w:kern w:val="8"/>
                <w:sz w:val="24"/>
              </w:rPr>
            </w:pPr>
            <w:r>
              <w:rPr>
                <w:b/>
                <w:bCs/>
                <w:kern w:val="8"/>
                <w:sz w:val="24"/>
              </w:rPr>
              <w:t>表1-</w:t>
            </w:r>
            <w:r>
              <w:rPr>
                <w:rFonts w:hint="eastAsia"/>
                <w:b/>
                <w:bCs/>
                <w:kern w:val="8"/>
                <w:sz w:val="24"/>
                <w:lang w:val="en-US" w:eastAsia="zh-CN"/>
              </w:rPr>
              <w:t>5</w:t>
            </w:r>
            <w:r>
              <w:rPr>
                <w:b/>
                <w:bCs/>
                <w:kern w:val="8"/>
                <w:sz w:val="24"/>
              </w:rPr>
              <w:t xml:space="preserve">  </w:t>
            </w:r>
            <w:r>
              <w:rPr>
                <w:b/>
                <w:bCs/>
                <w:kern w:val="0"/>
                <w:sz w:val="24"/>
              </w:rPr>
              <w:t>吉林省生态环境保护“十四五”规划</w:t>
            </w:r>
            <w:r>
              <w:rPr>
                <w:b/>
                <w:bCs/>
                <w:kern w:val="8"/>
                <w:sz w:val="24"/>
              </w:rPr>
              <w:t>符合性</w:t>
            </w:r>
          </w:p>
          <w:tbl>
            <w:tblPr>
              <w:tblStyle w:val="27"/>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739"/>
              <w:gridCol w:w="2185"/>
              <w:gridCol w:w="1009"/>
            </w:tblGrid>
            <w:tr w14:paraId="62C3286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86" w:type="pct"/>
                  <w:noWrap w:val="0"/>
                  <w:vAlign w:val="center"/>
                </w:tcPr>
                <w:p w14:paraId="55816E3D">
                  <w:pPr>
                    <w:widowControl/>
                    <w:jc w:val="center"/>
                    <w:rPr>
                      <w:szCs w:val="21"/>
                    </w:rPr>
                  </w:pPr>
                  <w:r>
                    <w:rPr>
                      <w:szCs w:val="21"/>
                    </w:rPr>
                    <w:t>相关要求</w:t>
                  </w:r>
                </w:p>
              </w:tc>
              <w:tc>
                <w:tcPr>
                  <w:tcW w:w="1376" w:type="pct"/>
                  <w:noWrap w:val="0"/>
                  <w:vAlign w:val="center"/>
                </w:tcPr>
                <w:p w14:paraId="06C08386">
                  <w:pPr>
                    <w:widowControl/>
                    <w:jc w:val="center"/>
                    <w:rPr>
                      <w:szCs w:val="21"/>
                    </w:rPr>
                  </w:pPr>
                  <w:r>
                    <w:rPr>
                      <w:szCs w:val="21"/>
                    </w:rPr>
                    <w:t>本项目情况</w:t>
                  </w:r>
                </w:p>
              </w:tc>
              <w:tc>
                <w:tcPr>
                  <w:tcW w:w="636" w:type="pct"/>
                  <w:noWrap w:val="0"/>
                  <w:vAlign w:val="center"/>
                </w:tcPr>
                <w:p w14:paraId="6C800EED">
                  <w:pPr>
                    <w:widowControl/>
                    <w:jc w:val="center"/>
                    <w:rPr>
                      <w:szCs w:val="21"/>
                    </w:rPr>
                  </w:pPr>
                  <w:r>
                    <w:rPr>
                      <w:rFonts w:hint="eastAsia"/>
                      <w:szCs w:val="21"/>
                    </w:rPr>
                    <w:t>符合性</w:t>
                  </w:r>
                </w:p>
              </w:tc>
            </w:tr>
            <w:tr w14:paraId="37CFFB6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86" w:type="pct"/>
                  <w:noWrap w:val="0"/>
                  <w:vAlign w:val="center"/>
                </w:tcPr>
                <w:p w14:paraId="0C4E4DB5">
                  <w:pPr>
                    <w:widowControl/>
                    <w:jc w:val="center"/>
                    <w:rPr>
                      <w:szCs w:val="21"/>
                    </w:rPr>
                  </w:pPr>
                  <w:r>
                    <w:rPr>
                      <w:szCs w:val="21"/>
                    </w:rPr>
                    <w:t>深入推进工业污染源治理。持续推进工业污染源全面达标排放，加大工业污染源烟气高效脱硫脱硝、除尘改造力度，重点排污单位全部安装自动监控设备并与生态环境部门联网，全面加强工业无组织排放管控。推进重点行业污染深度治理，鼓励企业采用先进适用的清洁生产原料、技术、工艺和装备，长春市、吉林市、辽源市等空气质量未达标地区新建项目主要污染物全面执行大气污染物特别排放限值。持续开展“散乱污”企业排查整治，完善动态管理机制。加强油气回收装置管理。</w:t>
                  </w:r>
                </w:p>
              </w:tc>
              <w:tc>
                <w:tcPr>
                  <w:tcW w:w="1376" w:type="pct"/>
                  <w:noWrap w:val="0"/>
                  <w:vAlign w:val="center"/>
                </w:tcPr>
                <w:p w14:paraId="3ED2A952">
                  <w:pPr>
                    <w:widowControl/>
                    <w:jc w:val="center"/>
                    <w:rPr>
                      <w:szCs w:val="21"/>
                    </w:rPr>
                  </w:pPr>
                  <w:r>
                    <w:rPr>
                      <w:rFonts w:hint="eastAsia"/>
                      <w:szCs w:val="21"/>
                    </w:rPr>
                    <w:t>喷砂废气经自带布袋除尘器处理后通过</w:t>
                  </w:r>
                  <w:r>
                    <w:rPr>
                      <w:rFonts w:hint="eastAsia"/>
                      <w:szCs w:val="21"/>
                      <w:lang w:val="en-US" w:eastAsia="zh-CN"/>
                    </w:rPr>
                    <w:t>15</w:t>
                  </w:r>
                  <w:r>
                    <w:rPr>
                      <w:rFonts w:hint="eastAsia"/>
                      <w:szCs w:val="21"/>
                    </w:rPr>
                    <w:t>m高排气筒DA001排放。</w:t>
                  </w:r>
                  <w:r>
                    <w:rPr>
                      <w:rFonts w:hint="eastAsia"/>
                      <w:szCs w:val="21"/>
                      <w:lang w:eastAsia="zh-CN"/>
                    </w:rPr>
                    <w:t>喷涂实验及制备实验有机</w:t>
                  </w:r>
                  <w:r>
                    <w:rPr>
                      <w:rFonts w:hint="eastAsia"/>
                      <w:szCs w:val="21"/>
                    </w:rPr>
                    <w:t>废气经过滤棉+活性炭吸附后通过</w:t>
                  </w:r>
                  <w:r>
                    <w:rPr>
                      <w:rFonts w:hint="eastAsia"/>
                      <w:szCs w:val="21"/>
                      <w:lang w:val="en-US" w:eastAsia="zh-CN"/>
                    </w:rPr>
                    <w:t>15</w:t>
                  </w:r>
                  <w:r>
                    <w:rPr>
                      <w:rFonts w:hint="eastAsia"/>
                      <w:szCs w:val="21"/>
                    </w:rPr>
                    <w:t>m高排气筒DA002排放，颗粒物、NMHC及甲苯可满足《大气污染物综合排放标准》（GB16297-1996）二级排放标准要求。</w:t>
                  </w:r>
                </w:p>
              </w:tc>
              <w:tc>
                <w:tcPr>
                  <w:tcW w:w="636" w:type="pct"/>
                  <w:noWrap w:val="0"/>
                  <w:vAlign w:val="center"/>
                </w:tcPr>
                <w:p w14:paraId="263AD5E7">
                  <w:pPr>
                    <w:widowControl/>
                    <w:jc w:val="center"/>
                    <w:rPr>
                      <w:szCs w:val="21"/>
                    </w:rPr>
                  </w:pPr>
                  <w:r>
                    <w:rPr>
                      <w:rFonts w:hint="eastAsia"/>
                      <w:szCs w:val="21"/>
                    </w:rPr>
                    <w:t>符合</w:t>
                  </w:r>
                </w:p>
              </w:tc>
            </w:tr>
            <w:tr w14:paraId="31FA608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86" w:type="pct"/>
                  <w:noWrap w:val="0"/>
                  <w:vAlign w:val="center"/>
                </w:tcPr>
                <w:p w14:paraId="63A1B212">
                  <w:pPr>
                    <w:widowControl/>
                    <w:jc w:val="center"/>
                    <w:rPr>
                      <w:szCs w:val="21"/>
                    </w:rPr>
                  </w:pPr>
                  <w:r>
                    <w:rPr>
                      <w:szCs w:val="21"/>
                    </w:rPr>
                    <w:t>狠抓工业污染防治。加强重点行业管控和清洁化改造，全面推动农副食品加工、化工、造纸、钢铁、氮肥、印染、制药、农药、电镀、染料颜料等行业实施绿色化改造。加大工业园区整治力度，全面推进工业园区污水处理设施和污水管网排查整治，经评估认定污染物不能被城镇污水处理厂有效处理或可能影响城镇污水处理厂出水稳定达标的，依法责令限期退出；经评估可继续接入污水管网的，应当依法取得排污许可。</w:t>
                  </w:r>
                </w:p>
              </w:tc>
              <w:tc>
                <w:tcPr>
                  <w:tcW w:w="1376" w:type="pct"/>
                  <w:noWrap w:val="0"/>
                  <w:vAlign w:val="center"/>
                </w:tcPr>
                <w:p w14:paraId="6775B8C9">
                  <w:pPr>
                    <w:widowControl/>
                    <w:jc w:val="center"/>
                    <w:rPr>
                      <w:szCs w:val="21"/>
                    </w:rPr>
                  </w:pPr>
                  <w:r>
                    <w:rPr>
                      <w:rFonts w:hint="eastAsia"/>
                      <w:szCs w:val="21"/>
                    </w:rPr>
                    <w:t>本项目不属于上述重点行业</w:t>
                  </w:r>
                </w:p>
              </w:tc>
              <w:tc>
                <w:tcPr>
                  <w:tcW w:w="636" w:type="pct"/>
                  <w:noWrap w:val="0"/>
                  <w:vAlign w:val="center"/>
                </w:tcPr>
                <w:p w14:paraId="69254F75">
                  <w:pPr>
                    <w:widowControl/>
                    <w:jc w:val="center"/>
                    <w:rPr>
                      <w:rFonts w:hint="eastAsia"/>
                      <w:szCs w:val="21"/>
                    </w:rPr>
                  </w:pPr>
                  <w:r>
                    <w:rPr>
                      <w:rFonts w:hint="eastAsia"/>
                      <w:szCs w:val="21"/>
                    </w:rPr>
                    <w:t>符合</w:t>
                  </w:r>
                </w:p>
              </w:tc>
            </w:tr>
          </w:tbl>
          <w:p w14:paraId="4AE41CF6">
            <w:pPr>
              <w:adjustRightInd w:val="0"/>
              <w:snapToGrid w:val="0"/>
              <w:spacing w:line="360" w:lineRule="auto"/>
              <w:ind w:firstLine="482" w:firstLineChars="200"/>
              <w:rPr>
                <w:rFonts w:hint="eastAsia"/>
                <w:b/>
                <w:bCs/>
                <w:kern w:val="0"/>
                <w:sz w:val="24"/>
              </w:rPr>
            </w:pPr>
          </w:p>
          <w:p w14:paraId="23AFB56B">
            <w:pPr>
              <w:adjustRightInd w:val="0"/>
              <w:snapToGrid w:val="0"/>
              <w:spacing w:line="360" w:lineRule="auto"/>
              <w:ind w:firstLine="482" w:firstLineChars="200"/>
              <w:rPr>
                <w:b/>
                <w:bCs/>
                <w:kern w:val="0"/>
                <w:sz w:val="24"/>
              </w:rPr>
            </w:pPr>
            <w:r>
              <w:rPr>
                <w:rFonts w:hint="eastAsia"/>
                <w:b/>
                <w:bCs/>
                <w:kern w:val="0"/>
                <w:sz w:val="24"/>
              </w:rPr>
              <w:t>4</w:t>
            </w:r>
            <w:r>
              <w:rPr>
                <w:b/>
                <w:bCs/>
                <w:kern w:val="0"/>
                <w:sz w:val="24"/>
              </w:rPr>
              <w:t>、与《吉林省空气环境质量巩固提升行动方案》</w:t>
            </w:r>
          </w:p>
          <w:p w14:paraId="68856EE0">
            <w:pPr>
              <w:pStyle w:val="11"/>
              <w:spacing w:line="360" w:lineRule="auto"/>
              <w:ind w:firstLine="480" w:firstLineChars="200"/>
              <w:rPr>
                <w:rFonts w:ascii="Times New Roman" w:hAnsi="Times New Roman"/>
                <w:kern w:val="0"/>
                <w:sz w:val="24"/>
              </w:rPr>
            </w:pPr>
            <w:r>
              <w:rPr>
                <w:rFonts w:ascii="Times New Roman" w:hAnsi="Times New Roman"/>
                <w:kern w:val="0"/>
                <w:sz w:val="24"/>
              </w:rPr>
              <w:t>项目与吉政办发〔2021〕10号《吉林省人民政府办公厅关于印发吉林省空气、水环境、土壤环境质量巩固提升三个行动方案的通知》符合性分析内容详见下表。</w:t>
            </w:r>
          </w:p>
          <w:p w14:paraId="5A05B1F2">
            <w:pPr>
              <w:widowControl/>
              <w:jc w:val="center"/>
              <w:rPr>
                <w:b/>
                <w:bCs/>
                <w:kern w:val="8"/>
                <w:sz w:val="24"/>
              </w:rPr>
            </w:pPr>
            <w:r>
              <w:rPr>
                <w:b/>
                <w:bCs/>
                <w:kern w:val="8"/>
                <w:sz w:val="24"/>
              </w:rPr>
              <w:t>表1-</w:t>
            </w:r>
            <w:r>
              <w:rPr>
                <w:rFonts w:hint="eastAsia"/>
                <w:b/>
                <w:bCs/>
                <w:kern w:val="8"/>
                <w:sz w:val="24"/>
                <w:lang w:val="en-US" w:eastAsia="zh-CN"/>
              </w:rPr>
              <w:t>6</w:t>
            </w:r>
            <w:r>
              <w:rPr>
                <w:b/>
                <w:bCs/>
                <w:kern w:val="8"/>
                <w:sz w:val="24"/>
              </w:rPr>
              <w:t xml:space="preserve">  吉林省空气环境质量巩固提升行动方案符合性</w:t>
            </w:r>
          </w:p>
          <w:tbl>
            <w:tblPr>
              <w:tblStyle w:val="27"/>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190"/>
              <w:gridCol w:w="3034"/>
              <w:gridCol w:w="709"/>
            </w:tblGrid>
            <w:tr w14:paraId="0EF3E50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2640" w:type="pct"/>
                  <w:noWrap w:val="0"/>
                  <w:vAlign w:val="center"/>
                </w:tcPr>
                <w:p w14:paraId="030935E2">
                  <w:pPr>
                    <w:widowControl/>
                    <w:jc w:val="center"/>
                    <w:rPr>
                      <w:szCs w:val="21"/>
                    </w:rPr>
                  </w:pPr>
                  <w:r>
                    <w:rPr>
                      <w:szCs w:val="21"/>
                    </w:rPr>
                    <w:t>文件要求：三、深入推进工业污染源治理</w:t>
                  </w:r>
                </w:p>
              </w:tc>
              <w:tc>
                <w:tcPr>
                  <w:tcW w:w="1912" w:type="pct"/>
                  <w:noWrap w:val="0"/>
                  <w:vAlign w:val="center"/>
                </w:tcPr>
                <w:p w14:paraId="0949C4CF">
                  <w:pPr>
                    <w:widowControl/>
                    <w:jc w:val="center"/>
                    <w:rPr>
                      <w:szCs w:val="21"/>
                    </w:rPr>
                  </w:pPr>
                  <w:r>
                    <w:rPr>
                      <w:szCs w:val="21"/>
                    </w:rPr>
                    <w:t>本项目</w:t>
                  </w:r>
                </w:p>
              </w:tc>
              <w:tc>
                <w:tcPr>
                  <w:tcW w:w="446" w:type="pct"/>
                  <w:noWrap w:val="0"/>
                  <w:vAlign w:val="center"/>
                </w:tcPr>
                <w:p w14:paraId="1BB8DB2D">
                  <w:pPr>
                    <w:widowControl/>
                    <w:jc w:val="center"/>
                    <w:rPr>
                      <w:szCs w:val="21"/>
                    </w:rPr>
                  </w:pPr>
                  <w:r>
                    <w:rPr>
                      <w:rFonts w:hint="eastAsia"/>
                      <w:szCs w:val="21"/>
                    </w:rPr>
                    <w:t>符合性</w:t>
                  </w:r>
                </w:p>
              </w:tc>
            </w:tr>
            <w:tr w14:paraId="5554578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40" w:type="pct"/>
                  <w:noWrap w:val="0"/>
                  <w:vAlign w:val="center"/>
                </w:tcPr>
                <w:p w14:paraId="7DC2E728">
                  <w:pPr>
                    <w:widowControl/>
                    <w:jc w:val="center"/>
                    <w:rPr>
                      <w:szCs w:val="21"/>
                    </w:rPr>
                  </w:pPr>
                  <w:r>
                    <w:rPr>
                      <w:szCs w:val="21"/>
                    </w:rPr>
                    <w:t>10、持续推进工业污染源全面达标排放。加大工业污染源烟气高效脱硫脱硝、除尘改造力度，确保各项污染物稳定达标排放。重点排污单位全部安装自动监控设备并与生态环境部门联网。对排放不达标的企业按照“一企一策”的原则，限期整改到位。全面加强工业无组织排放管控。</w:t>
                  </w:r>
                </w:p>
              </w:tc>
              <w:tc>
                <w:tcPr>
                  <w:tcW w:w="1912" w:type="pct"/>
                  <w:noWrap w:val="0"/>
                  <w:vAlign w:val="center"/>
                </w:tcPr>
                <w:p w14:paraId="78FC6F40">
                  <w:pPr>
                    <w:widowControl/>
                    <w:jc w:val="center"/>
                    <w:rPr>
                      <w:szCs w:val="21"/>
                    </w:rPr>
                  </w:pPr>
                  <w:r>
                    <w:rPr>
                      <w:rFonts w:hint="eastAsia"/>
                      <w:szCs w:val="21"/>
                    </w:rPr>
                    <w:t>喷砂废气经自带布袋除尘器处理后通过</w:t>
                  </w:r>
                  <w:r>
                    <w:rPr>
                      <w:rFonts w:hint="eastAsia"/>
                      <w:szCs w:val="21"/>
                      <w:lang w:val="en-US" w:eastAsia="zh-CN"/>
                    </w:rPr>
                    <w:t>15</w:t>
                  </w:r>
                  <w:r>
                    <w:rPr>
                      <w:rFonts w:hint="eastAsia"/>
                      <w:szCs w:val="21"/>
                    </w:rPr>
                    <w:t>m高排气筒DA001排放。喷涂</w:t>
                  </w:r>
                  <w:r>
                    <w:rPr>
                      <w:rFonts w:hint="eastAsia"/>
                      <w:szCs w:val="21"/>
                      <w:lang w:eastAsia="zh-CN"/>
                    </w:rPr>
                    <w:t>实验及制备实验有机</w:t>
                  </w:r>
                  <w:r>
                    <w:rPr>
                      <w:rFonts w:hint="eastAsia"/>
                      <w:szCs w:val="21"/>
                    </w:rPr>
                    <w:t>废气经活性炭吸附后通过</w:t>
                  </w:r>
                  <w:r>
                    <w:rPr>
                      <w:rFonts w:hint="eastAsia"/>
                      <w:szCs w:val="21"/>
                      <w:lang w:val="en-US" w:eastAsia="zh-CN"/>
                    </w:rPr>
                    <w:t>15</w:t>
                  </w:r>
                  <w:r>
                    <w:rPr>
                      <w:rFonts w:hint="eastAsia"/>
                      <w:szCs w:val="21"/>
                    </w:rPr>
                    <w:t>m高排气筒DA002排放，颗粒物、NMHC及甲苯可满足《大气污染物综合排放标准》（GB16297-1996）二级排放标准要求。</w:t>
                  </w:r>
                </w:p>
              </w:tc>
              <w:tc>
                <w:tcPr>
                  <w:tcW w:w="446" w:type="pct"/>
                  <w:noWrap w:val="0"/>
                  <w:vAlign w:val="center"/>
                </w:tcPr>
                <w:p w14:paraId="3CA1A9DB">
                  <w:pPr>
                    <w:widowControl/>
                    <w:jc w:val="center"/>
                    <w:rPr>
                      <w:rFonts w:hint="eastAsia"/>
                      <w:szCs w:val="21"/>
                    </w:rPr>
                  </w:pPr>
                  <w:r>
                    <w:rPr>
                      <w:rFonts w:hint="eastAsia"/>
                      <w:szCs w:val="21"/>
                    </w:rPr>
                    <w:t>符合</w:t>
                  </w:r>
                </w:p>
              </w:tc>
            </w:tr>
            <w:tr w14:paraId="0BAD7E3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2640" w:type="pct"/>
                  <w:noWrap w:val="0"/>
                  <w:vAlign w:val="center"/>
                </w:tcPr>
                <w:p w14:paraId="6ED921AD">
                  <w:pPr>
                    <w:widowControl/>
                    <w:jc w:val="center"/>
                    <w:rPr>
                      <w:szCs w:val="21"/>
                    </w:rPr>
                  </w:pPr>
                  <w:r>
                    <w:rPr>
                      <w:szCs w:val="21"/>
                    </w:rPr>
                    <w:t>11、推进重点行业污染深度治理。强化源头防控，鼓励企业采用先进适用的清洁生产原料、技术、工艺和装备。对排放强度高的重污染行业实施清洁化改造。推进吉林建龙、吉林恒联精密、四平金钢、鑫达钢铁、通化钢铁5家钢铁企业污染治理设施超低排放改造。推动水泥行业污染治理设施超低排放改造。长春市、吉林市、辽源市等空气质量未达标地区新建项目主要污染物全面执行大气污染物特别排放限值。</w:t>
                  </w:r>
                </w:p>
              </w:tc>
              <w:tc>
                <w:tcPr>
                  <w:tcW w:w="1912" w:type="pct"/>
                  <w:noWrap w:val="0"/>
                  <w:vAlign w:val="center"/>
                </w:tcPr>
                <w:p w14:paraId="4AF21316">
                  <w:pPr>
                    <w:widowControl/>
                    <w:jc w:val="center"/>
                    <w:rPr>
                      <w:szCs w:val="21"/>
                      <w:highlight w:val="cyan"/>
                    </w:rPr>
                  </w:pPr>
                  <w:r>
                    <w:rPr>
                      <w:rFonts w:hint="eastAsia"/>
                      <w:szCs w:val="21"/>
                    </w:rPr>
                    <w:t>本项目不属于重点行业</w:t>
                  </w:r>
                </w:p>
              </w:tc>
              <w:tc>
                <w:tcPr>
                  <w:tcW w:w="446" w:type="pct"/>
                  <w:noWrap w:val="0"/>
                  <w:vAlign w:val="center"/>
                </w:tcPr>
                <w:p w14:paraId="43C1977C">
                  <w:pPr>
                    <w:widowControl/>
                    <w:jc w:val="center"/>
                    <w:rPr>
                      <w:rFonts w:hint="eastAsia"/>
                      <w:szCs w:val="21"/>
                    </w:rPr>
                  </w:pPr>
                  <w:r>
                    <w:rPr>
                      <w:rFonts w:hint="eastAsia"/>
                      <w:szCs w:val="21"/>
                    </w:rPr>
                    <w:t>符合</w:t>
                  </w:r>
                </w:p>
              </w:tc>
            </w:tr>
          </w:tbl>
          <w:p w14:paraId="656B8775">
            <w:pPr>
              <w:spacing w:line="360" w:lineRule="auto"/>
              <w:ind w:firstLine="420" w:firstLineChars="200"/>
              <w:rPr>
                <w:rFonts w:hint="eastAsia"/>
              </w:rPr>
            </w:pPr>
          </w:p>
        </w:tc>
      </w:tr>
    </w:tbl>
    <w:p w14:paraId="2E231CF5">
      <w:pPr>
        <w:spacing w:line="360" w:lineRule="auto"/>
        <w:outlineLvl w:val="0"/>
        <w:rPr>
          <w:rFonts w:eastAsia="黑体"/>
          <w:sz w:val="30"/>
        </w:rPr>
        <w:sectPr>
          <w:footerReference r:id="rId4" w:type="default"/>
          <w:pgSz w:w="11906" w:h="16838"/>
          <w:pgMar w:top="1440" w:right="1080" w:bottom="1440" w:left="1080" w:header="851" w:footer="1077" w:gutter="0"/>
          <w:pgNumType w:start="1"/>
          <w:cols w:space="720" w:num="1"/>
          <w:docGrid w:linePitch="312" w:charSpace="0"/>
        </w:sectPr>
      </w:pPr>
    </w:p>
    <w:p w14:paraId="21CACF34">
      <w:pPr>
        <w:pStyle w:val="23"/>
        <w:numPr>
          <w:ilvl w:val="0"/>
          <w:numId w:val="2"/>
        </w:numPr>
        <w:wordWrap w:val="0"/>
        <w:spacing w:after="120" w:afterLines="50" w:afterAutospacing="0" w:line="20" w:lineRule="exact"/>
        <w:jc w:val="center"/>
        <w:outlineLvl w:val="0"/>
        <w:rPr>
          <w:rFonts w:hint="eastAsia" w:ascii="黑体" w:hAnsi="黑体" w:eastAsia="黑体"/>
          <w:snapToGrid w:val="0"/>
          <w:sz w:val="30"/>
          <w:szCs w:val="30"/>
        </w:rPr>
      </w:pPr>
      <w:r>
        <w:rPr>
          <w:rFonts w:hint="eastAsia" w:ascii="黑体" w:hAnsi="黑体" w:eastAsia="黑体"/>
          <w:snapToGrid w:val="0"/>
          <w:sz w:val="30"/>
          <w:szCs w:val="30"/>
        </w:rPr>
        <w:t>建设项目工程分析</w:t>
      </w:r>
    </w:p>
    <w:tbl>
      <w:tblPr>
        <w:tblStyle w:val="27"/>
        <w:tblW w:w="495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08"/>
        <w:gridCol w:w="9368"/>
      </w:tblGrid>
      <w:tr w14:paraId="495709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7" w:hRule="atLeast"/>
          <w:jc w:val="center"/>
        </w:trPr>
        <w:tc>
          <w:tcPr>
            <w:tcW w:w="257" w:type="pct"/>
            <w:noWrap w:val="0"/>
            <w:vAlign w:val="center"/>
          </w:tcPr>
          <w:p w14:paraId="2729E153">
            <w:pPr>
              <w:pStyle w:val="23"/>
              <w:adjustRightInd w:val="0"/>
              <w:snapToGrid w:val="0"/>
              <w:spacing w:before="120" w:beforeLines="50" w:beforeAutospacing="0" w:after="120" w:afterLines="50" w:afterAutospacing="0"/>
              <w:jc w:val="center"/>
              <w:rPr>
                <w:rFonts w:ascii="Times New Roman" w:hAnsi="Times New Roman"/>
                <w:szCs w:val="24"/>
              </w:rPr>
            </w:pPr>
          </w:p>
          <w:p w14:paraId="22C46EC9">
            <w:pPr>
              <w:pStyle w:val="23"/>
              <w:adjustRightInd w:val="0"/>
              <w:snapToGrid w:val="0"/>
              <w:spacing w:before="120" w:beforeLines="50" w:beforeAutospacing="0" w:after="120" w:afterLines="50" w:afterAutospacing="0"/>
              <w:jc w:val="center"/>
              <w:rPr>
                <w:rFonts w:ascii="Times New Roman" w:hAnsi="Times New Roman"/>
                <w:szCs w:val="24"/>
              </w:rPr>
            </w:pPr>
          </w:p>
          <w:p w14:paraId="28F71990">
            <w:pPr>
              <w:pStyle w:val="23"/>
              <w:adjustRightInd w:val="0"/>
              <w:snapToGrid w:val="0"/>
              <w:spacing w:before="120" w:beforeLines="50" w:beforeAutospacing="0" w:after="120" w:afterLines="50" w:afterAutospacing="0"/>
              <w:jc w:val="center"/>
              <w:rPr>
                <w:rFonts w:ascii="Times New Roman" w:hAnsi="Times New Roman"/>
                <w:szCs w:val="24"/>
              </w:rPr>
            </w:pPr>
          </w:p>
          <w:p w14:paraId="017A50E8">
            <w:pPr>
              <w:pStyle w:val="23"/>
              <w:adjustRightInd w:val="0"/>
              <w:snapToGrid w:val="0"/>
              <w:spacing w:before="120" w:beforeLines="50" w:beforeAutospacing="0" w:after="120" w:afterLines="50" w:afterAutospacing="0"/>
              <w:jc w:val="center"/>
              <w:rPr>
                <w:rFonts w:ascii="Times New Roman" w:hAnsi="Times New Roman"/>
                <w:szCs w:val="24"/>
              </w:rPr>
            </w:pPr>
          </w:p>
          <w:p w14:paraId="76AA6E22">
            <w:pPr>
              <w:pStyle w:val="23"/>
              <w:adjustRightInd w:val="0"/>
              <w:snapToGrid w:val="0"/>
              <w:spacing w:before="120" w:beforeLines="50" w:beforeAutospacing="0" w:after="120" w:afterLines="50" w:afterAutospacing="0"/>
              <w:jc w:val="center"/>
              <w:rPr>
                <w:rFonts w:ascii="Times New Roman" w:hAnsi="Times New Roman"/>
                <w:szCs w:val="24"/>
              </w:rPr>
            </w:pPr>
          </w:p>
          <w:p w14:paraId="2490A220">
            <w:pPr>
              <w:pStyle w:val="23"/>
              <w:adjustRightInd w:val="0"/>
              <w:snapToGrid w:val="0"/>
              <w:spacing w:before="120" w:beforeLines="50" w:beforeAutospacing="0" w:after="120" w:afterLines="50" w:afterAutospacing="0"/>
              <w:jc w:val="center"/>
              <w:rPr>
                <w:rFonts w:ascii="Times New Roman" w:hAnsi="Times New Roman"/>
                <w:szCs w:val="24"/>
              </w:rPr>
            </w:pPr>
          </w:p>
          <w:p w14:paraId="15CE8D79">
            <w:pPr>
              <w:pStyle w:val="23"/>
              <w:adjustRightInd w:val="0"/>
              <w:snapToGrid w:val="0"/>
              <w:spacing w:before="120" w:beforeLines="50" w:beforeAutospacing="0" w:after="120" w:afterLines="50" w:afterAutospacing="0"/>
              <w:jc w:val="center"/>
              <w:rPr>
                <w:rFonts w:ascii="Times New Roman" w:hAnsi="Times New Roman"/>
                <w:szCs w:val="24"/>
              </w:rPr>
            </w:pPr>
          </w:p>
          <w:p w14:paraId="4DF98E79">
            <w:pPr>
              <w:pStyle w:val="23"/>
              <w:adjustRightInd w:val="0"/>
              <w:snapToGrid w:val="0"/>
              <w:spacing w:before="120" w:beforeLines="50" w:beforeAutospacing="0" w:after="120" w:afterLines="50" w:afterAutospacing="0"/>
              <w:jc w:val="center"/>
              <w:rPr>
                <w:rFonts w:ascii="Times New Roman" w:hAnsi="Times New Roman"/>
                <w:szCs w:val="24"/>
              </w:rPr>
            </w:pPr>
          </w:p>
          <w:p w14:paraId="0684A443">
            <w:pPr>
              <w:pStyle w:val="23"/>
              <w:adjustRightInd w:val="0"/>
              <w:snapToGrid w:val="0"/>
              <w:spacing w:before="120" w:beforeLines="50" w:beforeAutospacing="0" w:after="120" w:afterLines="50" w:afterAutospacing="0"/>
              <w:jc w:val="center"/>
              <w:rPr>
                <w:rFonts w:ascii="Times New Roman" w:hAnsi="Times New Roman"/>
                <w:szCs w:val="24"/>
              </w:rPr>
            </w:pPr>
          </w:p>
          <w:p w14:paraId="6382BD3C">
            <w:pPr>
              <w:pStyle w:val="23"/>
              <w:adjustRightInd w:val="0"/>
              <w:snapToGrid w:val="0"/>
              <w:spacing w:before="120" w:beforeLines="50" w:beforeAutospacing="0" w:after="120" w:afterLines="50" w:afterAutospacing="0"/>
              <w:jc w:val="center"/>
              <w:rPr>
                <w:rFonts w:ascii="Times New Roman" w:hAnsi="Times New Roman"/>
                <w:szCs w:val="24"/>
              </w:rPr>
            </w:pPr>
          </w:p>
          <w:p w14:paraId="22884A44">
            <w:pPr>
              <w:pStyle w:val="23"/>
              <w:adjustRightInd w:val="0"/>
              <w:snapToGrid w:val="0"/>
              <w:spacing w:before="120" w:beforeLines="50" w:beforeAutospacing="0" w:after="120" w:afterLines="50" w:afterAutospacing="0"/>
              <w:jc w:val="center"/>
              <w:rPr>
                <w:rFonts w:ascii="Times New Roman" w:hAnsi="Times New Roman"/>
                <w:szCs w:val="24"/>
              </w:rPr>
            </w:pPr>
          </w:p>
          <w:p w14:paraId="46C4141A">
            <w:pPr>
              <w:pStyle w:val="23"/>
              <w:adjustRightInd w:val="0"/>
              <w:snapToGrid w:val="0"/>
              <w:spacing w:before="120" w:beforeLines="50" w:beforeAutospacing="0" w:after="120" w:afterLines="50" w:afterAutospacing="0"/>
              <w:jc w:val="center"/>
              <w:rPr>
                <w:rFonts w:ascii="Times New Roman" w:hAnsi="Times New Roman"/>
                <w:szCs w:val="24"/>
              </w:rPr>
            </w:pPr>
          </w:p>
          <w:p w14:paraId="56FE8F52">
            <w:pPr>
              <w:pStyle w:val="23"/>
              <w:adjustRightInd w:val="0"/>
              <w:snapToGrid w:val="0"/>
              <w:spacing w:before="120" w:beforeLines="50" w:beforeAutospacing="0" w:after="120" w:afterLines="50" w:afterAutospacing="0"/>
              <w:jc w:val="center"/>
              <w:rPr>
                <w:rFonts w:ascii="Times New Roman" w:hAnsi="Times New Roman"/>
                <w:szCs w:val="24"/>
              </w:rPr>
            </w:pPr>
          </w:p>
          <w:p w14:paraId="42545E34">
            <w:pPr>
              <w:pStyle w:val="23"/>
              <w:adjustRightInd w:val="0"/>
              <w:snapToGrid w:val="0"/>
              <w:spacing w:before="120" w:beforeLines="50" w:beforeAutospacing="0" w:after="120" w:afterLines="50" w:afterAutospacing="0"/>
              <w:jc w:val="center"/>
              <w:rPr>
                <w:rFonts w:ascii="Times New Roman" w:hAnsi="Times New Roman"/>
                <w:szCs w:val="24"/>
              </w:rPr>
            </w:pPr>
          </w:p>
          <w:p w14:paraId="0C94EBC0">
            <w:pPr>
              <w:pStyle w:val="23"/>
              <w:adjustRightInd w:val="0"/>
              <w:snapToGrid w:val="0"/>
              <w:spacing w:before="120" w:beforeLines="50" w:beforeAutospacing="0" w:after="120" w:afterLines="50" w:afterAutospacing="0"/>
              <w:jc w:val="center"/>
              <w:rPr>
                <w:rFonts w:ascii="Times New Roman" w:hAnsi="Times New Roman"/>
                <w:szCs w:val="24"/>
              </w:rPr>
            </w:pPr>
          </w:p>
          <w:p w14:paraId="4ABD4135">
            <w:pPr>
              <w:pStyle w:val="23"/>
              <w:adjustRightInd w:val="0"/>
              <w:snapToGrid w:val="0"/>
              <w:spacing w:before="120" w:beforeLines="50" w:beforeAutospacing="0" w:after="120" w:afterLines="50" w:afterAutospacing="0"/>
              <w:jc w:val="center"/>
              <w:rPr>
                <w:rFonts w:ascii="Times New Roman" w:hAnsi="Times New Roman"/>
                <w:szCs w:val="24"/>
              </w:rPr>
            </w:pPr>
            <w:r>
              <mc:AlternateContent>
                <mc:Choice Requires="wps">
                  <w:drawing>
                    <wp:anchor distT="0" distB="0" distL="114300" distR="114300" simplePos="0" relativeHeight="251659264" behindDoc="0" locked="0" layoutInCell="1" allowOverlap="1">
                      <wp:simplePos x="0" y="0"/>
                      <wp:positionH relativeFrom="column">
                        <wp:posOffset>2125345</wp:posOffset>
                      </wp:positionH>
                      <wp:positionV relativeFrom="paragraph">
                        <wp:posOffset>130157855</wp:posOffset>
                      </wp:positionV>
                      <wp:extent cx="1105535" cy="22336760"/>
                      <wp:effectExtent l="45085" t="0" r="11430" b="8890"/>
                      <wp:wrapNone/>
                      <wp:docPr id="1" name="自选图形 82"/>
                      <wp:cNvGraphicFramePr/>
                      <a:graphic xmlns:a="http://schemas.openxmlformats.org/drawingml/2006/main">
                        <a:graphicData uri="http://schemas.microsoft.com/office/word/2010/wordprocessingShape">
                          <wps:wsp>
                            <wps:cNvCnPr/>
                            <wps:spPr>
                              <a:xfrm flipH="1">
                                <a:off x="0" y="0"/>
                                <a:ext cx="1105535" cy="2233676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自选图形 82" o:spid="_x0000_s1026" o:spt="32" type="#_x0000_t32" style="position:absolute;left:0pt;flip:x;margin-left:167.35pt;margin-top:10248.65pt;height:1758.8pt;width:87.05pt;z-index:251659264;mso-width-relative:page;mso-height-relative:page;" filled="f" stroked="t" coordsize="21600,21600" o:gfxdata="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NKH49wAAAAPAQAADwAAAAAAAAABACAA&#10;AAAiAAAAZHJzL2Rvd25yZXYueG1sUEsBAhQAFAAAAAgAh07iQPxs9nMJAgAA9gMAAA4AAAAAAAAA&#10;AQAgAAAAKwEAAGRycy9lMm9Eb2MueG1sUEsFBgAAAAAGAAYAWQEAAKYFAAAAAA==&#10;">
                      <v:fill on="f" focussize="0,0"/>
                      <v:stroke color="#000000" joinstyle="round" endarrow="open"/>
                      <v:imagedata o:title=""/>
                      <o:lock v:ext="edit" aspectratio="f"/>
                    </v:shape>
                  </w:pict>
                </mc:Fallback>
              </mc:AlternateContent>
            </w:r>
            <w:r>
              <w:rPr>
                <w:rFonts w:ascii="Times New Roman" w:hAnsi="Times New Roman"/>
                <w:szCs w:val="24"/>
              </w:rPr>
              <w:t>建设内容</w:t>
            </w:r>
          </w:p>
        </w:tc>
        <w:tc>
          <w:tcPr>
            <w:tcW w:w="4742" w:type="pct"/>
            <w:noWrap w:val="0"/>
            <w:vAlign w:val="top"/>
          </w:tcPr>
          <w:p w14:paraId="685E4492">
            <w:pPr>
              <w:spacing w:line="360" w:lineRule="auto"/>
              <w:ind w:firstLine="482" w:firstLineChars="200"/>
              <w:rPr>
                <w:b/>
                <w:sz w:val="24"/>
              </w:rPr>
            </w:pPr>
            <w:r>
              <w:rPr>
                <w:b/>
                <w:sz w:val="24"/>
              </w:rPr>
              <w:t>1、建设地点及周围环境概况</w:t>
            </w:r>
          </w:p>
          <w:p w14:paraId="013B7C8D">
            <w:pPr>
              <w:spacing w:line="360" w:lineRule="auto"/>
              <w:ind w:firstLine="480" w:firstLineChars="200"/>
              <w:rPr>
                <w:kern w:val="0"/>
                <w:sz w:val="24"/>
              </w:rPr>
            </w:pPr>
            <w:r>
              <w:rPr>
                <w:kern w:val="0"/>
                <w:sz w:val="24"/>
              </w:rPr>
              <w:t>项目位于</w:t>
            </w:r>
            <w:r>
              <w:rPr>
                <w:rFonts w:hint="eastAsia"/>
                <w:kern w:val="0"/>
                <w:sz w:val="24"/>
              </w:rPr>
              <w:t>北湖科技开发区吉兴产业园B区</w:t>
            </w:r>
            <w:r>
              <w:rPr>
                <w:rFonts w:hint="eastAsia"/>
                <w:kern w:val="0"/>
                <w:sz w:val="24"/>
                <w:lang w:val="en-US" w:eastAsia="zh-CN"/>
              </w:rPr>
              <w:t>4</w:t>
            </w:r>
            <w:r>
              <w:rPr>
                <w:rFonts w:hint="eastAsia"/>
                <w:kern w:val="0"/>
                <w:sz w:val="24"/>
              </w:rPr>
              <w:t>-</w:t>
            </w:r>
            <w:r>
              <w:rPr>
                <w:rFonts w:hint="eastAsia"/>
                <w:kern w:val="0"/>
                <w:sz w:val="24"/>
                <w:lang w:val="en-US" w:eastAsia="zh-CN"/>
              </w:rPr>
              <w:t>1</w:t>
            </w:r>
            <w:r>
              <w:rPr>
                <w:rFonts w:hint="eastAsia"/>
                <w:kern w:val="0"/>
                <w:sz w:val="24"/>
              </w:rPr>
              <w:t>栋厂房1层</w:t>
            </w:r>
            <w:r>
              <w:rPr>
                <w:kern w:val="0"/>
                <w:sz w:val="24"/>
              </w:rPr>
              <w:t>，建设项目地理坐标为经度12</w:t>
            </w:r>
            <w:r>
              <w:rPr>
                <w:rFonts w:hint="eastAsia"/>
                <w:kern w:val="0"/>
                <w:sz w:val="24"/>
              </w:rPr>
              <w:t>5</w:t>
            </w:r>
            <w:r>
              <w:rPr>
                <w:kern w:val="0"/>
                <w:sz w:val="24"/>
              </w:rPr>
              <w:t>°</w:t>
            </w:r>
            <w:r>
              <w:rPr>
                <w:rFonts w:hint="eastAsia"/>
                <w:kern w:val="0"/>
                <w:sz w:val="24"/>
              </w:rPr>
              <w:t>26</w:t>
            </w:r>
            <w:r>
              <w:rPr>
                <w:kern w:val="0"/>
                <w:sz w:val="24"/>
              </w:rPr>
              <w:t>′</w:t>
            </w:r>
            <w:r>
              <w:rPr>
                <w:rFonts w:hint="eastAsia"/>
                <w:kern w:val="0"/>
                <w:sz w:val="24"/>
                <w:lang w:val="en-US" w:eastAsia="zh-CN"/>
              </w:rPr>
              <w:t>35.639</w:t>
            </w:r>
            <w:r>
              <w:rPr>
                <w:kern w:val="0"/>
                <w:sz w:val="24"/>
              </w:rPr>
              <w:t>″、纬度4</w:t>
            </w:r>
            <w:r>
              <w:rPr>
                <w:rFonts w:hint="eastAsia"/>
                <w:kern w:val="0"/>
                <w:sz w:val="24"/>
              </w:rPr>
              <w:t>4</w:t>
            </w:r>
            <w:r>
              <w:rPr>
                <w:kern w:val="0"/>
                <w:sz w:val="24"/>
              </w:rPr>
              <w:t>°</w:t>
            </w:r>
            <w:r>
              <w:rPr>
                <w:rFonts w:hint="eastAsia"/>
                <w:kern w:val="0"/>
                <w:sz w:val="24"/>
              </w:rPr>
              <w:t>3</w:t>
            </w:r>
            <w:r>
              <w:rPr>
                <w:kern w:val="0"/>
                <w:sz w:val="24"/>
              </w:rPr>
              <w:t>′</w:t>
            </w:r>
            <w:r>
              <w:rPr>
                <w:rFonts w:hint="eastAsia"/>
                <w:kern w:val="0"/>
                <w:sz w:val="24"/>
                <w:lang w:val="en-US" w:eastAsia="zh-CN"/>
              </w:rPr>
              <w:t>51.319</w:t>
            </w:r>
            <w:r>
              <w:rPr>
                <w:kern w:val="0"/>
                <w:sz w:val="24"/>
              </w:rPr>
              <w:t>″</w:t>
            </w:r>
            <w:r>
              <w:rPr>
                <w:sz w:val="24"/>
              </w:rPr>
              <w:t>。</w:t>
            </w:r>
            <w:r>
              <w:rPr>
                <w:kern w:val="0"/>
                <w:sz w:val="24"/>
              </w:rPr>
              <w:t>经现场踏查，</w:t>
            </w:r>
            <w:r>
              <w:rPr>
                <w:rFonts w:hint="eastAsia"/>
                <w:kern w:val="0"/>
                <w:sz w:val="24"/>
              </w:rPr>
              <w:t>项目东侧为园区</w:t>
            </w:r>
            <w:r>
              <w:rPr>
                <w:rFonts w:hint="eastAsia"/>
                <w:kern w:val="0"/>
                <w:sz w:val="24"/>
                <w:lang w:val="en-US" w:eastAsia="zh-CN"/>
              </w:rPr>
              <w:t>5-1及5-2栋</w:t>
            </w:r>
            <w:r>
              <w:rPr>
                <w:rFonts w:hint="eastAsia"/>
                <w:kern w:val="0"/>
                <w:sz w:val="24"/>
              </w:rPr>
              <w:t>厂房，南侧</w:t>
            </w:r>
            <w:r>
              <w:rPr>
                <w:rFonts w:hint="eastAsia"/>
                <w:kern w:val="0"/>
                <w:sz w:val="24"/>
                <w:lang w:eastAsia="zh-CN"/>
              </w:rPr>
              <w:t>为</w:t>
            </w:r>
            <w:r>
              <w:rPr>
                <w:rFonts w:hint="eastAsia"/>
                <w:kern w:val="0"/>
                <w:sz w:val="24"/>
                <w:lang w:val="en-US" w:eastAsia="zh-CN"/>
              </w:rPr>
              <w:t>4</w:t>
            </w:r>
            <w:r>
              <w:rPr>
                <w:rFonts w:hint="eastAsia"/>
                <w:kern w:val="0"/>
                <w:sz w:val="24"/>
              </w:rPr>
              <w:t>-</w:t>
            </w:r>
            <w:r>
              <w:rPr>
                <w:rFonts w:hint="eastAsia"/>
                <w:kern w:val="0"/>
                <w:sz w:val="24"/>
                <w:lang w:val="en-US" w:eastAsia="zh-CN"/>
              </w:rPr>
              <w:t>2</w:t>
            </w:r>
            <w:r>
              <w:rPr>
                <w:rFonts w:hint="eastAsia"/>
                <w:kern w:val="0"/>
                <w:sz w:val="24"/>
              </w:rPr>
              <w:t>栋厂房，西侧</w:t>
            </w:r>
            <w:r>
              <w:rPr>
                <w:rFonts w:hint="eastAsia"/>
                <w:kern w:val="0"/>
                <w:sz w:val="24"/>
                <w:lang w:eastAsia="zh-CN"/>
              </w:rPr>
              <w:t>为道路</w:t>
            </w:r>
            <w:r>
              <w:rPr>
                <w:kern w:val="0"/>
                <w:sz w:val="24"/>
              </w:rPr>
              <w:t>，</w:t>
            </w:r>
            <w:r>
              <w:rPr>
                <w:rFonts w:hint="eastAsia"/>
                <w:kern w:val="0"/>
                <w:sz w:val="24"/>
              </w:rPr>
              <w:t>北侧为在建的</w:t>
            </w:r>
            <w:r>
              <w:rPr>
                <w:rFonts w:hint="eastAsia"/>
                <w:kern w:val="0"/>
                <w:sz w:val="24"/>
                <w:lang w:val="en-US" w:eastAsia="zh-CN"/>
              </w:rPr>
              <w:t>1号</w:t>
            </w:r>
            <w:r>
              <w:rPr>
                <w:rFonts w:hint="eastAsia"/>
                <w:kern w:val="0"/>
                <w:sz w:val="24"/>
              </w:rPr>
              <w:t>厂房，</w:t>
            </w:r>
            <w:r>
              <w:rPr>
                <w:kern w:val="0"/>
                <w:sz w:val="24"/>
              </w:rPr>
              <w:t>距离本项目最近的敏感点为</w:t>
            </w:r>
            <w:r>
              <w:rPr>
                <w:rFonts w:hint="eastAsia"/>
                <w:kern w:val="0"/>
                <w:sz w:val="24"/>
              </w:rPr>
              <w:t>本项目</w:t>
            </w:r>
            <w:r>
              <w:rPr>
                <w:rFonts w:hint="eastAsia"/>
                <w:kern w:val="0"/>
                <w:sz w:val="24"/>
                <w:lang w:eastAsia="zh-CN"/>
              </w:rPr>
              <w:t>北</w:t>
            </w:r>
            <w:r>
              <w:rPr>
                <w:rFonts w:hint="eastAsia"/>
                <w:kern w:val="0"/>
                <w:sz w:val="24"/>
              </w:rPr>
              <w:t>侧</w:t>
            </w:r>
            <w:r>
              <w:rPr>
                <w:rFonts w:hint="eastAsia"/>
                <w:kern w:val="0"/>
                <w:sz w:val="24"/>
                <w:lang w:val="en-US" w:eastAsia="zh-CN"/>
              </w:rPr>
              <w:t>920</w:t>
            </w:r>
            <w:r>
              <w:rPr>
                <w:rFonts w:hint="eastAsia"/>
                <w:kern w:val="0"/>
                <w:sz w:val="24"/>
              </w:rPr>
              <w:t>m的中韩示范区文德中学</w:t>
            </w:r>
            <w:r>
              <w:rPr>
                <w:kern w:val="0"/>
                <w:sz w:val="24"/>
              </w:rPr>
              <w:t>。</w:t>
            </w:r>
          </w:p>
          <w:p w14:paraId="058861B5">
            <w:pPr>
              <w:pStyle w:val="21"/>
              <w:spacing w:line="360" w:lineRule="auto"/>
              <w:ind w:left="0" w:firstLine="480" w:firstLineChars="200"/>
              <w:rPr>
                <w:sz w:val="24"/>
              </w:rPr>
            </w:pPr>
            <w:r>
              <w:rPr>
                <w:sz w:val="24"/>
              </w:rPr>
              <w:t>项目地理位置图详见附图1，厂区平面布置图详见</w:t>
            </w:r>
            <w:r>
              <w:rPr>
                <w:sz w:val="24"/>
                <w:highlight w:val="none"/>
              </w:rPr>
              <w:t>附图</w:t>
            </w:r>
            <w:r>
              <w:rPr>
                <w:rFonts w:hint="eastAsia"/>
                <w:sz w:val="24"/>
                <w:highlight w:val="none"/>
              </w:rPr>
              <w:t>4</w:t>
            </w:r>
            <w:r>
              <w:rPr>
                <w:sz w:val="24"/>
              </w:rPr>
              <w:t>，现场照片详见</w:t>
            </w:r>
            <w:r>
              <w:rPr>
                <w:sz w:val="24"/>
                <w:highlight w:val="none"/>
              </w:rPr>
              <w:t>附图</w:t>
            </w:r>
            <w:r>
              <w:rPr>
                <w:rFonts w:hint="eastAsia"/>
                <w:sz w:val="24"/>
                <w:highlight w:val="none"/>
              </w:rPr>
              <w:t>9</w:t>
            </w:r>
            <w:r>
              <w:rPr>
                <w:sz w:val="24"/>
              </w:rPr>
              <w:t>。</w:t>
            </w:r>
          </w:p>
          <w:p w14:paraId="3DF08587">
            <w:pPr>
              <w:adjustRightInd w:val="0"/>
              <w:snapToGrid w:val="0"/>
              <w:spacing w:line="360" w:lineRule="auto"/>
              <w:ind w:firstLine="482" w:firstLineChars="200"/>
              <w:rPr>
                <w:b/>
                <w:sz w:val="24"/>
              </w:rPr>
            </w:pPr>
            <w:r>
              <w:rPr>
                <w:b/>
                <w:sz w:val="24"/>
              </w:rPr>
              <w:t>2、建设内容及工程组成</w:t>
            </w:r>
          </w:p>
          <w:p w14:paraId="1263EC0E">
            <w:pPr>
              <w:adjustRightInd w:val="0"/>
              <w:snapToGrid w:val="0"/>
              <w:spacing w:line="360" w:lineRule="auto"/>
              <w:ind w:firstLine="480" w:firstLineChars="200"/>
              <w:rPr>
                <w:sz w:val="24"/>
              </w:rPr>
            </w:pPr>
            <w:r>
              <w:rPr>
                <w:bCs/>
                <w:sz w:val="24"/>
              </w:rPr>
              <w:t>本项目</w:t>
            </w:r>
            <w:r>
              <w:rPr>
                <w:rFonts w:hint="eastAsia"/>
                <w:bCs/>
                <w:sz w:val="24"/>
              </w:rPr>
              <w:t>占地面积为</w:t>
            </w:r>
            <w:r>
              <w:rPr>
                <w:rFonts w:hint="eastAsia"/>
                <w:bCs/>
                <w:sz w:val="24"/>
                <w:lang w:val="en-US" w:eastAsia="zh-CN"/>
              </w:rPr>
              <w:t>1189</w:t>
            </w:r>
            <w:r>
              <w:rPr>
                <w:rFonts w:hint="eastAsia"/>
                <w:bCs/>
                <w:sz w:val="24"/>
              </w:rPr>
              <w:t>m</w:t>
            </w:r>
            <w:r>
              <w:rPr>
                <w:rFonts w:hint="eastAsia"/>
                <w:bCs/>
                <w:sz w:val="24"/>
                <w:vertAlign w:val="superscript"/>
              </w:rPr>
              <w:t>2</w:t>
            </w:r>
            <w:r>
              <w:rPr>
                <w:bCs/>
                <w:sz w:val="24"/>
              </w:rPr>
              <w:t>，</w:t>
            </w:r>
            <w:r>
              <w:rPr>
                <w:sz w:val="24"/>
              </w:rPr>
              <w:t>建筑面积</w:t>
            </w:r>
            <w:r>
              <w:rPr>
                <w:rFonts w:hint="eastAsia"/>
                <w:sz w:val="24"/>
                <w:lang w:val="en-US" w:eastAsia="zh-CN"/>
              </w:rPr>
              <w:t>1189</w:t>
            </w:r>
            <w:r>
              <w:rPr>
                <w:sz w:val="24"/>
              </w:rPr>
              <w:t>m</w:t>
            </w:r>
            <w:r>
              <w:rPr>
                <w:sz w:val="24"/>
                <w:vertAlign w:val="superscript"/>
              </w:rPr>
              <w:t>2</w:t>
            </w:r>
            <w:r>
              <w:rPr>
                <w:sz w:val="24"/>
              </w:rPr>
              <w:t>。</w:t>
            </w:r>
            <w:r>
              <w:rPr>
                <w:bCs/>
                <w:sz w:val="24"/>
              </w:rPr>
              <w:t>用地性质为工业用地</w:t>
            </w:r>
            <w:r>
              <w:rPr>
                <w:sz w:val="24"/>
              </w:rPr>
              <w:t>，</w:t>
            </w:r>
            <w:r>
              <w:rPr>
                <w:bCs/>
                <w:sz w:val="24"/>
                <w:highlight w:val="none"/>
              </w:rPr>
              <w:t>详见</w:t>
            </w:r>
            <w:r>
              <w:rPr>
                <w:rFonts w:hint="eastAsia"/>
                <w:bCs/>
                <w:sz w:val="24"/>
                <w:highlight w:val="none"/>
              </w:rPr>
              <w:t>附图2</w:t>
            </w:r>
            <w:r>
              <w:rPr>
                <w:bCs/>
                <w:sz w:val="24"/>
                <w:highlight w:val="none"/>
              </w:rPr>
              <w:t>。</w:t>
            </w:r>
            <w:r>
              <w:rPr>
                <w:rFonts w:hint="eastAsia"/>
                <w:sz w:val="24"/>
              </w:rPr>
              <w:t>项目租赁吉兴产业园B区</w:t>
            </w:r>
            <w:r>
              <w:rPr>
                <w:rFonts w:hint="eastAsia"/>
                <w:sz w:val="24"/>
                <w:lang w:val="en-US" w:eastAsia="zh-CN"/>
              </w:rPr>
              <w:t>4-1</w:t>
            </w:r>
            <w:r>
              <w:rPr>
                <w:rFonts w:hint="eastAsia"/>
                <w:sz w:val="24"/>
              </w:rPr>
              <w:t>栋厂房建设实验室，从事科研实验工作</w:t>
            </w:r>
            <w:r>
              <w:rPr>
                <w:rFonts w:hint="eastAsia"/>
                <w:i/>
                <w:iCs/>
                <w:sz w:val="24"/>
                <w:u w:val="single"/>
                <w:lang w:eastAsia="zh-CN"/>
              </w:rPr>
              <w:t>（不属于研发中试）</w:t>
            </w:r>
            <w:r>
              <w:rPr>
                <w:rFonts w:hint="eastAsia"/>
                <w:sz w:val="24"/>
              </w:rPr>
              <w:t>，实验对象为大型钢结构用长效聚醚醚酮防腐涂料，租赁协议详见</w:t>
            </w:r>
            <w:r>
              <w:rPr>
                <w:rFonts w:hint="eastAsia"/>
                <w:sz w:val="24"/>
                <w:highlight w:val="none"/>
              </w:rPr>
              <w:t>附件3，</w:t>
            </w:r>
            <w:r>
              <w:rPr>
                <w:bCs/>
                <w:sz w:val="24"/>
              </w:rPr>
              <w:t>本项目工程组成内容详见下表。</w:t>
            </w:r>
          </w:p>
          <w:p w14:paraId="63FEDF5A">
            <w:pPr>
              <w:jc w:val="center"/>
              <w:rPr>
                <w:b/>
                <w:sz w:val="24"/>
              </w:rPr>
            </w:pPr>
            <w:r>
              <w:rPr>
                <w:b/>
                <w:sz w:val="24"/>
              </w:rPr>
              <w:t>表2-1  本项目工程组成一览表</w:t>
            </w:r>
          </w:p>
          <w:tbl>
            <w:tblPr>
              <w:tblStyle w:val="27"/>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 w:type="dxa"/>
                <w:bottom w:w="0" w:type="dxa"/>
                <w:right w:w="10" w:type="dxa"/>
              </w:tblCellMar>
            </w:tblPr>
            <w:tblGrid>
              <w:gridCol w:w="604"/>
              <w:gridCol w:w="598"/>
              <w:gridCol w:w="1054"/>
              <w:gridCol w:w="6078"/>
              <w:gridCol w:w="813"/>
            </w:tblGrid>
            <w:tr w14:paraId="7424AFA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90" w:hRule="atLeast"/>
                <w:jc w:val="center"/>
              </w:trPr>
              <w:tc>
                <w:tcPr>
                  <w:tcW w:w="330" w:type="pct"/>
                  <w:noWrap w:val="0"/>
                  <w:vAlign w:val="center"/>
                </w:tcPr>
                <w:p w14:paraId="49A2067D">
                  <w:pPr>
                    <w:pStyle w:val="93"/>
                    <w:spacing w:after="0" w:line="240" w:lineRule="auto"/>
                    <w:ind w:firstLine="0"/>
                    <w:jc w:val="center"/>
                    <w:rPr>
                      <w:rFonts w:ascii="Times New Roman" w:hAnsi="Times New Roman" w:cs="Times New Roman"/>
                      <w:sz w:val="21"/>
                      <w:szCs w:val="21"/>
                    </w:rPr>
                  </w:pPr>
                  <w:r>
                    <w:rPr>
                      <w:rFonts w:ascii="Times New Roman" w:hAnsi="Times New Roman" w:cs="Times New Roman"/>
                      <w:sz w:val="21"/>
                      <w:szCs w:val="21"/>
                    </w:rPr>
                    <w:t>项目</w:t>
                  </w:r>
                </w:p>
              </w:tc>
              <w:tc>
                <w:tcPr>
                  <w:tcW w:w="903" w:type="pct"/>
                  <w:gridSpan w:val="2"/>
                  <w:noWrap w:val="0"/>
                  <w:vAlign w:val="center"/>
                </w:tcPr>
                <w:p w14:paraId="7005AEC2">
                  <w:pPr>
                    <w:pStyle w:val="93"/>
                    <w:spacing w:after="0" w:line="240" w:lineRule="auto"/>
                    <w:ind w:firstLine="0"/>
                    <w:jc w:val="center"/>
                    <w:rPr>
                      <w:rFonts w:ascii="Times New Roman" w:hAnsi="Times New Roman" w:cs="Times New Roman"/>
                      <w:sz w:val="21"/>
                      <w:szCs w:val="21"/>
                    </w:rPr>
                  </w:pPr>
                  <w:r>
                    <w:rPr>
                      <w:rFonts w:ascii="Times New Roman" w:hAnsi="Times New Roman" w:cs="Times New Roman"/>
                      <w:sz w:val="21"/>
                      <w:szCs w:val="21"/>
                    </w:rPr>
                    <w:t>工程组成</w:t>
                  </w:r>
                </w:p>
              </w:tc>
              <w:tc>
                <w:tcPr>
                  <w:tcW w:w="3321" w:type="pct"/>
                  <w:noWrap w:val="0"/>
                  <w:vAlign w:val="center"/>
                </w:tcPr>
                <w:p w14:paraId="28E9781A">
                  <w:pPr>
                    <w:pStyle w:val="93"/>
                    <w:spacing w:after="0" w:line="240" w:lineRule="auto"/>
                    <w:ind w:firstLine="0"/>
                    <w:jc w:val="center"/>
                    <w:rPr>
                      <w:rFonts w:ascii="Times New Roman" w:hAnsi="Times New Roman" w:cs="Times New Roman"/>
                      <w:sz w:val="21"/>
                      <w:szCs w:val="21"/>
                    </w:rPr>
                  </w:pPr>
                  <w:r>
                    <w:rPr>
                      <w:rFonts w:ascii="Times New Roman" w:hAnsi="Times New Roman" w:cs="Times New Roman"/>
                      <w:sz w:val="21"/>
                      <w:szCs w:val="21"/>
                      <w:lang w:val="en-US" w:eastAsia="zh-CN"/>
                    </w:rPr>
                    <w:t>工程</w:t>
                  </w:r>
                  <w:r>
                    <w:rPr>
                      <w:rFonts w:ascii="Times New Roman" w:hAnsi="Times New Roman" w:cs="Times New Roman"/>
                      <w:sz w:val="21"/>
                      <w:szCs w:val="21"/>
                    </w:rPr>
                    <w:t>内容</w:t>
                  </w:r>
                </w:p>
              </w:tc>
              <w:tc>
                <w:tcPr>
                  <w:tcW w:w="444" w:type="pct"/>
                  <w:noWrap w:val="0"/>
                  <w:vAlign w:val="center"/>
                </w:tcPr>
                <w:p w14:paraId="7F0FAFDA">
                  <w:pPr>
                    <w:pStyle w:val="93"/>
                    <w:spacing w:after="0" w:line="240" w:lineRule="auto"/>
                    <w:ind w:firstLine="0"/>
                    <w:jc w:val="center"/>
                    <w:rPr>
                      <w:rFonts w:ascii="Times New Roman" w:hAnsi="Times New Roman" w:cs="Times New Roman"/>
                      <w:sz w:val="21"/>
                      <w:szCs w:val="21"/>
                      <w:lang w:val="en-US" w:eastAsia="zh-CN"/>
                    </w:rPr>
                  </w:pPr>
                  <w:r>
                    <w:rPr>
                      <w:rFonts w:ascii="Times New Roman" w:hAnsi="Times New Roman" w:cs="Times New Roman"/>
                      <w:sz w:val="21"/>
                      <w:szCs w:val="21"/>
                      <w:lang w:val="en-US" w:eastAsia="zh-CN"/>
                    </w:rPr>
                    <w:t>备注</w:t>
                  </w:r>
                </w:p>
              </w:tc>
            </w:tr>
            <w:tr w14:paraId="07D9DFD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282" w:hRule="atLeast"/>
                <w:jc w:val="center"/>
              </w:trPr>
              <w:tc>
                <w:tcPr>
                  <w:tcW w:w="330" w:type="pct"/>
                  <w:vMerge w:val="restart"/>
                  <w:noWrap w:val="0"/>
                  <w:vAlign w:val="center"/>
                </w:tcPr>
                <w:p w14:paraId="68372351">
                  <w:pPr>
                    <w:pStyle w:val="93"/>
                    <w:spacing w:after="0" w:line="240" w:lineRule="auto"/>
                    <w:ind w:firstLine="0"/>
                    <w:jc w:val="center"/>
                    <w:rPr>
                      <w:rFonts w:ascii="Times New Roman" w:hAnsi="Times New Roman" w:cs="Times New Roman"/>
                      <w:sz w:val="21"/>
                      <w:szCs w:val="21"/>
                    </w:rPr>
                  </w:pPr>
                  <w:r>
                    <w:rPr>
                      <w:rFonts w:ascii="Times New Roman" w:hAnsi="Times New Roman" w:cs="Times New Roman"/>
                      <w:sz w:val="21"/>
                      <w:szCs w:val="21"/>
                    </w:rPr>
                    <w:t>主体工程</w:t>
                  </w:r>
                </w:p>
              </w:tc>
              <w:tc>
                <w:tcPr>
                  <w:tcW w:w="903" w:type="pct"/>
                  <w:gridSpan w:val="2"/>
                  <w:noWrap w:val="0"/>
                  <w:vAlign w:val="center"/>
                </w:tcPr>
                <w:p w14:paraId="09C70A57">
                  <w:pPr>
                    <w:pStyle w:val="93"/>
                    <w:spacing w:after="0" w:line="240" w:lineRule="auto"/>
                    <w:ind w:firstLine="0"/>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制备实验室</w:t>
                  </w:r>
                </w:p>
              </w:tc>
              <w:tc>
                <w:tcPr>
                  <w:tcW w:w="3321" w:type="pct"/>
                  <w:noWrap w:val="0"/>
                  <w:vAlign w:val="center"/>
                </w:tcPr>
                <w:p w14:paraId="3DAF6367">
                  <w:pPr>
                    <w:pStyle w:val="93"/>
                    <w:spacing w:after="0" w:line="240" w:lineRule="auto"/>
                    <w:ind w:firstLine="0"/>
                    <w:jc w:val="center"/>
                    <w:rPr>
                      <w:rFonts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位于厂房东南侧</w:t>
                  </w:r>
                  <w:r>
                    <w:rPr>
                      <w:rFonts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占地面积59.2</w:t>
                  </w:r>
                  <w:r>
                    <w:rPr>
                      <w:rFonts w:ascii="Times New Roman" w:hAnsi="Times New Roman" w:cs="Times New Roman"/>
                      <w:sz w:val="21"/>
                      <w:szCs w:val="21"/>
                      <w:lang w:val="en-US" w:eastAsia="zh-CN"/>
                    </w:rPr>
                    <w:t>m</w:t>
                  </w:r>
                  <w:r>
                    <w:rPr>
                      <w:rFonts w:ascii="Times New Roman" w:hAnsi="Times New Roman" w:cs="Times New Roman"/>
                      <w:sz w:val="21"/>
                      <w:szCs w:val="21"/>
                      <w:vertAlign w:val="superscript"/>
                      <w:lang w:val="en-US" w:eastAsia="zh-CN"/>
                    </w:rPr>
                    <w:t>2</w:t>
                  </w:r>
                  <w:r>
                    <w:rPr>
                      <w:rFonts w:hint="eastAsia" w:ascii="Times New Roman" w:hAnsi="Times New Roman" w:cs="Times New Roman"/>
                      <w:sz w:val="21"/>
                      <w:szCs w:val="21"/>
                      <w:lang w:val="en-US" w:eastAsia="zh-CN"/>
                    </w:rPr>
                    <w:t>，主要进行涂料的制备实验。</w:t>
                  </w:r>
                </w:p>
              </w:tc>
              <w:tc>
                <w:tcPr>
                  <w:tcW w:w="444" w:type="pct"/>
                  <w:noWrap w:val="0"/>
                  <w:vAlign w:val="center"/>
                </w:tcPr>
                <w:p w14:paraId="5908CDF3">
                  <w:pPr>
                    <w:pStyle w:val="93"/>
                    <w:spacing w:after="0" w:line="240" w:lineRule="auto"/>
                    <w:ind w:firstLine="0"/>
                    <w:jc w:val="center"/>
                    <w:rPr>
                      <w:rFonts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新建</w:t>
                  </w:r>
                </w:p>
              </w:tc>
            </w:tr>
            <w:tr w14:paraId="71460EB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282" w:hRule="atLeast"/>
                <w:jc w:val="center"/>
              </w:trPr>
              <w:tc>
                <w:tcPr>
                  <w:tcW w:w="330" w:type="pct"/>
                  <w:vMerge w:val="continue"/>
                  <w:noWrap w:val="0"/>
                  <w:vAlign w:val="center"/>
                </w:tcPr>
                <w:p w14:paraId="0573B20C">
                  <w:pPr>
                    <w:pStyle w:val="93"/>
                    <w:spacing w:after="0" w:line="240" w:lineRule="auto"/>
                    <w:ind w:firstLine="0"/>
                    <w:jc w:val="center"/>
                    <w:rPr>
                      <w:rFonts w:ascii="Times New Roman" w:hAnsi="Times New Roman" w:cs="Times New Roman"/>
                      <w:sz w:val="21"/>
                      <w:szCs w:val="21"/>
                    </w:rPr>
                  </w:pPr>
                </w:p>
              </w:tc>
              <w:tc>
                <w:tcPr>
                  <w:tcW w:w="903" w:type="pct"/>
                  <w:gridSpan w:val="2"/>
                  <w:noWrap w:val="0"/>
                  <w:vAlign w:val="center"/>
                </w:tcPr>
                <w:p w14:paraId="6163EEE3">
                  <w:pPr>
                    <w:pStyle w:val="93"/>
                    <w:spacing w:after="0" w:line="240" w:lineRule="auto"/>
                    <w:ind w:firstLine="0"/>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涂装实验室</w:t>
                  </w:r>
                </w:p>
              </w:tc>
              <w:tc>
                <w:tcPr>
                  <w:tcW w:w="3321" w:type="pct"/>
                  <w:noWrap w:val="0"/>
                  <w:vAlign w:val="center"/>
                </w:tcPr>
                <w:p w14:paraId="24FAD809">
                  <w:pPr>
                    <w:pStyle w:val="93"/>
                    <w:spacing w:after="0" w:line="240" w:lineRule="auto"/>
                    <w:ind w:firstLine="0"/>
                    <w:jc w:val="center"/>
                    <w:rPr>
                      <w:rFonts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位于厂房东侧，占地面积120.4</w:t>
                  </w:r>
                  <w:r>
                    <w:rPr>
                      <w:rFonts w:ascii="Times New Roman" w:hAnsi="Times New Roman" w:cs="Times New Roman"/>
                      <w:sz w:val="21"/>
                      <w:szCs w:val="21"/>
                      <w:lang w:val="en-US" w:eastAsia="zh-CN"/>
                    </w:rPr>
                    <w:t>m</w:t>
                  </w:r>
                  <w:r>
                    <w:rPr>
                      <w:rFonts w:ascii="Times New Roman" w:hAnsi="Times New Roman" w:cs="Times New Roman"/>
                      <w:sz w:val="21"/>
                      <w:szCs w:val="21"/>
                      <w:vertAlign w:val="superscript"/>
                      <w:lang w:val="en-US" w:eastAsia="zh-CN"/>
                    </w:rPr>
                    <w:t>2</w:t>
                  </w:r>
                  <w:r>
                    <w:rPr>
                      <w:rFonts w:hint="eastAsia" w:ascii="Times New Roman" w:hAnsi="Times New Roman" w:cs="Times New Roman"/>
                      <w:sz w:val="21"/>
                      <w:szCs w:val="21"/>
                      <w:lang w:val="en-US" w:eastAsia="zh-CN"/>
                    </w:rPr>
                    <w:t>，主要进行涂料的涂装实验。</w:t>
                  </w:r>
                </w:p>
              </w:tc>
              <w:tc>
                <w:tcPr>
                  <w:tcW w:w="444" w:type="pct"/>
                  <w:noWrap w:val="0"/>
                  <w:vAlign w:val="center"/>
                </w:tcPr>
                <w:p w14:paraId="29D67EA4">
                  <w:pPr>
                    <w:pStyle w:val="93"/>
                    <w:spacing w:after="0" w:line="240" w:lineRule="auto"/>
                    <w:ind w:firstLine="0"/>
                    <w:jc w:val="center"/>
                    <w:rPr>
                      <w:rFonts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新建</w:t>
                  </w:r>
                </w:p>
              </w:tc>
            </w:tr>
            <w:tr w14:paraId="38E38BD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282" w:hRule="atLeast"/>
                <w:jc w:val="center"/>
              </w:trPr>
              <w:tc>
                <w:tcPr>
                  <w:tcW w:w="330" w:type="pct"/>
                  <w:vMerge w:val="continue"/>
                  <w:noWrap w:val="0"/>
                  <w:vAlign w:val="center"/>
                </w:tcPr>
                <w:p w14:paraId="77EBE995">
                  <w:pPr>
                    <w:pStyle w:val="93"/>
                    <w:spacing w:after="0" w:line="240" w:lineRule="auto"/>
                    <w:ind w:firstLine="0"/>
                    <w:jc w:val="center"/>
                    <w:rPr>
                      <w:rFonts w:ascii="Times New Roman" w:hAnsi="Times New Roman" w:cs="Times New Roman"/>
                      <w:sz w:val="21"/>
                      <w:szCs w:val="21"/>
                    </w:rPr>
                  </w:pPr>
                </w:p>
              </w:tc>
              <w:tc>
                <w:tcPr>
                  <w:tcW w:w="327" w:type="pct"/>
                  <w:vMerge w:val="restart"/>
                  <w:noWrap w:val="0"/>
                  <w:vAlign w:val="center"/>
                </w:tcPr>
                <w:p w14:paraId="73011845">
                  <w:pPr>
                    <w:pStyle w:val="93"/>
                    <w:spacing w:after="0" w:line="240" w:lineRule="auto"/>
                    <w:ind w:firstLine="0"/>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性能检测实验室</w:t>
                  </w:r>
                </w:p>
              </w:tc>
              <w:tc>
                <w:tcPr>
                  <w:tcW w:w="575" w:type="pct"/>
                  <w:noWrap w:val="0"/>
                  <w:vAlign w:val="center"/>
                </w:tcPr>
                <w:p w14:paraId="6738C1FA">
                  <w:pPr>
                    <w:pStyle w:val="93"/>
                    <w:spacing w:after="0" w:line="240" w:lineRule="auto"/>
                    <w:ind w:firstLine="0"/>
                    <w:jc w:val="center"/>
                    <w:rPr>
                      <w:rFonts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1#实验室</w:t>
                  </w:r>
                </w:p>
              </w:tc>
              <w:tc>
                <w:tcPr>
                  <w:tcW w:w="3321" w:type="pct"/>
                  <w:noWrap w:val="0"/>
                  <w:vAlign w:val="center"/>
                </w:tcPr>
                <w:p w14:paraId="3ACB2F9B">
                  <w:pPr>
                    <w:pStyle w:val="93"/>
                    <w:spacing w:after="0" w:line="240" w:lineRule="auto"/>
                    <w:ind w:firstLine="0"/>
                    <w:jc w:val="center"/>
                    <w:rPr>
                      <w:rFonts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占地面积为30</w:t>
                  </w:r>
                  <w:r>
                    <w:rPr>
                      <w:rFonts w:ascii="Times New Roman" w:hAnsi="Times New Roman" w:cs="Times New Roman"/>
                      <w:sz w:val="21"/>
                      <w:szCs w:val="21"/>
                      <w:lang w:val="en-US" w:eastAsia="zh-CN"/>
                    </w:rPr>
                    <w:t>m</w:t>
                  </w:r>
                  <w:r>
                    <w:rPr>
                      <w:rFonts w:ascii="Times New Roman" w:hAnsi="Times New Roman" w:cs="Times New Roman"/>
                      <w:sz w:val="21"/>
                      <w:szCs w:val="21"/>
                      <w:vertAlign w:val="superscript"/>
                      <w:lang w:val="en-US" w:eastAsia="zh-CN"/>
                    </w:rPr>
                    <w:t>2</w:t>
                  </w:r>
                  <w:r>
                    <w:rPr>
                      <w:rFonts w:hint="eastAsia" w:ascii="Times New Roman" w:hAnsi="Times New Roman" w:cs="Times New Roman"/>
                      <w:sz w:val="21"/>
                      <w:szCs w:val="21"/>
                      <w:lang w:val="en-US" w:eastAsia="zh-CN"/>
                    </w:rPr>
                    <w:t>，主要进行涂料的细度测试。</w:t>
                  </w:r>
                </w:p>
              </w:tc>
              <w:tc>
                <w:tcPr>
                  <w:tcW w:w="444" w:type="pct"/>
                  <w:noWrap w:val="0"/>
                  <w:vAlign w:val="center"/>
                </w:tcPr>
                <w:p w14:paraId="6D12184F">
                  <w:pPr>
                    <w:pStyle w:val="93"/>
                    <w:spacing w:after="0" w:line="240" w:lineRule="auto"/>
                    <w:ind w:firstLine="0"/>
                    <w:jc w:val="center"/>
                    <w:rPr>
                      <w:rFonts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新建</w:t>
                  </w:r>
                </w:p>
              </w:tc>
            </w:tr>
            <w:tr w14:paraId="2EFFDA7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282" w:hRule="atLeast"/>
                <w:jc w:val="center"/>
              </w:trPr>
              <w:tc>
                <w:tcPr>
                  <w:tcW w:w="330" w:type="pct"/>
                  <w:vMerge w:val="continue"/>
                  <w:noWrap w:val="0"/>
                  <w:vAlign w:val="center"/>
                </w:tcPr>
                <w:p w14:paraId="38DE2A11">
                  <w:pPr>
                    <w:pStyle w:val="93"/>
                    <w:spacing w:after="0" w:line="240" w:lineRule="auto"/>
                    <w:ind w:firstLine="0"/>
                    <w:jc w:val="center"/>
                    <w:rPr>
                      <w:rFonts w:ascii="Times New Roman" w:hAnsi="Times New Roman" w:cs="Times New Roman"/>
                      <w:sz w:val="21"/>
                      <w:szCs w:val="21"/>
                    </w:rPr>
                  </w:pPr>
                </w:p>
              </w:tc>
              <w:tc>
                <w:tcPr>
                  <w:tcW w:w="327" w:type="pct"/>
                  <w:vMerge w:val="continue"/>
                  <w:noWrap w:val="0"/>
                  <w:vAlign w:val="center"/>
                </w:tcPr>
                <w:p w14:paraId="4CABF891">
                  <w:pPr>
                    <w:pStyle w:val="93"/>
                    <w:spacing w:after="0" w:line="240" w:lineRule="auto"/>
                    <w:ind w:firstLine="0"/>
                    <w:jc w:val="center"/>
                    <w:rPr>
                      <w:rFonts w:hint="eastAsia" w:ascii="Times New Roman" w:hAnsi="Times New Roman" w:cs="Times New Roman"/>
                      <w:sz w:val="21"/>
                      <w:szCs w:val="21"/>
                      <w:lang w:val="en-US" w:eastAsia="zh-CN"/>
                    </w:rPr>
                  </w:pPr>
                </w:p>
              </w:tc>
              <w:tc>
                <w:tcPr>
                  <w:tcW w:w="575" w:type="pct"/>
                  <w:noWrap w:val="0"/>
                  <w:vAlign w:val="center"/>
                </w:tcPr>
                <w:p w14:paraId="37D7DE3B">
                  <w:pPr>
                    <w:pStyle w:val="93"/>
                    <w:spacing w:after="0" w:line="240" w:lineRule="auto"/>
                    <w:ind w:firstLine="0"/>
                    <w:jc w:val="center"/>
                    <w:rPr>
                      <w:rFonts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2#实验室</w:t>
                  </w:r>
                </w:p>
              </w:tc>
              <w:tc>
                <w:tcPr>
                  <w:tcW w:w="3321" w:type="pct"/>
                  <w:noWrap w:val="0"/>
                  <w:vAlign w:val="center"/>
                </w:tcPr>
                <w:p w14:paraId="4B5621E8">
                  <w:pPr>
                    <w:pStyle w:val="93"/>
                    <w:spacing w:after="0" w:line="240" w:lineRule="auto"/>
                    <w:ind w:firstLine="0"/>
                    <w:jc w:val="center"/>
                    <w:rPr>
                      <w:rFonts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占地面积31.5</w:t>
                  </w:r>
                  <w:r>
                    <w:rPr>
                      <w:rFonts w:ascii="Times New Roman" w:hAnsi="Times New Roman" w:cs="Times New Roman"/>
                      <w:sz w:val="21"/>
                      <w:szCs w:val="21"/>
                      <w:lang w:val="en-US" w:eastAsia="zh-CN"/>
                    </w:rPr>
                    <w:t>m</w:t>
                  </w:r>
                  <w:r>
                    <w:rPr>
                      <w:rFonts w:ascii="Times New Roman" w:hAnsi="Times New Roman" w:cs="Times New Roman"/>
                      <w:sz w:val="21"/>
                      <w:szCs w:val="21"/>
                      <w:vertAlign w:val="superscript"/>
                      <w:lang w:val="en-US" w:eastAsia="zh-CN"/>
                    </w:rPr>
                    <w:t>2</w:t>
                  </w:r>
                  <w:r>
                    <w:rPr>
                      <w:rFonts w:hint="eastAsia" w:ascii="Times New Roman" w:hAnsi="Times New Roman" w:cs="Times New Roman"/>
                      <w:sz w:val="21"/>
                      <w:szCs w:val="21"/>
                      <w:lang w:val="en-US" w:eastAsia="zh-CN"/>
                    </w:rPr>
                    <w:t>，主要进行涂料的粘度测试。</w:t>
                  </w:r>
                </w:p>
              </w:tc>
              <w:tc>
                <w:tcPr>
                  <w:tcW w:w="444" w:type="pct"/>
                  <w:noWrap w:val="0"/>
                  <w:vAlign w:val="center"/>
                </w:tcPr>
                <w:p w14:paraId="4D8D4AD2">
                  <w:pPr>
                    <w:pStyle w:val="93"/>
                    <w:spacing w:after="0" w:line="240" w:lineRule="auto"/>
                    <w:ind w:firstLine="0"/>
                    <w:jc w:val="center"/>
                    <w:rPr>
                      <w:rFonts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新建</w:t>
                  </w:r>
                </w:p>
              </w:tc>
            </w:tr>
            <w:tr w14:paraId="0A703F1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282" w:hRule="atLeast"/>
                <w:jc w:val="center"/>
              </w:trPr>
              <w:tc>
                <w:tcPr>
                  <w:tcW w:w="330" w:type="pct"/>
                  <w:vMerge w:val="continue"/>
                  <w:noWrap w:val="0"/>
                  <w:vAlign w:val="center"/>
                </w:tcPr>
                <w:p w14:paraId="3764803F">
                  <w:pPr>
                    <w:pStyle w:val="93"/>
                    <w:spacing w:after="0" w:line="240" w:lineRule="auto"/>
                    <w:ind w:firstLine="0"/>
                    <w:jc w:val="center"/>
                    <w:rPr>
                      <w:rFonts w:ascii="Times New Roman" w:hAnsi="Times New Roman" w:cs="Times New Roman"/>
                      <w:sz w:val="21"/>
                      <w:szCs w:val="21"/>
                    </w:rPr>
                  </w:pPr>
                </w:p>
              </w:tc>
              <w:tc>
                <w:tcPr>
                  <w:tcW w:w="327" w:type="pct"/>
                  <w:vMerge w:val="continue"/>
                  <w:noWrap w:val="0"/>
                  <w:vAlign w:val="center"/>
                </w:tcPr>
                <w:p w14:paraId="2DC9BAE2">
                  <w:pPr>
                    <w:pStyle w:val="93"/>
                    <w:spacing w:after="0" w:line="240" w:lineRule="auto"/>
                    <w:ind w:firstLine="0"/>
                    <w:jc w:val="center"/>
                    <w:rPr>
                      <w:rFonts w:hint="eastAsia" w:ascii="Times New Roman" w:hAnsi="Times New Roman" w:cs="Times New Roman"/>
                      <w:sz w:val="21"/>
                      <w:szCs w:val="21"/>
                      <w:lang w:val="en-US" w:eastAsia="zh-CN"/>
                    </w:rPr>
                  </w:pPr>
                </w:p>
              </w:tc>
              <w:tc>
                <w:tcPr>
                  <w:tcW w:w="575" w:type="pct"/>
                  <w:noWrap w:val="0"/>
                  <w:vAlign w:val="center"/>
                </w:tcPr>
                <w:p w14:paraId="35793FDB">
                  <w:pPr>
                    <w:pStyle w:val="93"/>
                    <w:spacing w:after="0" w:line="240" w:lineRule="auto"/>
                    <w:ind w:firstLine="0"/>
                    <w:jc w:val="center"/>
                    <w:rPr>
                      <w:rFonts w:ascii="Times New Roman" w:hAnsi="Times New Roman" w:cs="Times New Roman"/>
                      <w:i/>
                      <w:iCs/>
                      <w:sz w:val="21"/>
                      <w:szCs w:val="21"/>
                      <w:u w:val="single"/>
                      <w:lang w:val="en-US" w:eastAsia="zh-CN"/>
                    </w:rPr>
                  </w:pPr>
                  <w:r>
                    <w:rPr>
                      <w:rFonts w:hint="eastAsia" w:ascii="Times New Roman" w:hAnsi="Times New Roman" w:cs="Times New Roman"/>
                      <w:i/>
                      <w:iCs/>
                      <w:sz w:val="21"/>
                      <w:szCs w:val="21"/>
                      <w:u w:val="single"/>
                      <w:lang w:val="en-US" w:eastAsia="zh-CN"/>
                    </w:rPr>
                    <w:t>3#实验室</w:t>
                  </w:r>
                </w:p>
              </w:tc>
              <w:tc>
                <w:tcPr>
                  <w:tcW w:w="3321" w:type="pct"/>
                  <w:noWrap w:val="0"/>
                  <w:vAlign w:val="center"/>
                </w:tcPr>
                <w:p w14:paraId="42F711C4">
                  <w:pPr>
                    <w:pStyle w:val="93"/>
                    <w:spacing w:after="0" w:line="240" w:lineRule="auto"/>
                    <w:ind w:firstLine="0"/>
                    <w:jc w:val="center"/>
                    <w:rPr>
                      <w:rFonts w:ascii="Times New Roman" w:hAnsi="Times New Roman" w:cs="Times New Roman"/>
                      <w:i/>
                      <w:iCs/>
                      <w:sz w:val="21"/>
                      <w:szCs w:val="21"/>
                      <w:u w:val="single"/>
                      <w:lang w:val="en-US" w:eastAsia="zh-CN"/>
                    </w:rPr>
                  </w:pPr>
                  <w:r>
                    <w:rPr>
                      <w:rFonts w:hint="eastAsia" w:ascii="Times New Roman" w:hAnsi="Times New Roman" w:cs="Times New Roman"/>
                      <w:i/>
                      <w:iCs/>
                      <w:sz w:val="21"/>
                      <w:szCs w:val="21"/>
                      <w:u w:val="single"/>
                      <w:lang w:val="en-US" w:eastAsia="zh-CN"/>
                    </w:rPr>
                    <w:t>占地面积31.5</w:t>
                  </w:r>
                  <w:r>
                    <w:rPr>
                      <w:rFonts w:ascii="Times New Roman" w:hAnsi="Times New Roman" w:cs="Times New Roman"/>
                      <w:i/>
                      <w:iCs/>
                      <w:sz w:val="21"/>
                      <w:szCs w:val="21"/>
                      <w:u w:val="single"/>
                      <w:lang w:val="en-US" w:eastAsia="zh-CN"/>
                    </w:rPr>
                    <w:t>m</w:t>
                  </w:r>
                  <w:r>
                    <w:rPr>
                      <w:rFonts w:ascii="Times New Roman" w:hAnsi="Times New Roman" w:cs="Times New Roman"/>
                      <w:i/>
                      <w:iCs/>
                      <w:sz w:val="21"/>
                      <w:szCs w:val="21"/>
                      <w:u w:val="single"/>
                      <w:vertAlign w:val="superscript"/>
                      <w:lang w:val="en-US" w:eastAsia="zh-CN"/>
                    </w:rPr>
                    <w:t>2</w:t>
                  </w:r>
                  <w:r>
                    <w:rPr>
                      <w:rFonts w:hint="eastAsia" w:ascii="Times New Roman" w:hAnsi="Times New Roman" w:cs="Times New Roman"/>
                      <w:i/>
                      <w:iCs/>
                      <w:sz w:val="21"/>
                      <w:szCs w:val="21"/>
                      <w:u w:val="single"/>
                      <w:lang w:val="en-US" w:eastAsia="zh-CN"/>
                    </w:rPr>
                    <w:t>，主要进行涂料在实验基材上的硬度性能检验。</w:t>
                  </w:r>
                </w:p>
              </w:tc>
              <w:tc>
                <w:tcPr>
                  <w:tcW w:w="444" w:type="pct"/>
                  <w:noWrap w:val="0"/>
                  <w:vAlign w:val="center"/>
                </w:tcPr>
                <w:p w14:paraId="73D933B5">
                  <w:pPr>
                    <w:pStyle w:val="93"/>
                    <w:spacing w:after="0" w:line="240" w:lineRule="auto"/>
                    <w:ind w:firstLine="0"/>
                    <w:jc w:val="center"/>
                    <w:rPr>
                      <w:rFonts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新建</w:t>
                  </w:r>
                </w:p>
              </w:tc>
            </w:tr>
            <w:tr w14:paraId="128B43F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282" w:hRule="atLeast"/>
                <w:jc w:val="center"/>
              </w:trPr>
              <w:tc>
                <w:tcPr>
                  <w:tcW w:w="330" w:type="pct"/>
                  <w:vMerge w:val="continue"/>
                  <w:noWrap w:val="0"/>
                  <w:vAlign w:val="center"/>
                </w:tcPr>
                <w:p w14:paraId="2BF96DAC">
                  <w:pPr>
                    <w:pStyle w:val="93"/>
                    <w:spacing w:after="0" w:line="240" w:lineRule="auto"/>
                    <w:ind w:firstLine="0"/>
                    <w:jc w:val="center"/>
                    <w:rPr>
                      <w:rFonts w:ascii="Times New Roman" w:hAnsi="Times New Roman" w:cs="Times New Roman"/>
                      <w:sz w:val="21"/>
                      <w:szCs w:val="21"/>
                    </w:rPr>
                  </w:pPr>
                </w:p>
              </w:tc>
              <w:tc>
                <w:tcPr>
                  <w:tcW w:w="327" w:type="pct"/>
                  <w:vMerge w:val="continue"/>
                  <w:noWrap w:val="0"/>
                  <w:vAlign w:val="center"/>
                </w:tcPr>
                <w:p w14:paraId="7DD326F8">
                  <w:pPr>
                    <w:pStyle w:val="93"/>
                    <w:spacing w:after="0" w:line="240" w:lineRule="auto"/>
                    <w:ind w:firstLine="0"/>
                    <w:jc w:val="center"/>
                    <w:rPr>
                      <w:rFonts w:hint="eastAsia" w:ascii="Times New Roman" w:hAnsi="Times New Roman" w:cs="Times New Roman"/>
                      <w:sz w:val="21"/>
                      <w:szCs w:val="21"/>
                      <w:lang w:val="en-US" w:eastAsia="zh-CN"/>
                    </w:rPr>
                  </w:pPr>
                </w:p>
              </w:tc>
              <w:tc>
                <w:tcPr>
                  <w:tcW w:w="575" w:type="pct"/>
                  <w:noWrap w:val="0"/>
                  <w:vAlign w:val="center"/>
                </w:tcPr>
                <w:p w14:paraId="0137EAED">
                  <w:pPr>
                    <w:pStyle w:val="93"/>
                    <w:spacing w:after="0" w:line="240" w:lineRule="auto"/>
                    <w:ind w:firstLine="0"/>
                    <w:jc w:val="center"/>
                    <w:rPr>
                      <w:rFonts w:ascii="Times New Roman" w:hAnsi="Times New Roman" w:cs="Times New Roman"/>
                      <w:i/>
                      <w:iCs/>
                      <w:sz w:val="21"/>
                      <w:szCs w:val="21"/>
                      <w:u w:val="single"/>
                      <w:lang w:val="en-US" w:eastAsia="zh-CN"/>
                    </w:rPr>
                  </w:pPr>
                  <w:r>
                    <w:rPr>
                      <w:rFonts w:hint="eastAsia" w:ascii="Times New Roman" w:hAnsi="Times New Roman" w:cs="Times New Roman"/>
                      <w:i/>
                      <w:iCs/>
                      <w:sz w:val="21"/>
                      <w:szCs w:val="21"/>
                      <w:u w:val="single"/>
                      <w:lang w:val="en-US" w:eastAsia="zh-CN"/>
                    </w:rPr>
                    <w:t>4#实验室</w:t>
                  </w:r>
                </w:p>
              </w:tc>
              <w:tc>
                <w:tcPr>
                  <w:tcW w:w="3321" w:type="pct"/>
                  <w:noWrap w:val="0"/>
                  <w:vAlign w:val="center"/>
                </w:tcPr>
                <w:p w14:paraId="1A70352C">
                  <w:pPr>
                    <w:pStyle w:val="93"/>
                    <w:spacing w:after="0" w:line="240" w:lineRule="auto"/>
                    <w:ind w:firstLine="0"/>
                    <w:jc w:val="center"/>
                    <w:rPr>
                      <w:rFonts w:ascii="Times New Roman" w:hAnsi="Times New Roman" w:cs="Times New Roman"/>
                      <w:i/>
                      <w:iCs/>
                      <w:sz w:val="21"/>
                      <w:szCs w:val="21"/>
                      <w:u w:val="single"/>
                      <w:lang w:val="en-US" w:eastAsia="zh-CN"/>
                    </w:rPr>
                  </w:pPr>
                  <w:r>
                    <w:rPr>
                      <w:rFonts w:hint="eastAsia" w:ascii="Times New Roman" w:hAnsi="Times New Roman" w:cs="Times New Roman"/>
                      <w:i/>
                      <w:iCs/>
                      <w:sz w:val="21"/>
                      <w:szCs w:val="21"/>
                      <w:u w:val="single"/>
                      <w:lang w:val="en-US" w:eastAsia="zh-CN"/>
                    </w:rPr>
                    <w:t>占地面积32.25</w:t>
                  </w:r>
                  <w:r>
                    <w:rPr>
                      <w:rFonts w:ascii="Times New Roman" w:hAnsi="Times New Roman" w:cs="Times New Roman"/>
                      <w:i/>
                      <w:iCs/>
                      <w:sz w:val="21"/>
                      <w:szCs w:val="21"/>
                      <w:u w:val="single"/>
                      <w:lang w:val="en-US" w:eastAsia="zh-CN"/>
                    </w:rPr>
                    <w:t>m</w:t>
                  </w:r>
                  <w:r>
                    <w:rPr>
                      <w:rFonts w:ascii="Times New Roman" w:hAnsi="Times New Roman" w:cs="Times New Roman"/>
                      <w:i/>
                      <w:iCs/>
                      <w:sz w:val="21"/>
                      <w:szCs w:val="21"/>
                      <w:u w:val="single"/>
                      <w:vertAlign w:val="superscript"/>
                      <w:lang w:val="en-US" w:eastAsia="zh-CN"/>
                    </w:rPr>
                    <w:t>2</w:t>
                  </w:r>
                  <w:r>
                    <w:rPr>
                      <w:rFonts w:hint="eastAsia" w:ascii="Times New Roman" w:hAnsi="Times New Roman" w:cs="Times New Roman"/>
                      <w:i/>
                      <w:iCs/>
                      <w:sz w:val="21"/>
                      <w:szCs w:val="21"/>
                      <w:u w:val="single"/>
                      <w:lang w:val="en-US" w:eastAsia="zh-CN"/>
                    </w:rPr>
                    <w:t>，主要进行涂料在实验基材上的耐磨性能检验。</w:t>
                  </w:r>
                </w:p>
              </w:tc>
              <w:tc>
                <w:tcPr>
                  <w:tcW w:w="444" w:type="pct"/>
                  <w:noWrap w:val="0"/>
                  <w:vAlign w:val="center"/>
                </w:tcPr>
                <w:p w14:paraId="0A8F6D7D">
                  <w:pPr>
                    <w:pStyle w:val="93"/>
                    <w:spacing w:after="0" w:line="240" w:lineRule="auto"/>
                    <w:ind w:firstLine="0"/>
                    <w:jc w:val="center"/>
                    <w:rPr>
                      <w:rFonts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新建</w:t>
                  </w:r>
                </w:p>
              </w:tc>
            </w:tr>
            <w:tr w14:paraId="2758192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245" w:hRule="atLeast"/>
                <w:jc w:val="center"/>
              </w:trPr>
              <w:tc>
                <w:tcPr>
                  <w:tcW w:w="330" w:type="pct"/>
                  <w:vMerge w:val="continue"/>
                  <w:noWrap w:val="0"/>
                  <w:vAlign w:val="center"/>
                </w:tcPr>
                <w:p w14:paraId="7CDC8604">
                  <w:pPr>
                    <w:pStyle w:val="93"/>
                    <w:spacing w:after="0" w:line="240" w:lineRule="auto"/>
                    <w:ind w:firstLine="0"/>
                    <w:jc w:val="center"/>
                    <w:rPr>
                      <w:rFonts w:ascii="Times New Roman" w:hAnsi="Times New Roman" w:cs="Times New Roman"/>
                      <w:sz w:val="21"/>
                      <w:szCs w:val="21"/>
                    </w:rPr>
                  </w:pPr>
                </w:p>
              </w:tc>
              <w:tc>
                <w:tcPr>
                  <w:tcW w:w="327" w:type="pct"/>
                  <w:vMerge w:val="continue"/>
                  <w:noWrap w:val="0"/>
                  <w:vAlign w:val="center"/>
                </w:tcPr>
                <w:p w14:paraId="69D6CDD5">
                  <w:pPr>
                    <w:pStyle w:val="93"/>
                    <w:spacing w:after="0" w:line="240" w:lineRule="auto"/>
                    <w:ind w:firstLine="0"/>
                    <w:jc w:val="center"/>
                    <w:rPr>
                      <w:rFonts w:hint="eastAsia" w:ascii="Times New Roman" w:hAnsi="Times New Roman" w:cs="Times New Roman"/>
                      <w:sz w:val="21"/>
                      <w:szCs w:val="21"/>
                      <w:lang w:val="en-US" w:eastAsia="zh-CN"/>
                    </w:rPr>
                  </w:pPr>
                </w:p>
              </w:tc>
              <w:tc>
                <w:tcPr>
                  <w:tcW w:w="575" w:type="pct"/>
                  <w:noWrap w:val="0"/>
                  <w:vAlign w:val="center"/>
                </w:tcPr>
                <w:p w14:paraId="1DC0BA0A">
                  <w:pPr>
                    <w:pStyle w:val="93"/>
                    <w:spacing w:after="0" w:line="240" w:lineRule="auto"/>
                    <w:ind w:firstLine="0"/>
                    <w:jc w:val="center"/>
                    <w:rPr>
                      <w:rFonts w:ascii="Times New Roman" w:hAnsi="Times New Roman" w:cs="Times New Roman"/>
                      <w:i/>
                      <w:iCs/>
                      <w:sz w:val="21"/>
                      <w:szCs w:val="21"/>
                      <w:u w:val="single"/>
                      <w:lang w:val="en-US" w:eastAsia="zh-CN"/>
                    </w:rPr>
                  </w:pPr>
                  <w:r>
                    <w:rPr>
                      <w:rFonts w:hint="eastAsia" w:ascii="Times New Roman" w:hAnsi="Times New Roman" w:cs="Times New Roman"/>
                      <w:i/>
                      <w:iCs/>
                      <w:sz w:val="21"/>
                      <w:szCs w:val="21"/>
                      <w:u w:val="single"/>
                      <w:lang w:val="en-US" w:eastAsia="zh-CN"/>
                    </w:rPr>
                    <w:t>5#实验室</w:t>
                  </w:r>
                </w:p>
              </w:tc>
              <w:tc>
                <w:tcPr>
                  <w:tcW w:w="3321" w:type="pct"/>
                  <w:noWrap w:val="0"/>
                  <w:vAlign w:val="center"/>
                </w:tcPr>
                <w:p w14:paraId="650E58DE">
                  <w:pPr>
                    <w:pStyle w:val="93"/>
                    <w:spacing w:after="0" w:line="240" w:lineRule="auto"/>
                    <w:ind w:firstLine="0"/>
                    <w:jc w:val="center"/>
                    <w:rPr>
                      <w:rFonts w:hint="eastAsia" w:ascii="Times New Roman" w:hAnsi="Times New Roman" w:cs="Times New Roman"/>
                      <w:i/>
                      <w:iCs/>
                      <w:sz w:val="21"/>
                      <w:szCs w:val="21"/>
                      <w:u w:val="single"/>
                      <w:lang w:val="en-US" w:eastAsia="zh-CN"/>
                    </w:rPr>
                  </w:pPr>
                  <w:r>
                    <w:rPr>
                      <w:rFonts w:hint="eastAsia" w:ascii="Times New Roman" w:hAnsi="Times New Roman" w:cs="Times New Roman"/>
                      <w:i/>
                      <w:iCs/>
                      <w:sz w:val="21"/>
                      <w:szCs w:val="21"/>
                      <w:u w:val="single"/>
                      <w:lang w:val="en-US" w:eastAsia="zh-CN"/>
                    </w:rPr>
                    <w:t>占地面积22.5</w:t>
                  </w:r>
                  <w:r>
                    <w:rPr>
                      <w:rFonts w:ascii="Times New Roman" w:hAnsi="Times New Roman" w:cs="Times New Roman"/>
                      <w:i/>
                      <w:iCs/>
                      <w:sz w:val="21"/>
                      <w:szCs w:val="21"/>
                      <w:u w:val="single"/>
                      <w:lang w:val="en-US" w:eastAsia="zh-CN"/>
                    </w:rPr>
                    <w:t>m</w:t>
                  </w:r>
                  <w:r>
                    <w:rPr>
                      <w:rFonts w:ascii="Times New Roman" w:hAnsi="Times New Roman" w:cs="Times New Roman"/>
                      <w:i/>
                      <w:iCs/>
                      <w:sz w:val="21"/>
                      <w:szCs w:val="21"/>
                      <w:u w:val="single"/>
                      <w:vertAlign w:val="superscript"/>
                      <w:lang w:val="en-US" w:eastAsia="zh-CN"/>
                    </w:rPr>
                    <w:t>2</w:t>
                  </w:r>
                  <w:r>
                    <w:rPr>
                      <w:rFonts w:hint="eastAsia" w:ascii="Times New Roman" w:hAnsi="Times New Roman" w:cs="Times New Roman"/>
                      <w:i/>
                      <w:iCs/>
                      <w:sz w:val="21"/>
                      <w:szCs w:val="21"/>
                      <w:u w:val="single"/>
                      <w:lang w:val="en-US" w:eastAsia="zh-CN"/>
                    </w:rPr>
                    <w:t>，主要进行涂料在实验基材上的抗冲击性能检验。</w:t>
                  </w:r>
                </w:p>
              </w:tc>
              <w:tc>
                <w:tcPr>
                  <w:tcW w:w="444" w:type="pct"/>
                  <w:noWrap w:val="0"/>
                  <w:vAlign w:val="center"/>
                </w:tcPr>
                <w:p w14:paraId="5031ED38">
                  <w:pPr>
                    <w:pStyle w:val="93"/>
                    <w:spacing w:after="0" w:line="240" w:lineRule="auto"/>
                    <w:ind w:firstLine="0"/>
                    <w:jc w:val="center"/>
                    <w:rPr>
                      <w:rFonts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新建</w:t>
                  </w:r>
                </w:p>
              </w:tc>
            </w:tr>
            <w:tr w14:paraId="5292D34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282" w:hRule="atLeast"/>
                <w:jc w:val="center"/>
              </w:trPr>
              <w:tc>
                <w:tcPr>
                  <w:tcW w:w="330" w:type="pct"/>
                  <w:vMerge w:val="restart"/>
                  <w:noWrap w:val="0"/>
                  <w:vAlign w:val="center"/>
                </w:tcPr>
                <w:p w14:paraId="46F7F11C">
                  <w:pPr>
                    <w:pStyle w:val="93"/>
                    <w:spacing w:after="0" w:line="240" w:lineRule="auto"/>
                    <w:ind w:firstLine="0"/>
                    <w:jc w:val="cente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辅助工程</w:t>
                  </w:r>
                </w:p>
              </w:tc>
              <w:tc>
                <w:tcPr>
                  <w:tcW w:w="903" w:type="pct"/>
                  <w:gridSpan w:val="2"/>
                  <w:noWrap w:val="0"/>
                  <w:vAlign w:val="center"/>
                </w:tcPr>
                <w:p w14:paraId="288D2C6F">
                  <w:pPr>
                    <w:pStyle w:val="93"/>
                    <w:spacing w:after="0" w:line="240" w:lineRule="auto"/>
                    <w:ind w:firstLine="0"/>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办公室</w:t>
                  </w:r>
                </w:p>
              </w:tc>
              <w:tc>
                <w:tcPr>
                  <w:tcW w:w="3321" w:type="pct"/>
                  <w:noWrap w:val="0"/>
                  <w:vAlign w:val="center"/>
                </w:tcPr>
                <w:p w14:paraId="23FF34DE">
                  <w:pPr>
                    <w:pStyle w:val="93"/>
                    <w:spacing w:after="0" w:line="240" w:lineRule="auto"/>
                    <w:ind w:firstLine="0"/>
                    <w:jc w:val="center"/>
                    <w:rPr>
                      <w:rFonts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总</w:t>
                  </w:r>
                  <w:r>
                    <w:rPr>
                      <w:rFonts w:ascii="Times New Roman" w:hAnsi="Times New Roman" w:cs="Times New Roman"/>
                      <w:sz w:val="21"/>
                      <w:szCs w:val="21"/>
                      <w:lang w:val="en-US" w:eastAsia="zh-CN"/>
                    </w:rPr>
                    <w:t>占地面积</w:t>
                  </w:r>
                  <w:r>
                    <w:rPr>
                      <w:rFonts w:hint="eastAsia" w:ascii="Times New Roman" w:hAnsi="Times New Roman" w:cs="Times New Roman"/>
                      <w:sz w:val="21"/>
                      <w:szCs w:val="21"/>
                      <w:lang w:val="en-US" w:eastAsia="zh-CN"/>
                    </w:rPr>
                    <w:t>136.43</w:t>
                  </w:r>
                  <w:r>
                    <w:rPr>
                      <w:rFonts w:ascii="Times New Roman" w:hAnsi="Times New Roman" w:cs="Times New Roman"/>
                      <w:sz w:val="21"/>
                      <w:szCs w:val="21"/>
                      <w:lang w:val="en-US" w:eastAsia="zh-CN"/>
                    </w:rPr>
                    <w:t>m</w:t>
                  </w:r>
                  <w:r>
                    <w:rPr>
                      <w:rFonts w:ascii="Times New Roman" w:hAnsi="Times New Roman" w:cs="Times New Roman"/>
                      <w:sz w:val="21"/>
                      <w:szCs w:val="21"/>
                      <w:vertAlign w:val="superscript"/>
                      <w:lang w:val="en-US" w:eastAsia="zh-CN"/>
                    </w:rPr>
                    <w:t>2</w:t>
                  </w:r>
                  <w:r>
                    <w:rPr>
                      <w:rFonts w:hint="eastAsia" w:ascii="Times New Roman" w:hAnsi="Times New Roman" w:cs="Times New Roman"/>
                      <w:sz w:val="21"/>
                      <w:szCs w:val="21"/>
                      <w:lang w:val="en-US" w:eastAsia="zh-CN"/>
                    </w:rPr>
                    <w:t>，用于实验及管理人员日常办公。</w:t>
                  </w:r>
                </w:p>
              </w:tc>
              <w:tc>
                <w:tcPr>
                  <w:tcW w:w="444" w:type="pct"/>
                  <w:noWrap w:val="0"/>
                  <w:vAlign w:val="center"/>
                </w:tcPr>
                <w:p w14:paraId="41124867">
                  <w:pPr>
                    <w:pStyle w:val="93"/>
                    <w:spacing w:after="0" w:line="240" w:lineRule="auto"/>
                    <w:ind w:firstLine="0"/>
                    <w:jc w:val="center"/>
                    <w:rPr>
                      <w:rFonts w:ascii="Times New Roman" w:hAnsi="Times New Roman" w:cs="Times New Roman"/>
                      <w:color w:val="000000"/>
                      <w:sz w:val="21"/>
                      <w:szCs w:val="21"/>
                      <w:lang w:val="en-US" w:eastAsia="zh-CN"/>
                    </w:rPr>
                  </w:pPr>
                  <w:r>
                    <w:rPr>
                      <w:rFonts w:hint="eastAsia" w:ascii="Times New Roman" w:hAnsi="Times New Roman" w:cs="Times New Roman"/>
                      <w:sz w:val="21"/>
                      <w:szCs w:val="21"/>
                      <w:lang w:val="en-US" w:eastAsia="zh-CN"/>
                    </w:rPr>
                    <w:t>新建</w:t>
                  </w:r>
                </w:p>
              </w:tc>
            </w:tr>
            <w:tr w14:paraId="2318758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282" w:hRule="atLeast"/>
                <w:jc w:val="center"/>
              </w:trPr>
              <w:tc>
                <w:tcPr>
                  <w:tcW w:w="330" w:type="pct"/>
                  <w:vMerge w:val="continue"/>
                  <w:noWrap w:val="0"/>
                  <w:vAlign w:val="center"/>
                </w:tcPr>
                <w:p w14:paraId="7D6D0E34">
                  <w:pPr>
                    <w:pStyle w:val="93"/>
                    <w:spacing w:after="0" w:line="240" w:lineRule="auto"/>
                    <w:ind w:firstLine="0"/>
                    <w:jc w:val="center"/>
                    <w:rPr>
                      <w:rFonts w:hint="eastAsia" w:ascii="Times New Roman" w:hAnsi="Times New Roman" w:cs="Times New Roman"/>
                      <w:sz w:val="21"/>
                      <w:szCs w:val="21"/>
                      <w:lang w:eastAsia="zh-CN"/>
                    </w:rPr>
                  </w:pPr>
                </w:p>
              </w:tc>
              <w:tc>
                <w:tcPr>
                  <w:tcW w:w="903" w:type="pct"/>
                  <w:gridSpan w:val="2"/>
                  <w:noWrap w:val="0"/>
                  <w:vAlign w:val="center"/>
                </w:tcPr>
                <w:p w14:paraId="00A6B9E3">
                  <w:pPr>
                    <w:pStyle w:val="93"/>
                    <w:spacing w:after="0" w:line="240" w:lineRule="auto"/>
                    <w:ind w:firstLine="0"/>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休息室</w:t>
                  </w:r>
                </w:p>
              </w:tc>
              <w:tc>
                <w:tcPr>
                  <w:tcW w:w="3321" w:type="pct"/>
                  <w:noWrap w:val="0"/>
                  <w:vAlign w:val="center"/>
                </w:tcPr>
                <w:p w14:paraId="2A3EDB51">
                  <w:pPr>
                    <w:pStyle w:val="93"/>
                    <w:spacing w:after="0" w:line="240" w:lineRule="auto"/>
                    <w:ind w:firstLine="0"/>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总</w:t>
                  </w:r>
                  <w:r>
                    <w:rPr>
                      <w:rFonts w:ascii="Times New Roman" w:hAnsi="Times New Roman" w:cs="Times New Roman"/>
                      <w:sz w:val="21"/>
                      <w:szCs w:val="21"/>
                      <w:lang w:val="en-US" w:eastAsia="zh-CN"/>
                    </w:rPr>
                    <w:t>占地面积</w:t>
                  </w:r>
                  <w:r>
                    <w:rPr>
                      <w:rFonts w:hint="eastAsia" w:ascii="Times New Roman" w:hAnsi="Times New Roman" w:cs="Times New Roman"/>
                      <w:sz w:val="21"/>
                      <w:szCs w:val="21"/>
                      <w:lang w:val="en-US" w:eastAsia="zh-CN"/>
                    </w:rPr>
                    <w:t>24.14</w:t>
                  </w:r>
                  <w:r>
                    <w:rPr>
                      <w:rFonts w:ascii="Times New Roman" w:hAnsi="Times New Roman" w:cs="Times New Roman"/>
                      <w:sz w:val="21"/>
                      <w:szCs w:val="21"/>
                      <w:lang w:val="en-US" w:eastAsia="zh-CN"/>
                    </w:rPr>
                    <w:t>m</w:t>
                  </w:r>
                  <w:r>
                    <w:rPr>
                      <w:rFonts w:ascii="Times New Roman" w:hAnsi="Times New Roman" w:cs="Times New Roman"/>
                      <w:sz w:val="21"/>
                      <w:szCs w:val="21"/>
                      <w:vertAlign w:val="superscript"/>
                      <w:lang w:val="en-US" w:eastAsia="zh-CN"/>
                    </w:rPr>
                    <w:t>2</w:t>
                  </w:r>
                  <w:r>
                    <w:rPr>
                      <w:rFonts w:hint="eastAsia" w:ascii="Times New Roman" w:hAnsi="Times New Roman" w:cs="Times New Roman"/>
                      <w:sz w:val="21"/>
                      <w:szCs w:val="21"/>
                      <w:lang w:val="en-US" w:eastAsia="zh-CN"/>
                    </w:rPr>
                    <w:t>，用于实验及管理人员日常休息。</w:t>
                  </w:r>
                </w:p>
              </w:tc>
              <w:tc>
                <w:tcPr>
                  <w:tcW w:w="444" w:type="pct"/>
                  <w:noWrap w:val="0"/>
                  <w:vAlign w:val="center"/>
                </w:tcPr>
                <w:p w14:paraId="6807A267">
                  <w:pPr>
                    <w:pStyle w:val="93"/>
                    <w:spacing w:after="0" w:line="240" w:lineRule="auto"/>
                    <w:ind w:firstLine="0"/>
                    <w:jc w:val="center"/>
                    <w:rPr>
                      <w:rFonts w:ascii="Times New Roman" w:hAnsi="Times New Roman" w:cs="Times New Roman"/>
                      <w:color w:val="000000"/>
                      <w:sz w:val="21"/>
                      <w:szCs w:val="21"/>
                      <w:lang w:val="en-US" w:eastAsia="zh-CN"/>
                    </w:rPr>
                  </w:pPr>
                  <w:r>
                    <w:rPr>
                      <w:rFonts w:hint="eastAsia" w:ascii="Times New Roman" w:hAnsi="Times New Roman" w:cs="Times New Roman"/>
                      <w:sz w:val="21"/>
                      <w:szCs w:val="21"/>
                      <w:lang w:val="en-US" w:eastAsia="zh-CN"/>
                    </w:rPr>
                    <w:t>新建</w:t>
                  </w:r>
                </w:p>
              </w:tc>
            </w:tr>
            <w:tr w14:paraId="4E1FC39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330" w:type="pct"/>
                  <w:vMerge w:val="restart"/>
                  <w:noWrap w:val="0"/>
                  <w:vAlign w:val="center"/>
                </w:tcPr>
                <w:p w14:paraId="20579256">
                  <w:pPr>
                    <w:jc w:val="center"/>
                    <w:rPr>
                      <w:szCs w:val="21"/>
                    </w:rPr>
                  </w:pPr>
                  <w:r>
                    <w:rPr>
                      <w:szCs w:val="21"/>
                    </w:rPr>
                    <w:t>储运</w:t>
                  </w:r>
                </w:p>
                <w:p w14:paraId="055BC11B">
                  <w:pPr>
                    <w:jc w:val="center"/>
                    <w:rPr>
                      <w:szCs w:val="21"/>
                    </w:rPr>
                  </w:pPr>
                  <w:r>
                    <w:rPr>
                      <w:szCs w:val="21"/>
                    </w:rPr>
                    <w:t>工程</w:t>
                  </w:r>
                </w:p>
              </w:tc>
              <w:tc>
                <w:tcPr>
                  <w:tcW w:w="903" w:type="pct"/>
                  <w:gridSpan w:val="2"/>
                  <w:noWrap w:val="0"/>
                  <w:vAlign w:val="center"/>
                </w:tcPr>
                <w:p w14:paraId="0F91A973">
                  <w:pPr>
                    <w:pStyle w:val="93"/>
                    <w:spacing w:after="0" w:line="240" w:lineRule="auto"/>
                    <w:ind w:firstLine="0"/>
                    <w:jc w:val="center"/>
                    <w:rPr>
                      <w:rFonts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危废贮存库</w:t>
                  </w:r>
                </w:p>
              </w:tc>
              <w:tc>
                <w:tcPr>
                  <w:tcW w:w="3321" w:type="pct"/>
                  <w:noWrap w:val="0"/>
                  <w:vAlign w:val="center"/>
                </w:tcPr>
                <w:p w14:paraId="2C52E607">
                  <w:pPr>
                    <w:pStyle w:val="93"/>
                    <w:spacing w:after="0" w:line="240" w:lineRule="auto"/>
                    <w:ind w:firstLine="0"/>
                    <w:jc w:val="center"/>
                    <w:rPr>
                      <w:rFonts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建筑面积22.4</w:t>
                  </w:r>
                  <w:r>
                    <w:rPr>
                      <w:rFonts w:ascii="Times New Roman" w:hAnsi="Times New Roman" w:cs="Times New Roman"/>
                      <w:sz w:val="21"/>
                      <w:szCs w:val="21"/>
                      <w:lang w:val="en-US" w:eastAsia="zh-CN"/>
                    </w:rPr>
                    <w:t>m</w:t>
                  </w:r>
                  <w:r>
                    <w:rPr>
                      <w:rFonts w:ascii="Times New Roman" w:hAnsi="Times New Roman" w:cs="Times New Roman"/>
                      <w:sz w:val="21"/>
                      <w:szCs w:val="21"/>
                      <w:vertAlign w:val="superscript"/>
                      <w:lang w:val="en-US" w:eastAsia="zh-CN"/>
                    </w:rPr>
                    <w:t>2</w:t>
                  </w:r>
                  <w:r>
                    <w:rPr>
                      <w:rFonts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位于厂房东南侧。</w:t>
                  </w:r>
                </w:p>
              </w:tc>
              <w:tc>
                <w:tcPr>
                  <w:tcW w:w="444" w:type="pct"/>
                  <w:noWrap w:val="0"/>
                  <w:vAlign w:val="center"/>
                </w:tcPr>
                <w:p w14:paraId="45EB8EA4">
                  <w:pPr>
                    <w:jc w:val="center"/>
                    <w:rPr>
                      <w:szCs w:val="21"/>
                    </w:rPr>
                  </w:pPr>
                  <w:r>
                    <w:rPr>
                      <w:rFonts w:hint="eastAsia"/>
                      <w:szCs w:val="21"/>
                    </w:rPr>
                    <w:t>新建</w:t>
                  </w:r>
                </w:p>
              </w:tc>
            </w:tr>
            <w:tr w14:paraId="293DAA0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330" w:type="pct"/>
                  <w:vMerge w:val="continue"/>
                  <w:noWrap w:val="0"/>
                  <w:vAlign w:val="center"/>
                </w:tcPr>
                <w:p w14:paraId="71D0E383">
                  <w:pPr>
                    <w:jc w:val="center"/>
                    <w:rPr>
                      <w:szCs w:val="21"/>
                    </w:rPr>
                  </w:pPr>
                </w:p>
              </w:tc>
              <w:tc>
                <w:tcPr>
                  <w:tcW w:w="903" w:type="pct"/>
                  <w:gridSpan w:val="2"/>
                  <w:noWrap w:val="0"/>
                  <w:vAlign w:val="center"/>
                </w:tcPr>
                <w:p w14:paraId="15AFEC2B">
                  <w:pPr>
                    <w:pStyle w:val="93"/>
                    <w:spacing w:after="0" w:line="240" w:lineRule="auto"/>
                    <w:ind w:firstLine="0"/>
                    <w:jc w:val="center"/>
                    <w:rPr>
                      <w:rFonts w:hint="eastAsia" w:ascii="Times New Roman" w:hAnsi="Times New Roman" w:cs="Times New Roman"/>
                      <w:sz w:val="21"/>
                      <w:szCs w:val="21"/>
                      <w:highlight w:val="yellow"/>
                      <w:lang w:val="en-US" w:eastAsia="zh-CN"/>
                    </w:rPr>
                  </w:pPr>
                  <w:r>
                    <w:rPr>
                      <w:rFonts w:hint="eastAsia" w:ascii="Times New Roman" w:hAnsi="Times New Roman" w:cs="Times New Roman"/>
                      <w:sz w:val="21"/>
                      <w:szCs w:val="21"/>
                      <w:highlight w:val="none"/>
                      <w:lang w:val="en-US" w:eastAsia="zh-CN"/>
                    </w:rPr>
                    <w:t>库房</w:t>
                  </w:r>
                </w:p>
              </w:tc>
              <w:tc>
                <w:tcPr>
                  <w:tcW w:w="3321" w:type="pct"/>
                  <w:noWrap w:val="0"/>
                  <w:vAlign w:val="center"/>
                </w:tcPr>
                <w:p w14:paraId="7AAE2127">
                  <w:pPr>
                    <w:pStyle w:val="93"/>
                    <w:spacing w:after="0" w:line="240" w:lineRule="auto"/>
                    <w:ind w:firstLine="0"/>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建筑面积42.8</w:t>
                  </w:r>
                  <w:r>
                    <w:rPr>
                      <w:rFonts w:ascii="Times New Roman" w:hAnsi="Times New Roman" w:cs="Times New Roman"/>
                      <w:sz w:val="21"/>
                      <w:szCs w:val="21"/>
                      <w:lang w:val="en-US" w:eastAsia="zh-CN"/>
                    </w:rPr>
                    <w:t>m</w:t>
                  </w:r>
                  <w:r>
                    <w:rPr>
                      <w:rFonts w:ascii="Times New Roman" w:hAnsi="Times New Roman" w:cs="Times New Roman"/>
                      <w:sz w:val="21"/>
                      <w:szCs w:val="21"/>
                      <w:vertAlign w:val="superscript"/>
                      <w:lang w:val="en-US" w:eastAsia="zh-CN"/>
                    </w:rPr>
                    <w:t>2</w:t>
                  </w:r>
                  <w:r>
                    <w:rPr>
                      <w:rFonts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主要用于</w:t>
                  </w:r>
                  <w:r>
                    <w:rPr>
                      <w:rFonts w:hint="eastAsia" w:ascii="Times New Roman" w:hAnsi="Times New Roman" w:cs="Times New Roman"/>
                      <w:sz w:val="21"/>
                      <w:szCs w:val="21"/>
                      <w:highlight w:val="none"/>
                      <w:lang w:val="en-US" w:eastAsia="zh-CN"/>
                    </w:rPr>
                    <w:t>树脂、颜料、填料、</w:t>
                  </w:r>
                  <w:r>
                    <w:rPr>
                      <w:rFonts w:hint="eastAsia" w:ascii="Times New Roman" w:hAnsi="Times New Roman" w:cs="Times New Roman"/>
                      <w:sz w:val="21"/>
                      <w:szCs w:val="21"/>
                      <w:lang w:val="en-US" w:eastAsia="zh-CN"/>
                    </w:rPr>
                    <w:t>溶剂和助剂的储存。</w:t>
                  </w:r>
                </w:p>
              </w:tc>
              <w:tc>
                <w:tcPr>
                  <w:tcW w:w="444" w:type="pct"/>
                  <w:noWrap w:val="0"/>
                  <w:vAlign w:val="center"/>
                </w:tcPr>
                <w:p w14:paraId="71BF7AAD">
                  <w:pPr>
                    <w:jc w:val="center"/>
                    <w:rPr>
                      <w:szCs w:val="21"/>
                    </w:rPr>
                  </w:pPr>
                  <w:r>
                    <w:rPr>
                      <w:rFonts w:hint="eastAsia"/>
                      <w:szCs w:val="21"/>
                    </w:rPr>
                    <w:t>新建</w:t>
                  </w:r>
                </w:p>
              </w:tc>
            </w:tr>
            <w:tr w14:paraId="0E7C3AE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245" w:hRule="atLeast"/>
                <w:jc w:val="center"/>
              </w:trPr>
              <w:tc>
                <w:tcPr>
                  <w:tcW w:w="330" w:type="pct"/>
                  <w:vMerge w:val="restart"/>
                  <w:noWrap w:val="0"/>
                  <w:vAlign w:val="center"/>
                </w:tcPr>
                <w:p w14:paraId="0D483399">
                  <w:pPr>
                    <w:pStyle w:val="93"/>
                    <w:spacing w:after="0" w:line="240" w:lineRule="auto"/>
                    <w:ind w:firstLine="0"/>
                    <w:jc w:val="center"/>
                    <w:rPr>
                      <w:rFonts w:ascii="Times New Roman" w:hAnsi="Times New Roman" w:cs="Times New Roman"/>
                      <w:sz w:val="21"/>
                      <w:szCs w:val="21"/>
                    </w:rPr>
                  </w:pPr>
                  <w:r>
                    <w:rPr>
                      <w:rFonts w:ascii="Times New Roman" w:hAnsi="Times New Roman" w:cs="Times New Roman"/>
                      <w:sz w:val="21"/>
                      <w:szCs w:val="21"/>
                    </w:rPr>
                    <w:t>公用工程</w:t>
                  </w:r>
                </w:p>
              </w:tc>
              <w:tc>
                <w:tcPr>
                  <w:tcW w:w="903" w:type="pct"/>
                  <w:gridSpan w:val="2"/>
                  <w:noWrap w:val="0"/>
                  <w:vAlign w:val="center"/>
                </w:tcPr>
                <w:p w14:paraId="7E75E4A3">
                  <w:pPr>
                    <w:pStyle w:val="93"/>
                    <w:spacing w:after="0" w:line="240" w:lineRule="auto"/>
                    <w:ind w:firstLine="0"/>
                    <w:jc w:val="center"/>
                    <w:rPr>
                      <w:rFonts w:ascii="Times New Roman" w:hAnsi="Times New Roman" w:cs="Times New Roman"/>
                      <w:sz w:val="21"/>
                      <w:szCs w:val="21"/>
                    </w:rPr>
                  </w:pPr>
                  <w:r>
                    <w:rPr>
                      <w:rFonts w:ascii="Times New Roman" w:hAnsi="Times New Roman" w:cs="Times New Roman"/>
                      <w:sz w:val="21"/>
                      <w:szCs w:val="21"/>
                    </w:rPr>
                    <w:t>供电</w:t>
                  </w:r>
                </w:p>
              </w:tc>
              <w:tc>
                <w:tcPr>
                  <w:tcW w:w="3321" w:type="pct"/>
                  <w:noWrap w:val="0"/>
                  <w:vAlign w:val="center"/>
                </w:tcPr>
                <w:p w14:paraId="69A973CE">
                  <w:pPr>
                    <w:pStyle w:val="93"/>
                    <w:spacing w:after="0" w:line="240" w:lineRule="auto"/>
                    <w:ind w:firstLine="0"/>
                    <w:jc w:val="center"/>
                    <w:rPr>
                      <w:rFonts w:hint="eastAsia" w:ascii="Times New Roman" w:hAnsi="Times New Roman" w:eastAsia="宋体" w:cs="Times New Roman"/>
                      <w:sz w:val="21"/>
                      <w:szCs w:val="21"/>
                      <w:lang w:eastAsia="zh-CN"/>
                    </w:rPr>
                  </w:pPr>
                  <w:r>
                    <w:rPr>
                      <w:rFonts w:ascii="Times New Roman" w:hAnsi="Times New Roman" w:cs="Times New Roman"/>
                      <w:sz w:val="21"/>
                      <w:szCs w:val="21"/>
                    </w:rPr>
                    <w:t>市政供电系统</w:t>
                  </w:r>
                  <w:r>
                    <w:rPr>
                      <w:rFonts w:hint="eastAsia" w:ascii="Times New Roman" w:hAnsi="Times New Roman" w:cs="Times New Roman"/>
                      <w:sz w:val="21"/>
                      <w:szCs w:val="21"/>
                      <w:lang w:eastAsia="zh-CN"/>
                    </w:rPr>
                    <w:t>。</w:t>
                  </w:r>
                </w:p>
              </w:tc>
              <w:tc>
                <w:tcPr>
                  <w:tcW w:w="444" w:type="pct"/>
                  <w:noWrap w:val="0"/>
                  <w:vAlign w:val="center"/>
                </w:tcPr>
                <w:p w14:paraId="1E694B74">
                  <w:pPr>
                    <w:jc w:val="center"/>
                    <w:rPr>
                      <w:szCs w:val="21"/>
                    </w:rPr>
                  </w:pPr>
                  <w:r>
                    <w:rPr>
                      <w:color w:val="000000"/>
                      <w:szCs w:val="21"/>
                    </w:rPr>
                    <w:t>依托</w:t>
                  </w:r>
                </w:p>
              </w:tc>
            </w:tr>
            <w:tr w14:paraId="4DFE150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27" w:hRule="atLeast"/>
                <w:jc w:val="center"/>
              </w:trPr>
              <w:tc>
                <w:tcPr>
                  <w:tcW w:w="330" w:type="pct"/>
                  <w:vMerge w:val="continue"/>
                  <w:noWrap w:val="0"/>
                  <w:vAlign w:val="center"/>
                </w:tcPr>
                <w:p w14:paraId="73919B70">
                  <w:pPr>
                    <w:rPr>
                      <w:szCs w:val="21"/>
                    </w:rPr>
                  </w:pPr>
                </w:p>
              </w:tc>
              <w:tc>
                <w:tcPr>
                  <w:tcW w:w="903" w:type="pct"/>
                  <w:gridSpan w:val="2"/>
                  <w:noWrap w:val="0"/>
                  <w:vAlign w:val="center"/>
                </w:tcPr>
                <w:p w14:paraId="27C2669A">
                  <w:pPr>
                    <w:pStyle w:val="93"/>
                    <w:spacing w:after="0" w:line="240" w:lineRule="auto"/>
                    <w:ind w:firstLine="0"/>
                    <w:jc w:val="center"/>
                    <w:rPr>
                      <w:rFonts w:ascii="Times New Roman" w:hAnsi="Times New Roman" w:cs="Times New Roman"/>
                      <w:sz w:val="21"/>
                      <w:szCs w:val="21"/>
                      <w:lang w:val="en-US" w:eastAsia="zh-CN"/>
                    </w:rPr>
                  </w:pPr>
                  <w:r>
                    <w:rPr>
                      <w:rFonts w:ascii="Times New Roman" w:hAnsi="Times New Roman" w:cs="Times New Roman"/>
                      <w:sz w:val="21"/>
                      <w:szCs w:val="21"/>
                      <w:lang w:val="en-US" w:eastAsia="zh-CN"/>
                    </w:rPr>
                    <w:t>给水</w:t>
                  </w:r>
                </w:p>
              </w:tc>
              <w:tc>
                <w:tcPr>
                  <w:tcW w:w="3321" w:type="pct"/>
                  <w:noWrap w:val="0"/>
                  <w:vAlign w:val="center"/>
                </w:tcPr>
                <w:p w14:paraId="31C00BC0">
                  <w:pPr>
                    <w:pStyle w:val="93"/>
                    <w:spacing w:after="0" w:line="240" w:lineRule="auto"/>
                    <w:ind w:firstLine="0"/>
                    <w:jc w:val="center"/>
                    <w:rPr>
                      <w:rFonts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城市供水管网，满足生产及实验人员日常生活用水。</w:t>
                  </w:r>
                </w:p>
              </w:tc>
              <w:tc>
                <w:tcPr>
                  <w:tcW w:w="444" w:type="pct"/>
                  <w:noWrap w:val="0"/>
                  <w:vAlign w:val="center"/>
                </w:tcPr>
                <w:p w14:paraId="79DC6D0B">
                  <w:pPr>
                    <w:jc w:val="center"/>
                    <w:rPr>
                      <w:szCs w:val="21"/>
                    </w:rPr>
                  </w:pPr>
                  <w:r>
                    <w:rPr>
                      <w:color w:val="000000"/>
                      <w:szCs w:val="21"/>
                    </w:rPr>
                    <w:t>依托</w:t>
                  </w:r>
                </w:p>
              </w:tc>
            </w:tr>
            <w:tr w14:paraId="27A0119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330" w:type="pct"/>
                  <w:vMerge w:val="continue"/>
                  <w:noWrap w:val="0"/>
                  <w:vAlign w:val="center"/>
                </w:tcPr>
                <w:p w14:paraId="0A5EDF95">
                  <w:pPr>
                    <w:rPr>
                      <w:szCs w:val="21"/>
                    </w:rPr>
                  </w:pPr>
                </w:p>
              </w:tc>
              <w:tc>
                <w:tcPr>
                  <w:tcW w:w="903" w:type="pct"/>
                  <w:gridSpan w:val="2"/>
                  <w:noWrap w:val="0"/>
                  <w:vAlign w:val="center"/>
                </w:tcPr>
                <w:p w14:paraId="72AB16DD">
                  <w:pPr>
                    <w:pStyle w:val="93"/>
                    <w:spacing w:after="0" w:line="240" w:lineRule="auto"/>
                    <w:ind w:firstLine="0"/>
                    <w:jc w:val="center"/>
                    <w:rPr>
                      <w:rFonts w:ascii="Times New Roman" w:hAnsi="Times New Roman" w:cs="Times New Roman"/>
                      <w:sz w:val="21"/>
                      <w:szCs w:val="21"/>
                      <w:lang w:val="en-US" w:eastAsia="zh-CN"/>
                    </w:rPr>
                  </w:pPr>
                  <w:r>
                    <w:rPr>
                      <w:rFonts w:ascii="Times New Roman" w:hAnsi="Times New Roman" w:cs="Times New Roman"/>
                      <w:sz w:val="21"/>
                      <w:szCs w:val="21"/>
                      <w:lang w:val="en-US" w:eastAsia="zh-CN"/>
                    </w:rPr>
                    <w:t>排水</w:t>
                  </w:r>
                </w:p>
              </w:tc>
              <w:tc>
                <w:tcPr>
                  <w:tcW w:w="3321" w:type="pct"/>
                  <w:noWrap w:val="0"/>
                  <w:vAlign w:val="center"/>
                </w:tcPr>
                <w:p w14:paraId="542FCCAF">
                  <w:pPr>
                    <w:pStyle w:val="93"/>
                    <w:spacing w:after="0" w:line="240" w:lineRule="auto"/>
                    <w:ind w:firstLine="0"/>
                    <w:jc w:val="center"/>
                    <w:rPr>
                      <w:rFonts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研磨冷却水使用不外排，生活污水排入园区提供的化粪池，</w:t>
                  </w:r>
                  <w:r>
                    <w:rPr>
                      <w:rFonts w:hint="eastAsia" w:cs="Times New Roman"/>
                      <w:color w:val="auto"/>
                      <w:sz w:val="21"/>
                      <w:szCs w:val="21"/>
                      <w:u w:val="none"/>
                      <w:lang w:eastAsia="zh-CN"/>
                    </w:rPr>
                    <w:t>由园区定期清淘用作农肥，待长春北湖科技开发区污水处理厂运行后，经市政管网排入该污水厂处理后排入干雾海河</w:t>
                  </w:r>
                </w:p>
              </w:tc>
              <w:tc>
                <w:tcPr>
                  <w:tcW w:w="444" w:type="pct"/>
                  <w:noWrap w:val="0"/>
                  <w:vAlign w:val="center"/>
                </w:tcPr>
                <w:p w14:paraId="6F323414">
                  <w:pPr>
                    <w:jc w:val="center"/>
                    <w:rPr>
                      <w:szCs w:val="21"/>
                    </w:rPr>
                  </w:pPr>
                  <w:r>
                    <w:rPr>
                      <w:color w:val="000000"/>
                      <w:szCs w:val="21"/>
                    </w:rPr>
                    <w:t>依托</w:t>
                  </w:r>
                </w:p>
              </w:tc>
            </w:tr>
            <w:tr w14:paraId="35D2CB9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22" w:hRule="atLeast"/>
                <w:jc w:val="center"/>
              </w:trPr>
              <w:tc>
                <w:tcPr>
                  <w:tcW w:w="330" w:type="pct"/>
                  <w:vMerge w:val="continue"/>
                  <w:noWrap w:val="0"/>
                  <w:vAlign w:val="center"/>
                </w:tcPr>
                <w:p w14:paraId="112929B7">
                  <w:pPr>
                    <w:rPr>
                      <w:szCs w:val="21"/>
                    </w:rPr>
                  </w:pPr>
                </w:p>
              </w:tc>
              <w:tc>
                <w:tcPr>
                  <w:tcW w:w="903" w:type="pct"/>
                  <w:gridSpan w:val="2"/>
                  <w:noWrap w:val="0"/>
                  <w:vAlign w:val="center"/>
                </w:tcPr>
                <w:p w14:paraId="1E160191">
                  <w:pPr>
                    <w:pStyle w:val="93"/>
                    <w:spacing w:after="0" w:line="240" w:lineRule="auto"/>
                    <w:ind w:firstLine="0"/>
                    <w:jc w:val="center"/>
                    <w:rPr>
                      <w:rFonts w:ascii="Times New Roman" w:hAnsi="Times New Roman" w:cs="Times New Roman"/>
                      <w:sz w:val="21"/>
                      <w:szCs w:val="21"/>
                      <w:lang w:val="en-US" w:eastAsia="zh-CN"/>
                    </w:rPr>
                  </w:pPr>
                  <w:r>
                    <w:rPr>
                      <w:rFonts w:ascii="Times New Roman" w:hAnsi="Times New Roman" w:cs="Times New Roman"/>
                      <w:sz w:val="21"/>
                      <w:szCs w:val="21"/>
                      <w:lang w:val="en-US" w:eastAsia="zh-CN"/>
                    </w:rPr>
                    <w:t>供热</w:t>
                  </w:r>
                </w:p>
              </w:tc>
              <w:tc>
                <w:tcPr>
                  <w:tcW w:w="3321" w:type="pct"/>
                  <w:noWrap w:val="0"/>
                  <w:vAlign w:val="center"/>
                </w:tcPr>
                <w:p w14:paraId="591D811A">
                  <w:pPr>
                    <w:pStyle w:val="93"/>
                    <w:spacing w:after="0" w:line="240" w:lineRule="auto"/>
                    <w:ind w:firstLine="0"/>
                    <w:jc w:val="center"/>
                    <w:rPr>
                      <w:rFonts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项目生产用热为电加热，冬季供暖依托园区内地源热泵集中供热。</w:t>
                  </w:r>
                </w:p>
              </w:tc>
              <w:tc>
                <w:tcPr>
                  <w:tcW w:w="444" w:type="pct"/>
                  <w:noWrap w:val="0"/>
                  <w:vAlign w:val="center"/>
                </w:tcPr>
                <w:p w14:paraId="4BC3412F">
                  <w:pPr>
                    <w:jc w:val="center"/>
                    <w:rPr>
                      <w:szCs w:val="21"/>
                    </w:rPr>
                  </w:pPr>
                  <w:r>
                    <w:rPr>
                      <w:color w:val="000000"/>
                      <w:szCs w:val="21"/>
                    </w:rPr>
                    <w:t>依托</w:t>
                  </w:r>
                </w:p>
              </w:tc>
            </w:tr>
            <w:tr w14:paraId="1D15210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330" w:type="pct"/>
                  <w:vMerge w:val="restart"/>
                  <w:noWrap w:val="0"/>
                  <w:vAlign w:val="center"/>
                </w:tcPr>
                <w:p w14:paraId="2D1BD889">
                  <w:pPr>
                    <w:jc w:val="center"/>
                    <w:rPr>
                      <w:rFonts w:hint="eastAsia"/>
                      <w:szCs w:val="21"/>
                    </w:rPr>
                  </w:pPr>
                  <w:r>
                    <w:rPr>
                      <w:rFonts w:hint="eastAsia"/>
                      <w:szCs w:val="21"/>
                    </w:rPr>
                    <w:t>环保工程</w:t>
                  </w:r>
                </w:p>
              </w:tc>
              <w:tc>
                <w:tcPr>
                  <w:tcW w:w="903" w:type="pct"/>
                  <w:gridSpan w:val="2"/>
                  <w:vMerge w:val="restart"/>
                  <w:noWrap w:val="0"/>
                  <w:vAlign w:val="center"/>
                </w:tcPr>
                <w:p w14:paraId="0CAD2F8F">
                  <w:pPr>
                    <w:pStyle w:val="93"/>
                    <w:spacing w:after="0" w:line="240" w:lineRule="auto"/>
                    <w:ind w:firstLine="0"/>
                    <w:jc w:val="cente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废气</w:t>
                  </w:r>
                </w:p>
              </w:tc>
              <w:tc>
                <w:tcPr>
                  <w:tcW w:w="3321" w:type="pct"/>
                  <w:noWrap w:val="0"/>
                  <w:vAlign w:val="center"/>
                </w:tcPr>
                <w:p w14:paraId="37E23978">
                  <w:pPr>
                    <w:pStyle w:val="93"/>
                    <w:spacing w:after="0" w:line="240" w:lineRule="auto"/>
                    <w:ind w:firstLine="0"/>
                    <w:jc w:val="center"/>
                    <w:rPr>
                      <w:rFonts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喷砂废气经布袋除尘器处理后通过15m高排气筒DA001排放。</w:t>
                  </w:r>
                </w:p>
              </w:tc>
              <w:tc>
                <w:tcPr>
                  <w:tcW w:w="444" w:type="pct"/>
                  <w:noWrap w:val="0"/>
                  <w:vAlign w:val="center"/>
                </w:tcPr>
                <w:p w14:paraId="0E2E2BAB">
                  <w:pPr>
                    <w:pStyle w:val="93"/>
                    <w:spacing w:after="0" w:line="240" w:lineRule="auto"/>
                    <w:ind w:firstLine="0"/>
                    <w:jc w:val="center"/>
                    <w:rPr>
                      <w:rFonts w:ascii="Times New Roman" w:hAnsi="Times New Roman" w:cs="Times New Roman"/>
                      <w:sz w:val="21"/>
                      <w:szCs w:val="21"/>
                      <w:lang w:val="en-US" w:eastAsia="zh-CN"/>
                    </w:rPr>
                  </w:pPr>
                  <w:r>
                    <w:rPr>
                      <w:rFonts w:ascii="Times New Roman" w:hAnsi="Times New Roman" w:cs="Times New Roman"/>
                      <w:sz w:val="21"/>
                      <w:szCs w:val="21"/>
                      <w:lang w:val="en-US" w:eastAsia="zh-CN"/>
                    </w:rPr>
                    <w:t>新建</w:t>
                  </w:r>
                </w:p>
              </w:tc>
            </w:tr>
            <w:tr w14:paraId="0FB2135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330" w:type="pct"/>
                  <w:vMerge w:val="continue"/>
                  <w:noWrap w:val="0"/>
                  <w:vAlign w:val="center"/>
                </w:tcPr>
                <w:p w14:paraId="1E24E6D3">
                  <w:pPr>
                    <w:jc w:val="center"/>
                    <w:rPr>
                      <w:szCs w:val="21"/>
                    </w:rPr>
                  </w:pPr>
                </w:p>
              </w:tc>
              <w:tc>
                <w:tcPr>
                  <w:tcW w:w="903" w:type="pct"/>
                  <w:gridSpan w:val="2"/>
                  <w:vMerge w:val="continue"/>
                  <w:noWrap w:val="0"/>
                  <w:vAlign w:val="center"/>
                </w:tcPr>
                <w:p w14:paraId="2B05B1F1">
                  <w:pPr>
                    <w:pStyle w:val="93"/>
                    <w:spacing w:after="0" w:line="240" w:lineRule="auto"/>
                    <w:ind w:firstLine="0"/>
                    <w:jc w:val="center"/>
                    <w:rPr>
                      <w:rFonts w:hint="eastAsia" w:ascii="Times New Roman" w:hAnsi="Times New Roman" w:cs="Times New Roman"/>
                      <w:sz w:val="21"/>
                      <w:szCs w:val="21"/>
                      <w:lang w:eastAsia="zh-CN"/>
                    </w:rPr>
                  </w:pPr>
                </w:p>
              </w:tc>
              <w:tc>
                <w:tcPr>
                  <w:tcW w:w="3321" w:type="pct"/>
                  <w:noWrap w:val="0"/>
                  <w:vAlign w:val="center"/>
                </w:tcPr>
                <w:p w14:paraId="65F7C0BC">
                  <w:pPr>
                    <w:pStyle w:val="93"/>
                    <w:spacing w:after="0" w:line="240" w:lineRule="auto"/>
                    <w:ind w:firstLine="0"/>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制备实验及喷涂实验产生有机废气经集气罩收集后经过滤棉+活性炭吸附处理后通过15m高排气筒DA002排放。</w:t>
                  </w:r>
                </w:p>
              </w:tc>
              <w:tc>
                <w:tcPr>
                  <w:tcW w:w="444" w:type="pct"/>
                  <w:noWrap w:val="0"/>
                  <w:vAlign w:val="center"/>
                </w:tcPr>
                <w:p w14:paraId="3EE7493A">
                  <w:pPr>
                    <w:pStyle w:val="93"/>
                    <w:spacing w:after="0" w:line="240" w:lineRule="auto"/>
                    <w:ind w:firstLine="0"/>
                    <w:jc w:val="center"/>
                    <w:rPr>
                      <w:rFonts w:ascii="Times New Roman" w:hAnsi="Times New Roman" w:cs="Times New Roman"/>
                      <w:sz w:val="21"/>
                      <w:szCs w:val="21"/>
                      <w:lang w:val="en-US" w:eastAsia="zh-CN"/>
                    </w:rPr>
                  </w:pPr>
                  <w:r>
                    <w:rPr>
                      <w:rFonts w:ascii="Times New Roman" w:hAnsi="Times New Roman" w:cs="Times New Roman"/>
                      <w:sz w:val="21"/>
                      <w:szCs w:val="21"/>
                      <w:lang w:val="en-US" w:eastAsia="zh-CN"/>
                    </w:rPr>
                    <w:t>新建</w:t>
                  </w:r>
                </w:p>
              </w:tc>
            </w:tr>
            <w:tr w14:paraId="01E5D38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jc w:val="center"/>
              </w:trPr>
              <w:tc>
                <w:tcPr>
                  <w:tcW w:w="330" w:type="pct"/>
                  <w:vMerge w:val="continue"/>
                  <w:noWrap w:val="0"/>
                  <w:vAlign w:val="center"/>
                </w:tcPr>
                <w:p w14:paraId="7906549B">
                  <w:pPr>
                    <w:jc w:val="center"/>
                    <w:rPr>
                      <w:szCs w:val="21"/>
                    </w:rPr>
                  </w:pPr>
                </w:p>
              </w:tc>
              <w:tc>
                <w:tcPr>
                  <w:tcW w:w="903" w:type="pct"/>
                  <w:gridSpan w:val="2"/>
                  <w:noWrap w:val="0"/>
                  <w:vAlign w:val="center"/>
                </w:tcPr>
                <w:p w14:paraId="32F4126F">
                  <w:pPr>
                    <w:pStyle w:val="93"/>
                    <w:spacing w:after="0" w:line="240" w:lineRule="auto"/>
                    <w:ind w:firstLine="0"/>
                    <w:jc w:val="center"/>
                    <w:rPr>
                      <w:rFonts w:hint="eastAsia"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废水</w:t>
                  </w:r>
                </w:p>
              </w:tc>
              <w:tc>
                <w:tcPr>
                  <w:tcW w:w="3321" w:type="pct"/>
                  <w:noWrap w:val="0"/>
                  <w:vAlign w:val="center"/>
                </w:tcPr>
                <w:p w14:paraId="52300B96">
                  <w:pPr>
                    <w:pStyle w:val="93"/>
                    <w:spacing w:after="0" w:line="240" w:lineRule="auto"/>
                    <w:ind w:firstLine="0"/>
                    <w:jc w:val="center"/>
                    <w:rPr>
                      <w:rFonts w:hint="eastAsia"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生活污水</w:t>
                  </w:r>
                  <w:r>
                    <w:rPr>
                      <w:rFonts w:hint="eastAsia" w:ascii="Times New Roman" w:hAnsi="Times New Roman" w:cs="Times New Roman"/>
                      <w:sz w:val="21"/>
                      <w:szCs w:val="21"/>
                      <w:lang w:val="en-US" w:eastAsia="zh-CN"/>
                    </w:rPr>
                    <w:t>排入园区提供的化粪池，</w:t>
                  </w:r>
                  <w:r>
                    <w:rPr>
                      <w:rFonts w:hint="eastAsia" w:cs="Times New Roman"/>
                      <w:color w:val="auto"/>
                      <w:sz w:val="21"/>
                      <w:szCs w:val="21"/>
                      <w:u w:val="none"/>
                      <w:lang w:eastAsia="zh-CN"/>
                    </w:rPr>
                    <w:t>由园区定期清淘用作农肥，待长春北湖科技开发区污水处理厂运行后，经市政管网排入该污水厂处理后排入干雾海河。</w:t>
                  </w:r>
                </w:p>
              </w:tc>
              <w:tc>
                <w:tcPr>
                  <w:tcW w:w="444" w:type="pct"/>
                  <w:noWrap w:val="0"/>
                  <w:vAlign w:val="center"/>
                </w:tcPr>
                <w:p w14:paraId="352E44C9">
                  <w:pPr>
                    <w:pStyle w:val="93"/>
                    <w:spacing w:after="0" w:line="240" w:lineRule="auto"/>
                    <w:ind w:firstLine="0"/>
                    <w:jc w:val="center"/>
                    <w:rPr>
                      <w:rFonts w:ascii="Times New Roman" w:hAnsi="Times New Roman" w:cs="Times New Roman"/>
                      <w:sz w:val="21"/>
                      <w:szCs w:val="21"/>
                    </w:rPr>
                  </w:pPr>
                  <w:r>
                    <w:rPr>
                      <w:rFonts w:hint="eastAsia" w:ascii="Times New Roman" w:hAnsi="Times New Roman" w:cs="Times New Roman"/>
                      <w:sz w:val="21"/>
                      <w:szCs w:val="21"/>
                      <w:lang w:val="en-US" w:eastAsia="zh-CN"/>
                    </w:rPr>
                    <w:t>依托</w:t>
                  </w:r>
                </w:p>
              </w:tc>
            </w:tr>
            <w:tr w14:paraId="24E0A00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jc w:val="center"/>
              </w:trPr>
              <w:tc>
                <w:tcPr>
                  <w:tcW w:w="330" w:type="pct"/>
                  <w:vMerge w:val="continue"/>
                  <w:noWrap w:val="0"/>
                  <w:vAlign w:val="center"/>
                </w:tcPr>
                <w:p w14:paraId="2D33ABFF">
                  <w:pPr>
                    <w:jc w:val="center"/>
                    <w:rPr>
                      <w:szCs w:val="21"/>
                    </w:rPr>
                  </w:pPr>
                </w:p>
              </w:tc>
              <w:tc>
                <w:tcPr>
                  <w:tcW w:w="903" w:type="pct"/>
                  <w:gridSpan w:val="2"/>
                  <w:noWrap w:val="0"/>
                  <w:vAlign w:val="center"/>
                </w:tcPr>
                <w:p w14:paraId="6C39D7BF">
                  <w:pPr>
                    <w:pStyle w:val="93"/>
                    <w:spacing w:after="0" w:line="240" w:lineRule="auto"/>
                    <w:ind w:firstLine="0"/>
                    <w:jc w:val="center"/>
                    <w:rPr>
                      <w:rFonts w:hint="eastAsia"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噪声</w:t>
                  </w:r>
                </w:p>
              </w:tc>
              <w:tc>
                <w:tcPr>
                  <w:tcW w:w="3321" w:type="pct"/>
                  <w:noWrap w:val="0"/>
                  <w:vAlign w:val="center"/>
                </w:tcPr>
                <w:p w14:paraId="191F2DA1">
                  <w:pPr>
                    <w:pStyle w:val="93"/>
                    <w:spacing w:after="0" w:line="240" w:lineRule="auto"/>
                    <w:ind w:firstLine="0"/>
                    <w:jc w:val="center"/>
                    <w:rPr>
                      <w:rFonts w:hint="eastAsia" w:ascii="Times New Roman" w:hAnsi="Times New Roman" w:eastAsia="宋体" w:cs="Times New Roman"/>
                      <w:color w:val="000000"/>
                      <w:sz w:val="21"/>
                      <w:szCs w:val="21"/>
                      <w:lang w:eastAsia="zh-CN"/>
                    </w:rPr>
                  </w:pPr>
                  <w:r>
                    <w:rPr>
                      <w:rFonts w:ascii="Times New Roman" w:hAnsi="Times New Roman" w:cs="Times New Roman"/>
                      <w:color w:val="000000"/>
                      <w:sz w:val="21"/>
                      <w:szCs w:val="21"/>
                    </w:rPr>
                    <w:t>低噪音设备、基础减振、隔声</w:t>
                  </w:r>
                  <w:r>
                    <w:rPr>
                      <w:rFonts w:hint="eastAsia" w:ascii="Times New Roman" w:hAnsi="Times New Roman" w:cs="Times New Roman"/>
                      <w:color w:val="000000"/>
                      <w:sz w:val="21"/>
                      <w:szCs w:val="21"/>
                      <w:lang w:eastAsia="zh-CN"/>
                    </w:rPr>
                    <w:t>。</w:t>
                  </w:r>
                </w:p>
              </w:tc>
              <w:tc>
                <w:tcPr>
                  <w:tcW w:w="444" w:type="pct"/>
                  <w:noWrap w:val="0"/>
                  <w:vAlign w:val="center"/>
                </w:tcPr>
                <w:p w14:paraId="1CCCCAA2">
                  <w:pPr>
                    <w:pStyle w:val="93"/>
                    <w:spacing w:after="0" w:line="240" w:lineRule="auto"/>
                    <w:ind w:firstLine="0"/>
                    <w:jc w:val="center"/>
                    <w:rPr>
                      <w:rFonts w:ascii="Times New Roman" w:hAnsi="Times New Roman" w:cs="Times New Roman"/>
                      <w:sz w:val="21"/>
                      <w:szCs w:val="21"/>
                      <w:lang w:val="en-US" w:eastAsia="zh-CN"/>
                    </w:rPr>
                  </w:pPr>
                  <w:r>
                    <w:rPr>
                      <w:rFonts w:ascii="Times New Roman" w:hAnsi="Times New Roman" w:cs="Times New Roman"/>
                      <w:sz w:val="21"/>
                      <w:szCs w:val="21"/>
                      <w:lang w:val="en-US" w:eastAsia="zh-CN"/>
                    </w:rPr>
                    <w:t>新建</w:t>
                  </w:r>
                </w:p>
              </w:tc>
            </w:tr>
            <w:tr w14:paraId="0A111CB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jc w:val="center"/>
              </w:trPr>
              <w:tc>
                <w:tcPr>
                  <w:tcW w:w="330" w:type="pct"/>
                  <w:vMerge w:val="continue"/>
                  <w:noWrap w:val="0"/>
                  <w:vAlign w:val="center"/>
                </w:tcPr>
                <w:p w14:paraId="6CC942F1">
                  <w:pPr>
                    <w:jc w:val="center"/>
                    <w:rPr>
                      <w:szCs w:val="21"/>
                    </w:rPr>
                  </w:pPr>
                </w:p>
              </w:tc>
              <w:tc>
                <w:tcPr>
                  <w:tcW w:w="903" w:type="pct"/>
                  <w:gridSpan w:val="2"/>
                  <w:noWrap w:val="0"/>
                  <w:vAlign w:val="center"/>
                </w:tcPr>
                <w:p w14:paraId="0B4FD831">
                  <w:pPr>
                    <w:pStyle w:val="93"/>
                    <w:spacing w:after="0" w:line="240" w:lineRule="auto"/>
                    <w:ind w:firstLine="0"/>
                    <w:jc w:val="center"/>
                    <w:rPr>
                      <w:rFonts w:hint="eastAsia"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固体废物</w:t>
                  </w:r>
                </w:p>
              </w:tc>
              <w:tc>
                <w:tcPr>
                  <w:tcW w:w="3321" w:type="pct"/>
                  <w:noWrap w:val="0"/>
                  <w:vAlign w:val="center"/>
                </w:tcPr>
                <w:p w14:paraId="73C4A300">
                  <w:pPr>
                    <w:pStyle w:val="93"/>
                    <w:spacing w:after="0" w:line="240" w:lineRule="auto"/>
                    <w:ind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生活垃圾集中收集暂存至垃圾箱，交由环卫部门统一清运处理；</w:t>
                  </w:r>
                  <w:r>
                    <w:rPr>
                      <w:rFonts w:ascii="Times New Roman" w:hAnsi="Times New Roman" w:cs="Times New Roman"/>
                      <w:color w:val="000000"/>
                      <w:sz w:val="21"/>
                      <w:szCs w:val="21"/>
                      <w:highlight w:val="none"/>
                      <w:lang w:eastAsia="zh-CN"/>
                    </w:rPr>
                    <w:t>废磨料集中收集后外卖废品收购站，废滤筒定期由厂家回收，滤筒收集粉尘集中收集后同废磨料一同外卖废品收购站</w:t>
                  </w:r>
                  <w:r>
                    <w:rPr>
                      <w:rFonts w:hint="eastAsia" w:ascii="Times New Roman" w:hAnsi="Times New Roman" w:cs="Times New Roman"/>
                      <w:color w:val="000000"/>
                      <w:sz w:val="21"/>
                      <w:szCs w:val="21"/>
                      <w:highlight w:val="none"/>
                      <w:lang w:eastAsia="zh-CN"/>
                    </w:rPr>
                    <w:t>、</w:t>
                  </w:r>
                  <w:r>
                    <w:rPr>
                      <w:rFonts w:ascii="Times New Roman" w:hAnsi="Times New Roman" w:cs="Times New Roman"/>
                      <w:color w:val="000000"/>
                      <w:sz w:val="21"/>
                      <w:szCs w:val="21"/>
                      <w:highlight w:val="none"/>
                      <w:lang w:eastAsia="zh-CN"/>
                    </w:rPr>
                    <w:t>不合格实验品</w:t>
                  </w:r>
                  <w:r>
                    <w:rPr>
                      <w:rFonts w:hint="eastAsia" w:ascii="Times New Roman" w:hAnsi="Times New Roman" w:cs="Times New Roman"/>
                      <w:color w:val="000000"/>
                      <w:sz w:val="21"/>
                      <w:szCs w:val="21"/>
                      <w:highlight w:val="none"/>
                      <w:lang w:eastAsia="zh-CN"/>
                    </w:rPr>
                    <w:t>外售综合利用</w:t>
                  </w:r>
                  <w:r>
                    <w:rPr>
                      <w:rFonts w:ascii="Times New Roman" w:hAnsi="Times New Roman" w:cs="Times New Roman"/>
                      <w:color w:val="000000"/>
                      <w:sz w:val="21"/>
                      <w:szCs w:val="21"/>
                      <w:highlight w:val="none"/>
                    </w:rPr>
                    <w:t>。</w:t>
                  </w:r>
                  <w:r>
                    <w:rPr>
                      <w:rFonts w:ascii="Times New Roman" w:hAnsi="Times New Roman" w:cs="Times New Roman"/>
                      <w:color w:val="000000"/>
                      <w:sz w:val="21"/>
                      <w:szCs w:val="21"/>
                      <w:highlight w:val="none"/>
                      <w:lang w:eastAsia="zh-CN"/>
                    </w:rPr>
                    <w:t>实验漆渣、</w:t>
                  </w:r>
                  <w:r>
                    <w:rPr>
                      <w:rFonts w:hint="eastAsia" w:ascii="Times New Roman" w:hAnsi="Times New Roman" w:cs="Times New Roman"/>
                      <w:color w:val="000000"/>
                      <w:sz w:val="21"/>
                      <w:szCs w:val="21"/>
                      <w:highlight w:val="none"/>
                      <w:lang w:eastAsia="zh-CN"/>
                    </w:rPr>
                    <w:t>过滤杂质、</w:t>
                  </w:r>
                  <w:r>
                    <w:rPr>
                      <w:rFonts w:ascii="Times New Roman" w:hAnsi="Times New Roman" w:cs="Times New Roman"/>
                      <w:color w:val="000000"/>
                      <w:sz w:val="21"/>
                      <w:szCs w:val="21"/>
                      <w:lang w:eastAsia="zh-CN"/>
                    </w:rPr>
                    <w:t>废活性炭及废过滤棉</w:t>
                  </w:r>
                  <w:r>
                    <w:rPr>
                      <w:rFonts w:hint="eastAsia" w:ascii="Times New Roman" w:hAnsi="Times New Roman" w:cs="Times New Roman"/>
                      <w:color w:val="000000"/>
                      <w:sz w:val="21"/>
                      <w:szCs w:val="21"/>
                      <w:lang w:eastAsia="zh-CN"/>
                    </w:rPr>
                    <w:t>、</w:t>
                  </w:r>
                  <w:r>
                    <w:rPr>
                      <w:rFonts w:ascii="Times New Roman" w:hAnsi="Times New Roman" w:cs="Times New Roman"/>
                      <w:color w:val="000000"/>
                      <w:sz w:val="21"/>
                      <w:szCs w:val="21"/>
                      <w:lang w:eastAsia="zh-CN"/>
                    </w:rPr>
                    <w:t>实验设备</w:t>
                  </w:r>
                  <w:r>
                    <w:rPr>
                      <w:rFonts w:hint="eastAsia" w:ascii="Times New Roman" w:hAnsi="Times New Roman" w:cs="Times New Roman"/>
                      <w:color w:val="000000"/>
                      <w:sz w:val="21"/>
                      <w:szCs w:val="21"/>
                      <w:lang w:eastAsia="zh-CN"/>
                    </w:rPr>
                    <w:t>及地面</w:t>
                  </w:r>
                  <w:r>
                    <w:rPr>
                      <w:rFonts w:ascii="Times New Roman" w:hAnsi="Times New Roman" w:cs="Times New Roman"/>
                      <w:color w:val="000000"/>
                      <w:sz w:val="21"/>
                      <w:szCs w:val="21"/>
                    </w:rPr>
                    <w:t>清洗废水</w:t>
                  </w:r>
                  <w:r>
                    <w:rPr>
                      <w:rFonts w:hint="eastAsia" w:ascii="Times New Roman" w:hAnsi="Times New Roman" w:cs="Times New Roman"/>
                      <w:color w:val="000000"/>
                      <w:sz w:val="21"/>
                      <w:szCs w:val="21"/>
                      <w:lang w:eastAsia="zh-CN"/>
                    </w:rPr>
                    <w:t>等危险废物</w:t>
                  </w:r>
                  <w:r>
                    <w:rPr>
                      <w:rFonts w:ascii="Times New Roman" w:hAnsi="Times New Roman" w:cs="Times New Roman"/>
                      <w:color w:val="000000"/>
                      <w:sz w:val="21"/>
                      <w:szCs w:val="21"/>
                      <w:lang w:eastAsia="zh-CN"/>
                    </w:rPr>
                    <w:t>桶装收集后</w:t>
                  </w:r>
                  <w:r>
                    <w:rPr>
                      <w:rFonts w:hint="eastAsia" w:ascii="Times New Roman" w:hAnsi="Times New Roman" w:cs="Times New Roman"/>
                      <w:color w:val="000000"/>
                      <w:sz w:val="21"/>
                      <w:szCs w:val="21"/>
                      <w:lang w:eastAsia="zh-CN"/>
                    </w:rPr>
                    <w:t>加盖密闭，暂存于危废贮存库</w:t>
                  </w:r>
                  <w:r>
                    <w:rPr>
                      <w:rFonts w:ascii="Times New Roman" w:hAnsi="Times New Roman" w:cs="Times New Roman"/>
                      <w:color w:val="000000"/>
                      <w:sz w:val="21"/>
                      <w:szCs w:val="21"/>
                      <w:lang w:eastAsia="zh-CN"/>
                    </w:rPr>
                    <w:t>委托有资质单位处理。</w:t>
                  </w:r>
                </w:p>
              </w:tc>
              <w:tc>
                <w:tcPr>
                  <w:tcW w:w="444" w:type="pct"/>
                  <w:noWrap w:val="0"/>
                  <w:vAlign w:val="center"/>
                </w:tcPr>
                <w:p w14:paraId="2CD563C2">
                  <w:pPr>
                    <w:pStyle w:val="93"/>
                    <w:spacing w:after="0" w:line="240" w:lineRule="auto"/>
                    <w:ind w:firstLine="0"/>
                    <w:jc w:val="center"/>
                    <w:rPr>
                      <w:rFonts w:ascii="Times New Roman" w:hAnsi="Times New Roman" w:cs="Times New Roman"/>
                      <w:sz w:val="21"/>
                      <w:szCs w:val="21"/>
                      <w:lang w:val="en-US" w:eastAsia="zh-CN"/>
                    </w:rPr>
                  </w:pPr>
                  <w:r>
                    <w:rPr>
                      <w:rFonts w:ascii="Times New Roman" w:hAnsi="Times New Roman" w:cs="Times New Roman"/>
                      <w:sz w:val="21"/>
                      <w:szCs w:val="21"/>
                      <w:lang w:val="en-US" w:eastAsia="zh-CN"/>
                    </w:rPr>
                    <w:t>新建</w:t>
                  </w:r>
                </w:p>
              </w:tc>
            </w:tr>
          </w:tbl>
          <w:p w14:paraId="5BA6ECBD">
            <w:pPr>
              <w:adjustRightInd w:val="0"/>
              <w:snapToGrid w:val="0"/>
              <w:spacing w:line="480" w:lineRule="exact"/>
              <w:ind w:firstLine="482" w:firstLineChars="200"/>
              <w:rPr>
                <w:rFonts w:hint="eastAsia"/>
                <w:b/>
                <w:i/>
                <w:iCs/>
                <w:sz w:val="24"/>
                <w:u w:val="single"/>
              </w:rPr>
            </w:pPr>
            <w:r>
              <w:rPr>
                <w:rFonts w:hint="eastAsia"/>
                <w:b/>
                <w:sz w:val="24"/>
              </w:rPr>
              <w:t>3、</w:t>
            </w:r>
            <w:r>
              <w:rPr>
                <w:rFonts w:hint="eastAsia"/>
                <w:b/>
                <w:i/>
                <w:iCs/>
                <w:sz w:val="24"/>
                <w:u w:val="single"/>
                <w:lang w:eastAsia="zh-CN"/>
              </w:rPr>
              <w:t>实验</w:t>
            </w:r>
            <w:r>
              <w:rPr>
                <w:rFonts w:hint="eastAsia"/>
                <w:b/>
                <w:i/>
                <w:iCs/>
                <w:sz w:val="24"/>
                <w:u w:val="single"/>
              </w:rPr>
              <w:t>方案</w:t>
            </w:r>
          </w:p>
          <w:p w14:paraId="6BB10B78">
            <w:pPr>
              <w:adjustRightInd w:val="0"/>
              <w:snapToGrid w:val="0"/>
              <w:spacing w:line="480" w:lineRule="exact"/>
              <w:ind w:firstLine="480" w:firstLineChars="200"/>
              <w:rPr>
                <w:rFonts w:hint="eastAsia"/>
                <w:i/>
                <w:iCs/>
                <w:u w:val="single"/>
              </w:rPr>
            </w:pPr>
            <w:r>
              <w:rPr>
                <w:rFonts w:hint="eastAsia"/>
                <w:bCs/>
                <w:i/>
                <w:iCs/>
                <w:sz w:val="24"/>
                <w:u w:val="single"/>
              </w:rPr>
              <w:t>本项目主要为大型钢结构防腐涂料的研发，</w:t>
            </w:r>
            <w:r>
              <w:rPr>
                <w:rFonts w:hint="eastAsia"/>
                <w:bCs/>
                <w:i/>
                <w:iCs/>
                <w:sz w:val="24"/>
                <w:highlight w:val="none"/>
                <w:u w:val="single"/>
              </w:rPr>
              <w:t>无规模化产品，计划研发聚醚醚酮防腐涂料</w:t>
            </w:r>
            <w:r>
              <w:rPr>
                <w:rFonts w:hint="eastAsia"/>
                <w:bCs/>
                <w:i/>
                <w:iCs/>
                <w:sz w:val="24"/>
                <w:highlight w:val="none"/>
                <w:u w:val="single"/>
                <w:lang w:val="en-US" w:eastAsia="zh-CN"/>
              </w:rPr>
              <w:t>2</w:t>
            </w:r>
            <w:r>
              <w:rPr>
                <w:rFonts w:hint="eastAsia"/>
                <w:bCs/>
                <w:i/>
                <w:iCs/>
                <w:sz w:val="24"/>
                <w:highlight w:val="none"/>
                <w:u w:val="single"/>
              </w:rPr>
              <w:t>t/a</w:t>
            </w:r>
            <w:r>
              <w:rPr>
                <w:rFonts w:hint="eastAsia"/>
                <w:bCs/>
                <w:i/>
                <w:iCs/>
                <w:sz w:val="24"/>
                <w:u w:val="single"/>
              </w:rPr>
              <w:t>，</w:t>
            </w:r>
            <w:r>
              <w:rPr>
                <w:rFonts w:hint="eastAsia"/>
                <w:bCs/>
                <w:i/>
                <w:iCs/>
                <w:sz w:val="24"/>
                <w:u w:val="single"/>
                <w:lang w:eastAsia="zh-CN"/>
              </w:rPr>
              <w:t>通过实验探索原辅料最佳配比，以获得最佳性能的涂料，实验</w:t>
            </w:r>
            <w:r>
              <w:rPr>
                <w:rFonts w:hint="eastAsia"/>
                <w:bCs/>
                <w:i/>
                <w:iCs/>
                <w:sz w:val="24"/>
                <w:u w:val="single"/>
              </w:rPr>
              <w:t>产品详见下表。</w:t>
            </w:r>
          </w:p>
          <w:p w14:paraId="0BE631A9">
            <w:pPr>
              <w:pStyle w:val="61"/>
              <w:tabs>
                <w:tab w:val="clear" w:pos="3437"/>
              </w:tabs>
              <w:spacing w:before="120"/>
              <w:rPr>
                <w:rFonts w:hint="eastAsia"/>
                <w:i/>
                <w:iCs/>
                <w:u w:val="single"/>
              </w:rPr>
            </w:pPr>
            <w:r>
              <w:rPr>
                <w:rFonts w:hint="eastAsia"/>
                <w:i/>
                <w:iCs/>
                <w:u w:val="single"/>
              </w:rPr>
              <w:t>表2-2  本项目试验产品方案一览表</w:t>
            </w:r>
          </w:p>
          <w:tbl>
            <w:tblPr>
              <w:tblStyle w:val="27"/>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1969"/>
              <w:gridCol w:w="1239"/>
              <w:gridCol w:w="1495"/>
              <w:gridCol w:w="2080"/>
              <w:gridCol w:w="1491"/>
            </w:tblGrid>
            <w:tr w14:paraId="74B2813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476" w:type="pct"/>
                  <w:noWrap w:val="0"/>
                  <w:vAlign w:val="center"/>
                </w:tcPr>
                <w:p w14:paraId="33C246EB">
                  <w:pPr>
                    <w:pStyle w:val="72"/>
                    <w:widowControl/>
                    <w:jc w:val="center"/>
                    <w:rPr>
                      <w:rFonts w:ascii="Times New Roman" w:hAnsi="Times New Roman" w:eastAsia="宋体"/>
                      <w:i/>
                      <w:iCs/>
                      <w:sz w:val="21"/>
                      <w:szCs w:val="21"/>
                      <w:u w:val="single"/>
                    </w:rPr>
                  </w:pPr>
                  <w:r>
                    <w:rPr>
                      <w:rFonts w:hint="eastAsia" w:ascii="Times New Roman" w:hAnsi="Times New Roman" w:eastAsia="宋体"/>
                      <w:i/>
                      <w:iCs/>
                      <w:sz w:val="21"/>
                      <w:szCs w:val="21"/>
                      <w:u w:val="single"/>
                    </w:rPr>
                    <w:t>序号</w:t>
                  </w:r>
                </w:p>
              </w:tc>
              <w:tc>
                <w:tcPr>
                  <w:tcW w:w="1076" w:type="pct"/>
                  <w:noWrap w:val="0"/>
                  <w:vAlign w:val="center"/>
                </w:tcPr>
                <w:p w14:paraId="2074C0DF">
                  <w:pPr>
                    <w:pStyle w:val="72"/>
                    <w:widowControl/>
                    <w:jc w:val="center"/>
                    <w:rPr>
                      <w:rFonts w:hint="eastAsia" w:ascii="Times New Roman" w:hAnsi="Times New Roman" w:eastAsia="宋体"/>
                      <w:i/>
                      <w:iCs/>
                      <w:sz w:val="21"/>
                      <w:szCs w:val="21"/>
                      <w:u w:val="single"/>
                    </w:rPr>
                  </w:pPr>
                  <w:r>
                    <w:rPr>
                      <w:rFonts w:hint="eastAsia" w:ascii="Times New Roman" w:hAnsi="Times New Roman" w:eastAsia="宋体"/>
                      <w:i/>
                      <w:iCs/>
                      <w:sz w:val="21"/>
                      <w:szCs w:val="21"/>
                      <w:u w:val="single"/>
                    </w:rPr>
                    <w:t>产品名称</w:t>
                  </w:r>
                </w:p>
              </w:tc>
              <w:tc>
                <w:tcPr>
                  <w:tcW w:w="677" w:type="pct"/>
                  <w:tcBorders>
                    <w:right w:val="single" w:color="auto" w:sz="4" w:space="0"/>
                  </w:tcBorders>
                  <w:noWrap w:val="0"/>
                  <w:vAlign w:val="center"/>
                </w:tcPr>
                <w:p w14:paraId="00D489F9">
                  <w:pPr>
                    <w:pStyle w:val="72"/>
                    <w:widowControl/>
                    <w:jc w:val="center"/>
                    <w:rPr>
                      <w:rFonts w:hint="eastAsia" w:ascii="Times New Roman" w:hAnsi="Times New Roman" w:eastAsia="宋体"/>
                      <w:i/>
                      <w:iCs/>
                      <w:sz w:val="21"/>
                      <w:szCs w:val="21"/>
                      <w:u w:val="single"/>
                    </w:rPr>
                  </w:pPr>
                  <w:r>
                    <w:rPr>
                      <w:rFonts w:hint="eastAsia" w:ascii="Times New Roman" w:hAnsi="Times New Roman" w:eastAsia="宋体"/>
                      <w:i/>
                      <w:iCs/>
                      <w:sz w:val="21"/>
                      <w:szCs w:val="21"/>
                      <w:u w:val="single"/>
                    </w:rPr>
                    <w:t>单位</w:t>
                  </w:r>
                </w:p>
              </w:tc>
              <w:tc>
                <w:tcPr>
                  <w:tcW w:w="817" w:type="pct"/>
                  <w:tcBorders>
                    <w:right w:val="single" w:color="auto" w:sz="4" w:space="0"/>
                  </w:tcBorders>
                  <w:noWrap w:val="0"/>
                  <w:vAlign w:val="center"/>
                </w:tcPr>
                <w:p w14:paraId="4686059B">
                  <w:pPr>
                    <w:pStyle w:val="72"/>
                    <w:widowControl/>
                    <w:jc w:val="center"/>
                    <w:rPr>
                      <w:rFonts w:hint="eastAsia" w:ascii="Times New Roman" w:hAnsi="Times New Roman" w:eastAsia="宋体"/>
                      <w:i/>
                      <w:iCs/>
                      <w:sz w:val="21"/>
                      <w:szCs w:val="21"/>
                      <w:u w:val="single"/>
                    </w:rPr>
                  </w:pPr>
                  <w:r>
                    <w:rPr>
                      <w:rFonts w:hint="eastAsia" w:ascii="Times New Roman" w:hAnsi="Times New Roman" w:eastAsia="宋体"/>
                      <w:i/>
                      <w:iCs/>
                      <w:sz w:val="21"/>
                      <w:szCs w:val="21"/>
                      <w:u w:val="single"/>
                    </w:rPr>
                    <w:t>年研发量</w:t>
                  </w:r>
                </w:p>
              </w:tc>
              <w:tc>
                <w:tcPr>
                  <w:tcW w:w="1137" w:type="pct"/>
                  <w:tcBorders>
                    <w:right w:val="single" w:color="auto" w:sz="4" w:space="0"/>
                  </w:tcBorders>
                  <w:noWrap w:val="0"/>
                  <w:vAlign w:val="center"/>
                </w:tcPr>
                <w:p w14:paraId="35B1A482">
                  <w:pPr>
                    <w:pStyle w:val="72"/>
                    <w:widowControl/>
                    <w:jc w:val="center"/>
                    <w:rPr>
                      <w:rFonts w:hint="eastAsia" w:ascii="Times New Roman" w:hAnsi="Times New Roman" w:eastAsia="宋体"/>
                      <w:i/>
                      <w:iCs/>
                      <w:sz w:val="21"/>
                      <w:szCs w:val="21"/>
                      <w:u w:val="single"/>
                    </w:rPr>
                  </w:pPr>
                  <w:r>
                    <w:rPr>
                      <w:rFonts w:hint="eastAsia" w:ascii="Times New Roman" w:hAnsi="Times New Roman" w:eastAsia="宋体"/>
                      <w:i/>
                      <w:iCs/>
                      <w:sz w:val="21"/>
                      <w:szCs w:val="21"/>
                      <w:u w:val="single"/>
                    </w:rPr>
                    <w:t>每批次实验时间（h）</w:t>
                  </w:r>
                </w:p>
              </w:tc>
              <w:tc>
                <w:tcPr>
                  <w:tcW w:w="815" w:type="pct"/>
                  <w:tcBorders>
                    <w:right w:val="nil"/>
                  </w:tcBorders>
                  <w:noWrap w:val="0"/>
                  <w:vAlign w:val="center"/>
                </w:tcPr>
                <w:p w14:paraId="4645270A">
                  <w:pPr>
                    <w:pStyle w:val="72"/>
                    <w:widowControl/>
                    <w:jc w:val="center"/>
                    <w:rPr>
                      <w:rFonts w:hint="eastAsia" w:ascii="Times New Roman" w:hAnsi="Times New Roman" w:eastAsia="宋体"/>
                      <w:i/>
                      <w:iCs/>
                      <w:sz w:val="21"/>
                      <w:szCs w:val="21"/>
                      <w:u w:val="single"/>
                    </w:rPr>
                  </w:pPr>
                  <w:r>
                    <w:rPr>
                      <w:rFonts w:hint="eastAsia" w:ascii="Times New Roman" w:hAnsi="Times New Roman" w:eastAsia="宋体"/>
                      <w:i/>
                      <w:iCs/>
                      <w:sz w:val="21"/>
                      <w:szCs w:val="21"/>
                      <w:u w:val="single"/>
                    </w:rPr>
                    <w:t>实验批次数</w:t>
                  </w:r>
                </w:p>
              </w:tc>
            </w:tr>
            <w:tr w14:paraId="591D122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6" w:type="pct"/>
                  <w:noWrap w:val="0"/>
                  <w:vAlign w:val="center"/>
                </w:tcPr>
                <w:p w14:paraId="3F6E22CA">
                  <w:pPr>
                    <w:pStyle w:val="72"/>
                    <w:widowControl/>
                    <w:jc w:val="center"/>
                    <w:rPr>
                      <w:rFonts w:ascii="Times New Roman" w:hAnsi="Times New Roman" w:eastAsia="宋体"/>
                      <w:i/>
                      <w:iCs/>
                      <w:sz w:val="21"/>
                      <w:szCs w:val="21"/>
                      <w:u w:val="single"/>
                    </w:rPr>
                  </w:pPr>
                  <w:r>
                    <w:rPr>
                      <w:rFonts w:hint="eastAsia" w:ascii="Times New Roman" w:hAnsi="Times New Roman" w:eastAsia="宋体"/>
                      <w:i/>
                      <w:iCs/>
                      <w:sz w:val="21"/>
                      <w:szCs w:val="21"/>
                      <w:u w:val="single"/>
                    </w:rPr>
                    <w:t>1</w:t>
                  </w:r>
                </w:p>
              </w:tc>
              <w:tc>
                <w:tcPr>
                  <w:tcW w:w="1076" w:type="pct"/>
                  <w:noWrap w:val="0"/>
                  <w:vAlign w:val="center"/>
                </w:tcPr>
                <w:p w14:paraId="0F2227CE">
                  <w:pPr>
                    <w:jc w:val="center"/>
                    <w:rPr>
                      <w:rFonts w:hint="eastAsia"/>
                      <w:i/>
                      <w:iCs/>
                      <w:szCs w:val="21"/>
                      <w:u w:val="single"/>
                    </w:rPr>
                  </w:pPr>
                  <w:r>
                    <w:rPr>
                      <w:rFonts w:hint="eastAsia"/>
                      <w:bCs/>
                      <w:i/>
                      <w:iCs/>
                      <w:szCs w:val="21"/>
                      <w:u w:val="single"/>
                    </w:rPr>
                    <w:t>聚醚醚酮防腐涂料</w:t>
                  </w:r>
                </w:p>
              </w:tc>
              <w:tc>
                <w:tcPr>
                  <w:tcW w:w="677" w:type="pct"/>
                  <w:tcBorders>
                    <w:right w:val="single" w:color="auto" w:sz="4" w:space="0"/>
                  </w:tcBorders>
                  <w:noWrap w:val="0"/>
                  <w:vAlign w:val="center"/>
                </w:tcPr>
                <w:p w14:paraId="6EAEA268">
                  <w:pPr>
                    <w:jc w:val="center"/>
                    <w:rPr>
                      <w:i/>
                      <w:iCs/>
                      <w:u w:val="single"/>
                    </w:rPr>
                  </w:pPr>
                  <w:r>
                    <w:rPr>
                      <w:rFonts w:hint="eastAsia"/>
                      <w:i/>
                      <w:iCs/>
                      <w:u w:val="single"/>
                    </w:rPr>
                    <w:t>t</w:t>
                  </w:r>
                </w:p>
              </w:tc>
              <w:tc>
                <w:tcPr>
                  <w:tcW w:w="817" w:type="pct"/>
                  <w:tcBorders>
                    <w:right w:val="single" w:color="auto" w:sz="4" w:space="0"/>
                  </w:tcBorders>
                  <w:noWrap w:val="0"/>
                  <w:vAlign w:val="center"/>
                </w:tcPr>
                <w:p w14:paraId="39746A0E">
                  <w:pPr>
                    <w:jc w:val="center"/>
                    <w:rPr>
                      <w:rFonts w:hint="eastAsia" w:eastAsia="宋体"/>
                      <w:i/>
                      <w:iCs/>
                      <w:u w:val="single"/>
                      <w:lang w:eastAsia="zh-CN"/>
                    </w:rPr>
                  </w:pPr>
                  <w:r>
                    <w:rPr>
                      <w:rFonts w:hint="eastAsia"/>
                      <w:i/>
                      <w:iCs/>
                      <w:u w:val="single"/>
                      <w:lang w:val="en-US" w:eastAsia="zh-CN"/>
                    </w:rPr>
                    <w:t>2</w:t>
                  </w:r>
                </w:p>
              </w:tc>
              <w:tc>
                <w:tcPr>
                  <w:tcW w:w="1137" w:type="pct"/>
                  <w:tcBorders>
                    <w:right w:val="single" w:color="auto" w:sz="4" w:space="0"/>
                  </w:tcBorders>
                  <w:noWrap w:val="0"/>
                  <w:vAlign w:val="center"/>
                </w:tcPr>
                <w:p w14:paraId="10926890">
                  <w:pPr>
                    <w:jc w:val="center"/>
                    <w:rPr>
                      <w:i/>
                      <w:iCs/>
                      <w:u w:val="single"/>
                    </w:rPr>
                  </w:pPr>
                  <w:r>
                    <w:rPr>
                      <w:rFonts w:hint="eastAsia"/>
                      <w:i/>
                      <w:iCs/>
                      <w:u w:val="single"/>
                    </w:rPr>
                    <w:t>4~8</w:t>
                  </w:r>
                </w:p>
              </w:tc>
              <w:tc>
                <w:tcPr>
                  <w:tcW w:w="815" w:type="pct"/>
                  <w:tcBorders>
                    <w:right w:val="nil"/>
                  </w:tcBorders>
                  <w:noWrap w:val="0"/>
                  <w:vAlign w:val="center"/>
                </w:tcPr>
                <w:p w14:paraId="0889B81F">
                  <w:pPr>
                    <w:jc w:val="center"/>
                    <w:rPr>
                      <w:rFonts w:hint="default" w:eastAsia="宋体"/>
                      <w:i/>
                      <w:iCs/>
                      <w:u w:val="single"/>
                      <w:lang w:val="en-US" w:eastAsia="zh-CN"/>
                    </w:rPr>
                  </w:pPr>
                  <w:r>
                    <w:rPr>
                      <w:rFonts w:hint="eastAsia"/>
                      <w:i/>
                      <w:iCs/>
                      <w:u w:val="single"/>
                      <w:lang w:val="en-US" w:eastAsia="zh-CN"/>
                    </w:rPr>
                    <w:t>300</w:t>
                  </w:r>
                </w:p>
              </w:tc>
            </w:tr>
          </w:tbl>
          <w:p w14:paraId="20CD59E6">
            <w:pPr>
              <w:adjustRightInd w:val="0"/>
              <w:snapToGrid w:val="0"/>
              <w:rPr>
                <w:rFonts w:hint="eastAsia"/>
                <w:b/>
                <w:sz w:val="18"/>
                <w:szCs w:val="18"/>
              </w:rPr>
            </w:pPr>
            <w:r>
              <w:rPr>
                <w:rFonts w:hint="eastAsia"/>
                <w:b/>
                <w:sz w:val="18"/>
                <w:szCs w:val="18"/>
              </w:rPr>
              <w:t>注：实验产品处于研发状态，其理化性质暂时保密</w:t>
            </w:r>
          </w:p>
          <w:p w14:paraId="499B221D">
            <w:pPr>
              <w:spacing w:line="360" w:lineRule="auto"/>
              <w:ind w:firstLine="482" w:firstLineChars="200"/>
              <w:rPr>
                <w:rFonts w:hint="eastAsia"/>
                <w:b/>
                <w:bCs/>
                <w:sz w:val="24"/>
              </w:rPr>
            </w:pPr>
          </w:p>
          <w:p w14:paraId="25EDE951">
            <w:pPr>
              <w:spacing w:line="360" w:lineRule="auto"/>
              <w:ind w:firstLine="482" w:firstLineChars="200"/>
              <w:rPr>
                <w:b/>
                <w:bCs/>
                <w:sz w:val="24"/>
              </w:rPr>
            </w:pPr>
            <w:r>
              <w:rPr>
                <w:rFonts w:hint="eastAsia"/>
                <w:b/>
                <w:bCs/>
                <w:sz w:val="24"/>
              </w:rPr>
              <w:t>4</w:t>
            </w:r>
            <w:r>
              <w:rPr>
                <w:b/>
                <w:bCs/>
                <w:sz w:val="24"/>
              </w:rPr>
              <w:t>、项目占地及平面布置情况</w:t>
            </w:r>
          </w:p>
          <w:p w14:paraId="2382039A">
            <w:pPr>
              <w:pStyle w:val="8"/>
              <w:spacing w:line="360" w:lineRule="auto"/>
              <w:ind w:firstLine="480" w:firstLineChars="200"/>
            </w:pPr>
            <w:r>
              <w:rPr>
                <w:rFonts w:hint="eastAsia"/>
                <w:kern w:val="2"/>
                <w:szCs w:val="24"/>
              </w:rPr>
              <w:t>本项目厂区租用吉兴产业园B区</w:t>
            </w:r>
            <w:r>
              <w:rPr>
                <w:rFonts w:hint="eastAsia"/>
                <w:kern w:val="2"/>
                <w:szCs w:val="24"/>
                <w:lang w:val="en-US" w:eastAsia="zh-CN"/>
              </w:rPr>
              <w:t>4-1</w:t>
            </w:r>
            <w:r>
              <w:rPr>
                <w:rFonts w:hint="eastAsia"/>
                <w:kern w:val="2"/>
                <w:szCs w:val="24"/>
              </w:rPr>
              <w:t>栋厂房1层进行实验室的建设。不新增占地，占地面积</w:t>
            </w:r>
            <w:r>
              <w:rPr>
                <w:rFonts w:hint="eastAsia"/>
                <w:kern w:val="2"/>
                <w:szCs w:val="24"/>
                <w:lang w:val="en-US" w:eastAsia="zh-CN"/>
              </w:rPr>
              <w:t>1189</w:t>
            </w:r>
            <w:r>
              <w:rPr>
                <w:rFonts w:hint="eastAsia"/>
                <w:kern w:val="2"/>
                <w:szCs w:val="24"/>
              </w:rPr>
              <w:t>m</w:t>
            </w:r>
            <w:r>
              <w:rPr>
                <w:rFonts w:hint="eastAsia"/>
                <w:kern w:val="2"/>
                <w:szCs w:val="24"/>
                <w:vertAlign w:val="superscript"/>
              </w:rPr>
              <w:t>2</w:t>
            </w:r>
            <w:r>
              <w:rPr>
                <w:rFonts w:hint="eastAsia"/>
                <w:kern w:val="2"/>
                <w:szCs w:val="24"/>
              </w:rPr>
              <w:t>，用地性质为工业用地，厂房车间</w:t>
            </w:r>
            <w:r>
              <w:rPr>
                <w:rFonts w:hint="eastAsia"/>
                <w:kern w:val="2"/>
                <w:szCs w:val="24"/>
                <w:lang w:eastAsia="zh-CN"/>
              </w:rPr>
              <w:t>东</w:t>
            </w:r>
            <w:r>
              <w:rPr>
                <w:rFonts w:hint="eastAsia"/>
                <w:kern w:val="2"/>
                <w:szCs w:val="24"/>
              </w:rPr>
              <w:t>侧为实验区，实验区总占地面积为</w:t>
            </w:r>
            <w:r>
              <w:rPr>
                <w:rFonts w:hint="eastAsia"/>
                <w:kern w:val="2"/>
                <w:szCs w:val="24"/>
                <w:lang w:val="en-US" w:eastAsia="zh-CN"/>
              </w:rPr>
              <w:t>610.85</w:t>
            </w:r>
            <w:r>
              <w:rPr>
                <w:rFonts w:hint="eastAsia"/>
                <w:kern w:val="2"/>
                <w:szCs w:val="24"/>
              </w:rPr>
              <w:t>m</w:t>
            </w:r>
            <w:r>
              <w:rPr>
                <w:rFonts w:hint="eastAsia"/>
                <w:kern w:val="2"/>
                <w:szCs w:val="24"/>
                <w:vertAlign w:val="superscript"/>
              </w:rPr>
              <w:t>2</w:t>
            </w:r>
            <w:r>
              <w:rPr>
                <w:kern w:val="2"/>
                <w:szCs w:val="24"/>
              </w:rPr>
              <w:t>，</w:t>
            </w:r>
            <w:r>
              <w:rPr>
                <w:rFonts w:hint="eastAsia"/>
                <w:kern w:val="2"/>
                <w:szCs w:val="24"/>
                <w:lang w:eastAsia="zh-CN"/>
              </w:rPr>
              <w:t>实验区西侧由北向南依次为</w:t>
            </w:r>
            <w:r>
              <w:rPr>
                <w:rFonts w:hint="eastAsia"/>
                <w:kern w:val="2"/>
                <w:szCs w:val="24"/>
              </w:rPr>
              <w:t>办公室</w:t>
            </w:r>
            <w:r>
              <w:rPr>
                <w:rFonts w:hint="eastAsia"/>
                <w:kern w:val="2"/>
                <w:szCs w:val="24"/>
                <w:lang w:eastAsia="zh-CN"/>
              </w:rPr>
              <w:t>、会议室及财务室</w:t>
            </w:r>
            <w:r>
              <w:rPr>
                <w:rFonts w:hint="eastAsia"/>
                <w:kern w:val="2"/>
                <w:szCs w:val="24"/>
              </w:rPr>
              <w:t>，</w:t>
            </w:r>
            <w:r>
              <w:rPr>
                <w:rFonts w:hint="eastAsia"/>
                <w:kern w:val="2"/>
                <w:szCs w:val="24"/>
                <w:lang w:eastAsia="zh-CN"/>
              </w:rPr>
              <w:t>厂房最西侧为休息室</w:t>
            </w:r>
            <w:r>
              <w:rPr>
                <w:kern w:val="2"/>
                <w:szCs w:val="24"/>
              </w:rPr>
              <w:t>，</w:t>
            </w:r>
            <w:r>
              <w:rPr>
                <w:rFonts w:hint="eastAsia"/>
                <w:kern w:val="2"/>
                <w:szCs w:val="24"/>
                <w:lang w:eastAsia="zh-CN"/>
              </w:rPr>
              <w:t>危废贮存库</w:t>
            </w:r>
            <w:r>
              <w:rPr>
                <w:rFonts w:hint="eastAsia"/>
                <w:kern w:val="2"/>
                <w:szCs w:val="24"/>
              </w:rPr>
              <w:t>位于车间</w:t>
            </w:r>
            <w:r>
              <w:rPr>
                <w:rFonts w:hint="eastAsia"/>
                <w:kern w:val="2"/>
                <w:szCs w:val="24"/>
                <w:lang w:eastAsia="zh-CN"/>
              </w:rPr>
              <w:t>东</w:t>
            </w:r>
            <w:r>
              <w:rPr>
                <w:rFonts w:hint="eastAsia"/>
                <w:kern w:val="2"/>
                <w:szCs w:val="24"/>
              </w:rPr>
              <w:t>南侧</w:t>
            </w:r>
            <w:r>
              <w:rPr>
                <w:rFonts w:hint="eastAsia"/>
                <w:kern w:val="2"/>
                <w:szCs w:val="24"/>
                <w:lang w:eastAsia="zh-CN"/>
              </w:rPr>
              <w:t>，危废贮存库东侧为库房</w:t>
            </w:r>
            <w:r>
              <w:rPr>
                <w:kern w:val="2"/>
                <w:szCs w:val="24"/>
              </w:rPr>
              <w:t>，</w:t>
            </w:r>
            <w:r>
              <w:rPr>
                <w:rFonts w:hint="eastAsia"/>
                <w:kern w:val="2"/>
                <w:szCs w:val="24"/>
              </w:rPr>
              <w:t>厂</w:t>
            </w:r>
            <w:r>
              <w:rPr>
                <w:rFonts w:hint="eastAsia"/>
                <w:szCs w:val="24"/>
              </w:rPr>
              <w:t>区</w:t>
            </w:r>
            <w:r>
              <w:rPr>
                <w:szCs w:val="32"/>
              </w:rPr>
              <w:t>平面布置情况详见附图</w:t>
            </w:r>
            <w:r>
              <w:rPr>
                <w:rFonts w:hint="eastAsia"/>
                <w:szCs w:val="32"/>
              </w:rPr>
              <w:t>4</w:t>
            </w:r>
            <w:r>
              <w:rPr>
                <w:szCs w:val="32"/>
              </w:rPr>
              <w:t>。</w:t>
            </w:r>
          </w:p>
          <w:p w14:paraId="29CE2AEC">
            <w:pPr>
              <w:adjustRightInd w:val="0"/>
              <w:snapToGrid w:val="0"/>
              <w:spacing w:line="480" w:lineRule="exact"/>
              <w:ind w:firstLine="482" w:firstLineChars="200"/>
              <w:rPr>
                <w:rFonts w:hint="eastAsia"/>
                <w:b/>
                <w:sz w:val="24"/>
              </w:rPr>
            </w:pPr>
            <w:r>
              <w:rPr>
                <w:rFonts w:hint="eastAsia"/>
                <w:b/>
                <w:sz w:val="24"/>
              </w:rPr>
              <w:t>5、主要原辅材料</w:t>
            </w:r>
          </w:p>
          <w:p w14:paraId="43C634FB">
            <w:pPr>
              <w:adjustRightInd w:val="0"/>
              <w:snapToGrid w:val="0"/>
              <w:spacing w:line="480" w:lineRule="exact"/>
              <w:ind w:firstLine="480" w:firstLineChars="200"/>
              <w:rPr>
                <w:rFonts w:hint="eastAsia"/>
                <w:i/>
                <w:iCs/>
                <w:u w:val="single"/>
              </w:rPr>
            </w:pPr>
            <w:r>
              <w:rPr>
                <w:rFonts w:hint="eastAsia"/>
                <w:bCs/>
                <w:i/>
                <w:iCs/>
                <w:sz w:val="24"/>
                <w:u w:val="single"/>
                <w:lang w:eastAsia="zh-CN"/>
              </w:rPr>
              <w:t>实验</w:t>
            </w:r>
            <w:r>
              <w:rPr>
                <w:rFonts w:hint="eastAsia"/>
                <w:bCs/>
                <w:i/>
                <w:iCs/>
                <w:sz w:val="24"/>
                <w:u w:val="single"/>
              </w:rPr>
              <w:t>主要原辅材料</w:t>
            </w:r>
            <w:r>
              <w:rPr>
                <w:rFonts w:hint="eastAsia"/>
                <w:bCs/>
                <w:i/>
                <w:iCs/>
                <w:sz w:val="24"/>
                <w:u w:val="single"/>
                <w:lang w:eastAsia="zh-CN"/>
              </w:rPr>
              <w:t>主要为树脂及各种颜填料，无易制毒化学品，原辅料</w:t>
            </w:r>
            <w:r>
              <w:rPr>
                <w:rFonts w:hint="eastAsia"/>
                <w:bCs/>
                <w:i/>
                <w:iCs/>
                <w:sz w:val="24"/>
                <w:u w:val="single"/>
              </w:rPr>
              <w:t>消耗情况详见下表。</w:t>
            </w:r>
          </w:p>
          <w:p w14:paraId="16334E34">
            <w:pPr>
              <w:pStyle w:val="61"/>
              <w:tabs>
                <w:tab w:val="clear" w:pos="3437"/>
              </w:tabs>
              <w:spacing w:before="120"/>
              <w:rPr>
                <w:rFonts w:hint="eastAsia"/>
              </w:rPr>
            </w:pPr>
            <w:r>
              <w:rPr>
                <w:rFonts w:hint="eastAsia"/>
              </w:rPr>
              <w:t xml:space="preserve">表2-3  </w:t>
            </w:r>
            <w:r>
              <w:rPr>
                <w:rFonts w:hint="eastAsia"/>
                <w:lang w:eastAsia="zh-CN"/>
              </w:rPr>
              <w:t>实验</w:t>
            </w:r>
            <w:r>
              <w:rPr>
                <w:rFonts w:hint="eastAsia"/>
              </w:rPr>
              <w:t>主要</w:t>
            </w:r>
            <w:r>
              <w:rPr>
                <w:rFonts w:hint="eastAsia"/>
                <w:highlight w:val="none"/>
              </w:rPr>
              <w:t>原辅材料</w:t>
            </w:r>
            <w:r>
              <w:rPr>
                <w:rFonts w:hint="eastAsia"/>
              </w:rPr>
              <w:t>消耗一览表</w:t>
            </w:r>
          </w:p>
          <w:tbl>
            <w:tblPr>
              <w:tblStyle w:val="27"/>
              <w:tblW w:w="4997"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1175"/>
              <w:gridCol w:w="1636"/>
              <w:gridCol w:w="2222"/>
              <w:gridCol w:w="864"/>
              <w:gridCol w:w="1188"/>
              <w:gridCol w:w="1370"/>
            </w:tblGrid>
            <w:tr w14:paraId="79D86ED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8" w:type="pct"/>
                  <w:noWrap w:val="0"/>
                  <w:vAlign w:val="center"/>
                </w:tcPr>
                <w:p w14:paraId="60102F12">
                  <w:pPr>
                    <w:adjustRightInd w:val="0"/>
                    <w:snapToGrid w:val="0"/>
                    <w:jc w:val="center"/>
                    <w:rPr>
                      <w:szCs w:val="21"/>
                    </w:rPr>
                  </w:pPr>
                  <w:r>
                    <w:rPr>
                      <w:rFonts w:hint="eastAsia"/>
                      <w:szCs w:val="21"/>
                    </w:rPr>
                    <w:t>序号</w:t>
                  </w:r>
                </w:p>
              </w:tc>
              <w:tc>
                <w:tcPr>
                  <w:tcW w:w="1536" w:type="pct"/>
                  <w:gridSpan w:val="2"/>
                  <w:noWrap w:val="0"/>
                  <w:vAlign w:val="center"/>
                </w:tcPr>
                <w:p w14:paraId="7A99BBF7">
                  <w:pPr>
                    <w:adjustRightInd w:val="0"/>
                    <w:snapToGrid w:val="0"/>
                    <w:jc w:val="center"/>
                    <w:rPr>
                      <w:szCs w:val="21"/>
                    </w:rPr>
                  </w:pPr>
                  <w:r>
                    <w:rPr>
                      <w:rFonts w:hint="eastAsia"/>
                      <w:szCs w:val="21"/>
                    </w:rPr>
                    <w:t>原材料名称</w:t>
                  </w:r>
                </w:p>
              </w:tc>
              <w:tc>
                <w:tcPr>
                  <w:tcW w:w="1214" w:type="pct"/>
                  <w:noWrap w:val="0"/>
                  <w:vAlign w:val="center"/>
                </w:tcPr>
                <w:p w14:paraId="00895444">
                  <w:pPr>
                    <w:adjustRightInd w:val="0"/>
                    <w:snapToGrid w:val="0"/>
                    <w:jc w:val="center"/>
                    <w:rPr>
                      <w:rFonts w:hint="eastAsia"/>
                      <w:szCs w:val="21"/>
                    </w:rPr>
                  </w:pPr>
                  <w:r>
                    <w:rPr>
                      <w:rFonts w:hint="eastAsia"/>
                      <w:szCs w:val="21"/>
                    </w:rPr>
                    <w:t>物理状态</w:t>
                  </w:r>
                </w:p>
              </w:tc>
              <w:tc>
                <w:tcPr>
                  <w:tcW w:w="472" w:type="pct"/>
                  <w:noWrap w:val="0"/>
                  <w:vAlign w:val="center"/>
                </w:tcPr>
                <w:p w14:paraId="1591C96F">
                  <w:pPr>
                    <w:adjustRightInd w:val="0"/>
                    <w:snapToGrid w:val="0"/>
                    <w:jc w:val="center"/>
                    <w:rPr>
                      <w:rFonts w:hint="eastAsia"/>
                      <w:szCs w:val="21"/>
                    </w:rPr>
                  </w:pPr>
                  <w:r>
                    <w:rPr>
                      <w:rFonts w:hint="eastAsia"/>
                      <w:szCs w:val="21"/>
                    </w:rPr>
                    <w:t>年用量</w:t>
                  </w:r>
                </w:p>
              </w:tc>
              <w:tc>
                <w:tcPr>
                  <w:tcW w:w="649" w:type="pct"/>
                  <w:noWrap w:val="0"/>
                  <w:vAlign w:val="center"/>
                </w:tcPr>
                <w:p w14:paraId="190CF854">
                  <w:pPr>
                    <w:adjustRightInd w:val="0"/>
                    <w:snapToGrid w:val="0"/>
                    <w:jc w:val="center"/>
                    <w:rPr>
                      <w:rFonts w:hint="eastAsia" w:eastAsia="宋体"/>
                      <w:szCs w:val="21"/>
                      <w:lang w:eastAsia="zh-CN"/>
                    </w:rPr>
                  </w:pPr>
                  <w:r>
                    <w:rPr>
                      <w:rFonts w:hint="eastAsia"/>
                      <w:szCs w:val="21"/>
                      <w:lang w:eastAsia="zh-CN"/>
                    </w:rPr>
                    <w:t>贮存方式</w:t>
                  </w:r>
                </w:p>
              </w:tc>
              <w:tc>
                <w:tcPr>
                  <w:tcW w:w="748" w:type="pct"/>
                  <w:noWrap w:val="0"/>
                  <w:vAlign w:val="center"/>
                </w:tcPr>
                <w:p w14:paraId="7FDB31C3">
                  <w:pPr>
                    <w:adjustRightInd w:val="0"/>
                    <w:snapToGrid w:val="0"/>
                    <w:jc w:val="center"/>
                    <w:rPr>
                      <w:rFonts w:hint="eastAsia" w:eastAsia="宋体"/>
                      <w:szCs w:val="21"/>
                      <w:lang w:eastAsia="zh-CN"/>
                    </w:rPr>
                  </w:pPr>
                  <w:r>
                    <w:rPr>
                      <w:rFonts w:hint="eastAsia"/>
                      <w:szCs w:val="21"/>
                      <w:lang w:eastAsia="zh-CN"/>
                    </w:rPr>
                    <w:t>最大贮存量</w:t>
                  </w:r>
                </w:p>
              </w:tc>
            </w:tr>
            <w:tr w14:paraId="71F4AE8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8" w:type="pct"/>
                  <w:noWrap w:val="0"/>
                  <w:vAlign w:val="center"/>
                </w:tcPr>
                <w:p w14:paraId="0337D943">
                  <w:pPr>
                    <w:adjustRightInd w:val="0"/>
                    <w:snapToGrid w:val="0"/>
                    <w:jc w:val="center"/>
                    <w:rPr>
                      <w:szCs w:val="21"/>
                    </w:rPr>
                  </w:pPr>
                  <w:r>
                    <w:rPr>
                      <w:szCs w:val="21"/>
                    </w:rPr>
                    <w:t>1</w:t>
                  </w:r>
                </w:p>
              </w:tc>
              <w:tc>
                <w:tcPr>
                  <w:tcW w:w="1536" w:type="pct"/>
                  <w:gridSpan w:val="2"/>
                  <w:noWrap w:val="0"/>
                  <w:vAlign w:val="center"/>
                </w:tcPr>
                <w:p w14:paraId="559F7DBB">
                  <w:pPr>
                    <w:adjustRightInd w:val="0"/>
                    <w:snapToGrid w:val="0"/>
                    <w:jc w:val="center"/>
                    <w:rPr>
                      <w:szCs w:val="21"/>
                    </w:rPr>
                  </w:pPr>
                  <w:r>
                    <w:rPr>
                      <w:rFonts w:hint="eastAsia"/>
                      <w:szCs w:val="21"/>
                    </w:rPr>
                    <w:t>聚</w:t>
                  </w:r>
                  <w:r>
                    <w:rPr>
                      <w:rFonts w:hint="eastAsia"/>
                      <w:szCs w:val="21"/>
                      <w:lang w:eastAsia="zh-CN"/>
                    </w:rPr>
                    <w:t>醚</w:t>
                  </w:r>
                  <w:r>
                    <w:rPr>
                      <w:rFonts w:hint="eastAsia"/>
                      <w:szCs w:val="21"/>
                    </w:rPr>
                    <w:t>醚酮树脂</w:t>
                  </w:r>
                </w:p>
              </w:tc>
              <w:tc>
                <w:tcPr>
                  <w:tcW w:w="1214" w:type="pct"/>
                  <w:noWrap w:val="0"/>
                  <w:vAlign w:val="center"/>
                </w:tcPr>
                <w:p w14:paraId="565010EE">
                  <w:pPr>
                    <w:adjustRightInd w:val="0"/>
                    <w:snapToGrid w:val="0"/>
                    <w:jc w:val="center"/>
                    <w:rPr>
                      <w:rFonts w:hint="eastAsia" w:eastAsia="宋体"/>
                      <w:szCs w:val="21"/>
                      <w:lang w:eastAsia="zh-CN"/>
                    </w:rPr>
                  </w:pPr>
                  <w:r>
                    <w:rPr>
                      <w:rFonts w:hint="eastAsia"/>
                      <w:szCs w:val="21"/>
                    </w:rPr>
                    <w:t>固态</w:t>
                  </w:r>
                  <w:r>
                    <w:rPr>
                      <w:rFonts w:hint="eastAsia"/>
                      <w:szCs w:val="21"/>
                      <w:lang w:eastAsia="zh-CN"/>
                    </w:rPr>
                    <w:t>（粗粉末）</w:t>
                  </w:r>
                </w:p>
              </w:tc>
              <w:tc>
                <w:tcPr>
                  <w:tcW w:w="472" w:type="pct"/>
                  <w:noWrap w:val="0"/>
                  <w:vAlign w:val="center"/>
                </w:tcPr>
                <w:p w14:paraId="53B285A8">
                  <w:pPr>
                    <w:adjustRightInd w:val="0"/>
                    <w:snapToGrid w:val="0"/>
                    <w:jc w:val="center"/>
                    <w:rPr>
                      <w:szCs w:val="21"/>
                    </w:rPr>
                  </w:pPr>
                  <w:r>
                    <w:rPr>
                      <w:rFonts w:hint="eastAsia"/>
                      <w:szCs w:val="21"/>
                      <w:lang w:val="en-US" w:eastAsia="zh-CN"/>
                    </w:rPr>
                    <w:t>4</w:t>
                  </w:r>
                  <w:r>
                    <w:rPr>
                      <w:rFonts w:hint="eastAsia"/>
                      <w:szCs w:val="21"/>
                    </w:rPr>
                    <w:t>00kg</w:t>
                  </w:r>
                </w:p>
              </w:tc>
              <w:tc>
                <w:tcPr>
                  <w:tcW w:w="649" w:type="pct"/>
                  <w:vMerge w:val="restart"/>
                  <w:noWrap w:val="0"/>
                  <w:vAlign w:val="center"/>
                </w:tcPr>
                <w:p w14:paraId="3EE511BF">
                  <w:pPr>
                    <w:adjustRightInd w:val="0"/>
                    <w:snapToGrid w:val="0"/>
                    <w:jc w:val="center"/>
                    <w:rPr>
                      <w:rFonts w:hint="eastAsia" w:eastAsia="宋体"/>
                      <w:szCs w:val="21"/>
                      <w:lang w:eastAsia="zh-CN"/>
                    </w:rPr>
                  </w:pPr>
                  <w:r>
                    <w:rPr>
                      <w:rFonts w:hint="eastAsia"/>
                      <w:szCs w:val="21"/>
                      <w:lang w:eastAsia="zh-CN"/>
                    </w:rPr>
                    <w:t>袋装，储存于固体物料库</w:t>
                  </w:r>
                </w:p>
              </w:tc>
              <w:tc>
                <w:tcPr>
                  <w:tcW w:w="748" w:type="pct"/>
                  <w:noWrap w:val="0"/>
                  <w:vAlign w:val="center"/>
                </w:tcPr>
                <w:p w14:paraId="4092DC02">
                  <w:pPr>
                    <w:adjustRightInd w:val="0"/>
                    <w:snapToGrid w:val="0"/>
                    <w:jc w:val="center"/>
                    <w:rPr>
                      <w:rFonts w:hint="default" w:eastAsia="宋体"/>
                      <w:szCs w:val="21"/>
                      <w:lang w:val="en-US" w:eastAsia="zh-CN"/>
                    </w:rPr>
                  </w:pPr>
                  <w:r>
                    <w:rPr>
                      <w:rFonts w:hint="eastAsia"/>
                      <w:szCs w:val="21"/>
                      <w:lang w:val="en-US" w:eastAsia="zh-CN"/>
                    </w:rPr>
                    <w:t>200</w:t>
                  </w:r>
                  <w:r>
                    <w:rPr>
                      <w:rFonts w:hint="eastAsia"/>
                      <w:szCs w:val="21"/>
                    </w:rPr>
                    <w:t>kg</w:t>
                  </w:r>
                </w:p>
              </w:tc>
            </w:tr>
            <w:tr w14:paraId="5922D70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8" w:type="pct"/>
                  <w:noWrap w:val="0"/>
                  <w:vAlign w:val="center"/>
                </w:tcPr>
                <w:p w14:paraId="33C387C7">
                  <w:pPr>
                    <w:adjustRightInd w:val="0"/>
                    <w:snapToGrid w:val="0"/>
                    <w:jc w:val="center"/>
                    <w:rPr>
                      <w:szCs w:val="21"/>
                    </w:rPr>
                  </w:pPr>
                  <w:r>
                    <w:rPr>
                      <w:szCs w:val="21"/>
                    </w:rPr>
                    <w:t>5</w:t>
                  </w:r>
                </w:p>
              </w:tc>
              <w:tc>
                <w:tcPr>
                  <w:tcW w:w="1536" w:type="pct"/>
                  <w:gridSpan w:val="2"/>
                  <w:noWrap w:val="0"/>
                  <w:vAlign w:val="center"/>
                </w:tcPr>
                <w:p w14:paraId="52F704C1">
                  <w:pPr>
                    <w:adjustRightInd w:val="0"/>
                    <w:snapToGrid w:val="0"/>
                    <w:jc w:val="center"/>
                    <w:rPr>
                      <w:szCs w:val="21"/>
                    </w:rPr>
                  </w:pPr>
                  <w:r>
                    <w:rPr>
                      <w:rFonts w:hint="eastAsia"/>
                      <w:szCs w:val="21"/>
                    </w:rPr>
                    <w:t>石墨（颜料）</w:t>
                  </w:r>
                </w:p>
              </w:tc>
              <w:tc>
                <w:tcPr>
                  <w:tcW w:w="1214" w:type="pct"/>
                  <w:noWrap w:val="0"/>
                  <w:vAlign w:val="center"/>
                </w:tcPr>
                <w:p w14:paraId="5AE03859">
                  <w:pPr>
                    <w:adjustRightInd w:val="0"/>
                    <w:snapToGrid w:val="0"/>
                    <w:jc w:val="center"/>
                    <w:rPr>
                      <w:szCs w:val="21"/>
                    </w:rPr>
                  </w:pPr>
                  <w:r>
                    <w:rPr>
                      <w:rFonts w:hint="eastAsia"/>
                      <w:szCs w:val="21"/>
                    </w:rPr>
                    <w:t>固态</w:t>
                  </w:r>
                  <w:r>
                    <w:rPr>
                      <w:rFonts w:hint="eastAsia"/>
                      <w:szCs w:val="21"/>
                      <w:lang w:eastAsia="zh-CN"/>
                    </w:rPr>
                    <w:t>（细粉末）</w:t>
                  </w:r>
                </w:p>
              </w:tc>
              <w:tc>
                <w:tcPr>
                  <w:tcW w:w="472" w:type="pct"/>
                  <w:noWrap w:val="0"/>
                  <w:vAlign w:val="center"/>
                </w:tcPr>
                <w:p w14:paraId="5213A3CD">
                  <w:pPr>
                    <w:adjustRightInd w:val="0"/>
                    <w:snapToGrid w:val="0"/>
                    <w:jc w:val="center"/>
                    <w:rPr>
                      <w:rFonts w:hint="eastAsia"/>
                      <w:szCs w:val="21"/>
                    </w:rPr>
                  </w:pPr>
                  <w:r>
                    <w:rPr>
                      <w:rFonts w:hint="eastAsia"/>
                      <w:szCs w:val="21"/>
                      <w:lang w:val="en-US" w:eastAsia="zh-CN"/>
                    </w:rPr>
                    <w:t>3</w:t>
                  </w:r>
                  <w:r>
                    <w:rPr>
                      <w:rFonts w:hint="eastAsia"/>
                      <w:szCs w:val="21"/>
                    </w:rPr>
                    <w:t>0kg</w:t>
                  </w:r>
                </w:p>
              </w:tc>
              <w:tc>
                <w:tcPr>
                  <w:tcW w:w="649" w:type="pct"/>
                  <w:vMerge w:val="continue"/>
                  <w:noWrap w:val="0"/>
                  <w:vAlign w:val="center"/>
                </w:tcPr>
                <w:p w14:paraId="66262CBE">
                  <w:pPr>
                    <w:adjustRightInd w:val="0"/>
                    <w:snapToGrid w:val="0"/>
                    <w:jc w:val="center"/>
                    <w:rPr>
                      <w:rFonts w:hint="eastAsia"/>
                      <w:szCs w:val="21"/>
                    </w:rPr>
                  </w:pPr>
                </w:p>
              </w:tc>
              <w:tc>
                <w:tcPr>
                  <w:tcW w:w="748" w:type="pct"/>
                  <w:noWrap w:val="0"/>
                  <w:vAlign w:val="center"/>
                </w:tcPr>
                <w:p w14:paraId="2452C2B2">
                  <w:pPr>
                    <w:adjustRightInd w:val="0"/>
                    <w:snapToGrid w:val="0"/>
                    <w:jc w:val="center"/>
                    <w:rPr>
                      <w:rFonts w:hint="eastAsia"/>
                      <w:kern w:val="2"/>
                      <w:sz w:val="21"/>
                      <w:szCs w:val="21"/>
                      <w:lang w:val="en-US" w:eastAsia="zh-CN" w:bidi="ar-SA"/>
                    </w:rPr>
                  </w:pPr>
                  <w:r>
                    <w:rPr>
                      <w:rFonts w:hint="eastAsia"/>
                      <w:szCs w:val="21"/>
                      <w:lang w:val="en-US" w:eastAsia="zh-CN"/>
                    </w:rPr>
                    <w:t>3</w:t>
                  </w:r>
                  <w:r>
                    <w:rPr>
                      <w:rFonts w:hint="eastAsia"/>
                      <w:szCs w:val="21"/>
                    </w:rPr>
                    <w:t>0kg</w:t>
                  </w:r>
                </w:p>
              </w:tc>
            </w:tr>
            <w:tr w14:paraId="384D0DC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8" w:type="pct"/>
                  <w:noWrap w:val="0"/>
                  <w:vAlign w:val="center"/>
                </w:tcPr>
                <w:p w14:paraId="37A931BD">
                  <w:pPr>
                    <w:adjustRightInd w:val="0"/>
                    <w:snapToGrid w:val="0"/>
                    <w:jc w:val="center"/>
                    <w:rPr>
                      <w:szCs w:val="21"/>
                    </w:rPr>
                  </w:pPr>
                  <w:r>
                    <w:rPr>
                      <w:szCs w:val="21"/>
                    </w:rPr>
                    <w:t>6</w:t>
                  </w:r>
                </w:p>
              </w:tc>
              <w:tc>
                <w:tcPr>
                  <w:tcW w:w="1536" w:type="pct"/>
                  <w:gridSpan w:val="2"/>
                  <w:noWrap w:val="0"/>
                  <w:vAlign w:val="center"/>
                </w:tcPr>
                <w:p w14:paraId="4D6C5AD2">
                  <w:pPr>
                    <w:adjustRightInd w:val="0"/>
                    <w:snapToGrid w:val="0"/>
                    <w:jc w:val="center"/>
                    <w:rPr>
                      <w:szCs w:val="21"/>
                    </w:rPr>
                  </w:pPr>
                  <w:r>
                    <w:rPr>
                      <w:rFonts w:hint="eastAsia"/>
                      <w:szCs w:val="21"/>
                    </w:rPr>
                    <w:t>炭黑（颜料）</w:t>
                  </w:r>
                </w:p>
              </w:tc>
              <w:tc>
                <w:tcPr>
                  <w:tcW w:w="1214" w:type="pct"/>
                  <w:noWrap w:val="0"/>
                  <w:vAlign w:val="center"/>
                </w:tcPr>
                <w:p w14:paraId="3F9CFB27">
                  <w:pPr>
                    <w:adjustRightInd w:val="0"/>
                    <w:snapToGrid w:val="0"/>
                    <w:jc w:val="center"/>
                    <w:rPr>
                      <w:szCs w:val="21"/>
                    </w:rPr>
                  </w:pPr>
                  <w:r>
                    <w:rPr>
                      <w:rFonts w:hint="eastAsia"/>
                      <w:szCs w:val="21"/>
                    </w:rPr>
                    <w:t>固态</w:t>
                  </w:r>
                  <w:r>
                    <w:rPr>
                      <w:rFonts w:hint="eastAsia"/>
                      <w:szCs w:val="21"/>
                      <w:lang w:eastAsia="zh-CN"/>
                    </w:rPr>
                    <w:t>（细粉末）</w:t>
                  </w:r>
                </w:p>
              </w:tc>
              <w:tc>
                <w:tcPr>
                  <w:tcW w:w="472" w:type="pct"/>
                  <w:noWrap w:val="0"/>
                  <w:vAlign w:val="center"/>
                </w:tcPr>
                <w:p w14:paraId="612EE19F">
                  <w:pPr>
                    <w:adjustRightInd w:val="0"/>
                    <w:snapToGrid w:val="0"/>
                    <w:jc w:val="center"/>
                    <w:rPr>
                      <w:rFonts w:hint="eastAsia"/>
                      <w:szCs w:val="21"/>
                    </w:rPr>
                  </w:pPr>
                  <w:r>
                    <w:rPr>
                      <w:rFonts w:hint="eastAsia"/>
                      <w:szCs w:val="21"/>
                      <w:lang w:val="en-US" w:eastAsia="zh-CN"/>
                    </w:rPr>
                    <w:t>3</w:t>
                  </w:r>
                  <w:r>
                    <w:rPr>
                      <w:rFonts w:hint="eastAsia"/>
                      <w:szCs w:val="21"/>
                    </w:rPr>
                    <w:t>0kg</w:t>
                  </w:r>
                </w:p>
              </w:tc>
              <w:tc>
                <w:tcPr>
                  <w:tcW w:w="649" w:type="pct"/>
                  <w:vMerge w:val="continue"/>
                  <w:noWrap w:val="0"/>
                  <w:vAlign w:val="center"/>
                </w:tcPr>
                <w:p w14:paraId="042820F6">
                  <w:pPr>
                    <w:adjustRightInd w:val="0"/>
                    <w:snapToGrid w:val="0"/>
                    <w:jc w:val="center"/>
                    <w:rPr>
                      <w:rFonts w:hint="eastAsia"/>
                      <w:szCs w:val="21"/>
                    </w:rPr>
                  </w:pPr>
                </w:p>
              </w:tc>
              <w:tc>
                <w:tcPr>
                  <w:tcW w:w="748" w:type="pct"/>
                  <w:noWrap w:val="0"/>
                  <w:vAlign w:val="center"/>
                </w:tcPr>
                <w:p w14:paraId="5767260D">
                  <w:pPr>
                    <w:adjustRightInd w:val="0"/>
                    <w:snapToGrid w:val="0"/>
                    <w:jc w:val="center"/>
                    <w:rPr>
                      <w:rFonts w:hint="eastAsia"/>
                      <w:kern w:val="2"/>
                      <w:sz w:val="21"/>
                      <w:szCs w:val="21"/>
                      <w:lang w:val="en-US" w:eastAsia="zh-CN" w:bidi="ar-SA"/>
                    </w:rPr>
                  </w:pPr>
                  <w:r>
                    <w:rPr>
                      <w:rFonts w:hint="eastAsia"/>
                      <w:szCs w:val="21"/>
                      <w:lang w:val="en-US" w:eastAsia="zh-CN"/>
                    </w:rPr>
                    <w:t>3</w:t>
                  </w:r>
                  <w:r>
                    <w:rPr>
                      <w:rFonts w:hint="eastAsia"/>
                      <w:szCs w:val="21"/>
                    </w:rPr>
                    <w:t>0kg</w:t>
                  </w:r>
                </w:p>
              </w:tc>
            </w:tr>
            <w:tr w14:paraId="44EE268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8" w:type="pct"/>
                  <w:noWrap w:val="0"/>
                  <w:vAlign w:val="center"/>
                </w:tcPr>
                <w:p w14:paraId="64D4A386">
                  <w:pPr>
                    <w:adjustRightInd w:val="0"/>
                    <w:snapToGrid w:val="0"/>
                    <w:jc w:val="center"/>
                    <w:rPr>
                      <w:szCs w:val="21"/>
                    </w:rPr>
                  </w:pPr>
                  <w:r>
                    <w:rPr>
                      <w:rFonts w:hint="eastAsia"/>
                      <w:szCs w:val="21"/>
                    </w:rPr>
                    <w:t>7</w:t>
                  </w:r>
                </w:p>
              </w:tc>
              <w:tc>
                <w:tcPr>
                  <w:tcW w:w="1536" w:type="pct"/>
                  <w:gridSpan w:val="2"/>
                  <w:noWrap w:val="0"/>
                  <w:vAlign w:val="center"/>
                </w:tcPr>
                <w:p w14:paraId="201736A1">
                  <w:pPr>
                    <w:adjustRightInd w:val="0"/>
                    <w:snapToGrid w:val="0"/>
                    <w:jc w:val="center"/>
                    <w:rPr>
                      <w:rFonts w:hint="eastAsia"/>
                      <w:szCs w:val="21"/>
                    </w:rPr>
                  </w:pPr>
                  <w:r>
                    <w:rPr>
                      <w:rFonts w:hint="eastAsia"/>
                      <w:szCs w:val="21"/>
                    </w:rPr>
                    <w:t>钛白（填料）</w:t>
                  </w:r>
                </w:p>
              </w:tc>
              <w:tc>
                <w:tcPr>
                  <w:tcW w:w="1214" w:type="pct"/>
                  <w:noWrap w:val="0"/>
                  <w:vAlign w:val="center"/>
                </w:tcPr>
                <w:p w14:paraId="4ADB5C02">
                  <w:pPr>
                    <w:adjustRightInd w:val="0"/>
                    <w:snapToGrid w:val="0"/>
                    <w:jc w:val="center"/>
                    <w:rPr>
                      <w:szCs w:val="21"/>
                    </w:rPr>
                  </w:pPr>
                  <w:r>
                    <w:rPr>
                      <w:rFonts w:hint="eastAsia"/>
                      <w:szCs w:val="21"/>
                    </w:rPr>
                    <w:t>固态</w:t>
                  </w:r>
                  <w:r>
                    <w:rPr>
                      <w:rFonts w:hint="eastAsia"/>
                      <w:szCs w:val="21"/>
                      <w:lang w:eastAsia="zh-CN"/>
                    </w:rPr>
                    <w:t>（细粉末）</w:t>
                  </w:r>
                </w:p>
              </w:tc>
              <w:tc>
                <w:tcPr>
                  <w:tcW w:w="472" w:type="pct"/>
                  <w:noWrap w:val="0"/>
                  <w:vAlign w:val="center"/>
                </w:tcPr>
                <w:p w14:paraId="6FC223DB">
                  <w:pPr>
                    <w:adjustRightInd w:val="0"/>
                    <w:snapToGrid w:val="0"/>
                    <w:jc w:val="center"/>
                    <w:rPr>
                      <w:szCs w:val="21"/>
                    </w:rPr>
                  </w:pPr>
                  <w:r>
                    <w:rPr>
                      <w:rFonts w:hint="eastAsia"/>
                      <w:szCs w:val="21"/>
                    </w:rPr>
                    <w:t>40kg</w:t>
                  </w:r>
                </w:p>
              </w:tc>
              <w:tc>
                <w:tcPr>
                  <w:tcW w:w="649" w:type="pct"/>
                  <w:vMerge w:val="continue"/>
                  <w:noWrap w:val="0"/>
                  <w:vAlign w:val="center"/>
                </w:tcPr>
                <w:p w14:paraId="6440A0EE">
                  <w:pPr>
                    <w:adjustRightInd w:val="0"/>
                    <w:snapToGrid w:val="0"/>
                    <w:jc w:val="center"/>
                    <w:rPr>
                      <w:rFonts w:hint="eastAsia"/>
                      <w:szCs w:val="21"/>
                    </w:rPr>
                  </w:pPr>
                </w:p>
              </w:tc>
              <w:tc>
                <w:tcPr>
                  <w:tcW w:w="748" w:type="pct"/>
                  <w:noWrap w:val="0"/>
                  <w:vAlign w:val="center"/>
                </w:tcPr>
                <w:p w14:paraId="670BDF44">
                  <w:pPr>
                    <w:adjustRightInd w:val="0"/>
                    <w:snapToGrid w:val="0"/>
                    <w:jc w:val="center"/>
                    <w:rPr>
                      <w:rFonts w:hint="eastAsia"/>
                      <w:kern w:val="2"/>
                      <w:sz w:val="21"/>
                      <w:szCs w:val="21"/>
                      <w:lang w:val="en-US" w:eastAsia="zh-CN" w:bidi="ar-SA"/>
                    </w:rPr>
                  </w:pPr>
                  <w:r>
                    <w:rPr>
                      <w:rFonts w:hint="eastAsia"/>
                      <w:szCs w:val="21"/>
                    </w:rPr>
                    <w:t>40kg</w:t>
                  </w:r>
                </w:p>
              </w:tc>
            </w:tr>
            <w:tr w14:paraId="46651D0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8" w:type="pct"/>
                  <w:vMerge w:val="restart"/>
                  <w:noWrap w:val="0"/>
                  <w:vAlign w:val="center"/>
                </w:tcPr>
                <w:p w14:paraId="4856A1FC">
                  <w:pPr>
                    <w:adjustRightInd w:val="0"/>
                    <w:snapToGrid w:val="0"/>
                    <w:jc w:val="center"/>
                    <w:rPr>
                      <w:szCs w:val="21"/>
                    </w:rPr>
                  </w:pPr>
                  <w:r>
                    <w:rPr>
                      <w:rFonts w:hint="eastAsia"/>
                      <w:szCs w:val="21"/>
                    </w:rPr>
                    <w:t>8</w:t>
                  </w:r>
                </w:p>
              </w:tc>
              <w:tc>
                <w:tcPr>
                  <w:tcW w:w="642" w:type="pct"/>
                  <w:vMerge w:val="restart"/>
                  <w:noWrap w:val="0"/>
                  <w:vAlign w:val="center"/>
                </w:tcPr>
                <w:p w14:paraId="65BDA181">
                  <w:pPr>
                    <w:adjustRightInd w:val="0"/>
                    <w:snapToGrid w:val="0"/>
                    <w:jc w:val="center"/>
                    <w:rPr>
                      <w:rFonts w:hint="eastAsia"/>
                      <w:szCs w:val="21"/>
                    </w:rPr>
                  </w:pPr>
                  <w:r>
                    <w:rPr>
                      <w:rFonts w:hint="eastAsia"/>
                      <w:szCs w:val="21"/>
                    </w:rPr>
                    <w:t>混合溶剂</w:t>
                  </w:r>
                </w:p>
              </w:tc>
              <w:tc>
                <w:tcPr>
                  <w:tcW w:w="894" w:type="pct"/>
                  <w:noWrap w:val="0"/>
                  <w:vAlign w:val="center"/>
                </w:tcPr>
                <w:p w14:paraId="31CC7ED8">
                  <w:pPr>
                    <w:adjustRightInd w:val="0"/>
                    <w:snapToGrid w:val="0"/>
                    <w:jc w:val="center"/>
                    <w:rPr>
                      <w:szCs w:val="21"/>
                    </w:rPr>
                  </w:pPr>
                  <w:r>
                    <w:rPr>
                      <w:rFonts w:hint="eastAsia"/>
                      <w:szCs w:val="21"/>
                    </w:rPr>
                    <w:t>DMAC</w:t>
                  </w:r>
                </w:p>
              </w:tc>
              <w:tc>
                <w:tcPr>
                  <w:tcW w:w="1214" w:type="pct"/>
                  <w:noWrap w:val="0"/>
                  <w:vAlign w:val="center"/>
                </w:tcPr>
                <w:p w14:paraId="49AB9BD3">
                  <w:pPr>
                    <w:adjustRightInd w:val="0"/>
                    <w:snapToGrid w:val="0"/>
                    <w:jc w:val="center"/>
                    <w:rPr>
                      <w:rFonts w:hint="eastAsia" w:eastAsia="宋体"/>
                      <w:szCs w:val="21"/>
                      <w:lang w:val="en-US" w:eastAsia="zh-CN"/>
                    </w:rPr>
                  </w:pPr>
                  <w:r>
                    <w:rPr>
                      <w:rFonts w:hint="eastAsia"/>
                      <w:szCs w:val="21"/>
                    </w:rPr>
                    <w:t>液态</w:t>
                  </w:r>
                  <w:r>
                    <w:rPr>
                      <w:rFonts w:hint="eastAsia"/>
                      <w:szCs w:val="21"/>
                      <w:lang w:eastAsia="zh-CN"/>
                    </w:rPr>
                    <w:t>（挥发）</w:t>
                  </w:r>
                </w:p>
              </w:tc>
              <w:tc>
                <w:tcPr>
                  <w:tcW w:w="472" w:type="pct"/>
                  <w:noWrap w:val="0"/>
                  <w:vAlign w:val="center"/>
                </w:tcPr>
                <w:p w14:paraId="344AF9D9">
                  <w:pPr>
                    <w:adjustRightInd w:val="0"/>
                    <w:snapToGrid w:val="0"/>
                    <w:jc w:val="center"/>
                    <w:rPr>
                      <w:szCs w:val="21"/>
                    </w:rPr>
                  </w:pPr>
                  <w:r>
                    <w:rPr>
                      <w:rFonts w:hint="eastAsia"/>
                      <w:szCs w:val="21"/>
                      <w:lang w:val="en-US" w:eastAsia="zh-CN"/>
                    </w:rPr>
                    <w:t>4</w:t>
                  </w:r>
                  <w:r>
                    <w:rPr>
                      <w:rFonts w:hint="eastAsia"/>
                      <w:szCs w:val="21"/>
                    </w:rPr>
                    <w:t>00kg</w:t>
                  </w:r>
                </w:p>
              </w:tc>
              <w:tc>
                <w:tcPr>
                  <w:tcW w:w="649" w:type="pct"/>
                  <w:vMerge w:val="restart"/>
                  <w:noWrap w:val="0"/>
                  <w:vAlign w:val="center"/>
                </w:tcPr>
                <w:p w14:paraId="29A4E6A2">
                  <w:pPr>
                    <w:adjustRightInd w:val="0"/>
                    <w:snapToGrid w:val="0"/>
                    <w:jc w:val="center"/>
                    <w:rPr>
                      <w:rFonts w:hint="eastAsia" w:eastAsia="宋体"/>
                      <w:szCs w:val="21"/>
                      <w:lang w:eastAsia="zh-CN"/>
                    </w:rPr>
                  </w:pPr>
                  <w:r>
                    <w:rPr>
                      <w:rFonts w:hint="eastAsia"/>
                      <w:szCs w:val="21"/>
                      <w:lang w:eastAsia="zh-CN"/>
                    </w:rPr>
                    <w:t>桶装，储存于固体物料库</w:t>
                  </w:r>
                </w:p>
              </w:tc>
              <w:tc>
                <w:tcPr>
                  <w:tcW w:w="748" w:type="pct"/>
                  <w:noWrap w:val="0"/>
                  <w:vAlign w:val="center"/>
                </w:tcPr>
                <w:p w14:paraId="639D4E72">
                  <w:pPr>
                    <w:adjustRightInd w:val="0"/>
                    <w:snapToGrid w:val="0"/>
                    <w:jc w:val="center"/>
                    <w:rPr>
                      <w:rFonts w:hint="eastAsia"/>
                      <w:szCs w:val="21"/>
                    </w:rPr>
                  </w:pPr>
                  <w:r>
                    <w:rPr>
                      <w:rFonts w:hint="eastAsia"/>
                      <w:szCs w:val="21"/>
                      <w:lang w:val="en-US" w:eastAsia="zh-CN"/>
                    </w:rPr>
                    <w:t>200</w:t>
                  </w:r>
                  <w:r>
                    <w:rPr>
                      <w:rFonts w:hint="eastAsia"/>
                      <w:szCs w:val="21"/>
                    </w:rPr>
                    <w:t>kg</w:t>
                  </w:r>
                </w:p>
              </w:tc>
            </w:tr>
            <w:tr w14:paraId="4B24E46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8" w:type="pct"/>
                  <w:vMerge w:val="continue"/>
                  <w:noWrap w:val="0"/>
                  <w:vAlign w:val="center"/>
                </w:tcPr>
                <w:p w14:paraId="3F2E4350">
                  <w:pPr>
                    <w:adjustRightInd w:val="0"/>
                    <w:snapToGrid w:val="0"/>
                    <w:jc w:val="center"/>
                    <w:rPr>
                      <w:rFonts w:hint="eastAsia"/>
                      <w:szCs w:val="21"/>
                    </w:rPr>
                  </w:pPr>
                </w:p>
              </w:tc>
              <w:tc>
                <w:tcPr>
                  <w:tcW w:w="642" w:type="pct"/>
                  <w:vMerge w:val="continue"/>
                  <w:noWrap w:val="0"/>
                  <w:vAlign w:val="center"/>
                </w:tcPr>
                <w:p w14:paraId="7AB3F47F">
                  <w:pPr>
                    <w:adjustRightInd w:val="0"/>
                    <w:snapToGrid w:val="0"/>
                    <w:jc w:val="center"/>
                    <w:rPr>
                      <w:rFonts w:hint="eastAsia"/>
                      <w:szCs w:val="21"/>
                    </w:rPr>
                  </w:pPr>
                </w:p>
              </w:tc>
              <w:tc>
                <w:tcPr>
                  <w:tcW w:w="894" w:type="pct"/>
                  <w:noWrap w:val="0"/>
                  <w:vAlign w:val="center"/>
                </w:tcPr>
                <w:p w14:paraId="007D59C3">
                  <w:pPr>
                    <w:adjustRightInd w:val="0"/>
                    <w:snapToGrid w:val="0"/>
                    <w:jc w:val="center"/>
                    <w:rPr>
                      <w:szCs w:val="21"/>
                    </w:rPr>
                  </w:pPr>
                  <w:r>
                    <w:rPr>
                      <w:rFonts w:hint="eastAsia"/>
                      <w:szCs w:val="21"/>
                      <w:highlight w:val="none"/>
                    </w:rPr>
                    <w:t>甲苯</w:t>
                  </w:r>
                </w:p>
              </w:tc>
              <w:tc>
                <w:tcPr>
                  <w:tcW w:w="1214" w:type="pct"/>
                  <w:noWrap w:val="0"/>
                  <w:vAlign w:val="center"/>
                </w:tcPr>
                <w:p w14:paraId="4610263B">
                  <w:pPr>
                    <w:adjustRightInd w:val="0"/>
                    <w:snapToGrid w:val="0"/>
                    <w:jc w:val="center"/>
                    <w:rPr>
                      <w:rFonts w:hint="eastAsia" w:eastAsia="宋体"/>
                      <w:szCs w:val="21"/>
                      <w:lang w:eastAsia="zh-CN"/>
                    </w:rPr>
                  </w:pPr>
                  <w:r>
                    <w:rPr>
                      <w:rFonts w:hint="eastAsia"/>
                      <w:szCs w:val="21"/>
                    </w:rPr>
                    <w:t>液态</w:t>
                  </w:r>
                  <w:r>
                    <w:rPr>
                      <w:rFonts w:hint="eastAsia"/>
                      <w:szCs w:val="21"/>
                      <w:lang w:eastAsia="zh-CN"/>
                    </w:rPr>
                    <w:t>（挥发）</w:t>
                  </w:r>
                </w:p>
              </w:tc>
              <w:tc>
                <w:tcPr>
                  <w:tcW w:w="472" w:type="pct"/>
                  <w:noWrap w:val="0"/>
                  <w:vAlign w:val="center"/>
                </w:tcPr>
                <w:p w14:paraId="0C436135">
                  <w:pPr>
                    <w:adjustRightInd w:val="0"/>
                    <w:snapToGrid w:val="0"/>
                    <w:jc w:val="center"/>
                    <w:rPr>
                      <w:szCs w:val="21"/>
                    </w:rPr>
                  </w:pPr>
                  <w:r>
                    <w:rPr>
                      <w:rFonts w:hint="eastAsia"/>
                      <w:szCs w:val="21"/>
                      <w:lang w:val="en-US" w:eastAsia="zh-CN"/>
                    </w:rPr>
                    <w:t>40</w:t>
                  </w:r>
                  <w:r>
                    <w:rPr>
                      <w:rFonts w:hint="eastAsia"/>
                      <w:szCs w:val="21"/>
                    </w:rPr>
                    <w:t>0kg</w:t>
                  </w:r>
                </w:p>
              </w:tc>
              <w:tc>
                <w:tcPr>
                  <w:tcW w:w="649" w:type="pct"/>
                  <w:vMerge w:val="continue"/>
                  <w:noWrap w:val="0"/>
                  <w:vAlign w:val="center"/>
                </w:tcPr>
                <w:p w14:paraId="1D630AF0">
                  <w:pPr>
                    <w:adjustRightInd w:val="0"/>
                    <w:snapToGrid w:val="0"/>
                    <w:jc w:val="center"/>
                    <w:rPr>
                      <w:rFonts w:hint="eastAsia"/>
                      <w:szCs w:val="21"/>
                    </w:rPr>
                  </w:pPr>
                </w:p>
              </w:tc>
              <w:tc>
                <w:tcPr>
                  <w:tcW w:w="748" w:type="pct"/>
                  <w:noWrap w:val="0"/>
                  <w:vAlign w:val="center"/>
                </w:tcPr>
                <w:p w14:paraId="7DEC7A24">
                  <w:pPr>
                    <w:adjustRightInd w:val="0"/>
                    <w:snapToGrid w:val="0"/>
                    <w:jc w:val="center"/>
                    <w:rPr>
                      <w:rFonts w:hint="eastAsia"/>
                      <w:szCs w:val="21"/>
                    </w:rPr>
                  </w:pPr>
                  <w:r>
                    <w:rPr>
                      <w:rFonts w:hint="eastAsia"/>
                      <w:szCs w:val="21"/>
                      <w:lang w:val="en-US" w:eastAsia="zh-CN"/>
                    </w:rPr>
                    <w:t>200</w:t>
                  </w:r>
                  <w:r>
                    <w:rPr>
                      <w:rFonts w:hint="eastAsia"/>
                      <w:szCs w:val="21"/>
                    </w:rPr>
                    <w:t>kg</w:t>
                  </w:r>
                </w:p>
              </w:tc>
            </w:tr>
            <w:tr w14:paraId="23FD194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8" w:type="pct"/>
                  <w:vMerge w:val="continue"/>
                  <w:noWrap w:val="0"/>
                  <w:vAlign w:val="center"/>
                </w:tcPr>
                <w:p w14:paraId="41F803DD">
                  <w:pPr>
                    <w:adjustRightInd w:val="0"/>
                    <w:snapToGrid w:val="0"/>
                    <w:jc w:val="center"/>
                    <w:rPr>
                      <w:rFonts w:hint="eastAsia"/>
                      <w:szCs w:val="21"/>
                    </w:rPr>
                  </w:pPr>
                </w:p>
              </w:tc>
              <w:tc>
                <w:tcPr>
                  <w:tcW w:w="642" w:type="pct"/>
                  <w:vMerge w:val="continue"/>
                  <w:noWrap w:val="0"/>
                  <w:vAlign w:val="center"/>
                </w:tcPr>
                <w:p w14:paraId="36629ED6">
                  <w:pPr>
                    <w:adjustRightInd w:val="0"/>
                    <w:snapToGrid w:val="0"/>
                    <w:jc w:val="center"/>
                    <w:rPr>
                      <w:rFonts w:hint="eastAsia"/>
                      <w:szCs w:val="21"/>
                    </w:rPr>
                  </w:pPr>
                </w:p>
              </w:tc>
              <w:tc>
                <w:tcPr>
                  <w:tcW w:w="894" w:type="pct"/>
                  <w:noWrap w:val="0"/>
                  <w:vAlign w:val="center"/>
                </w:tcPr>
                <w:p w14:paraId="46C4D299">
                  <w:pPr>
                    <w:adjustRightInd w:val="0"/>
                    <w:snapToGrid w:val="0"/>
                    <w:jc w:val="center"/>
                    <w:rPr>
                      <w:szCs w:val="21"/>
                    </w:rPr>
                  </w:pPr>
                  <w:r>
                    <w:rPr>
                      <w:rFonts w:hint="eastAsia"/>
                      <w:szCs w:val="21"/>
                    </w:rPr>
                    <w:t>NMP</w:t>
                  </w:r>
                </w:p>
              </w:tc>
              <w:tc>
                <w:tcPr>
                  <w:tcW w:w="1214" w:type="pct"/>
                  <w:noWrap w:val="0"/>
                  <w:vAlign w:val="center"/>
                </w:tcPr>
                <w:p w14:paraId="469754BF">
                  <w:pPr>
                    <w:adjustRightInd w:val="0"/>
                    <w:snapToGrid w:val="0"/>
                    <w:jc w:val="center"/>
                    <w:rPr>
                      <w:rFonts w:hint="eastAsia" w:eastAsia="宋体"/>
                      <w:szCs w:val="21"/>
                      <w:lang w:eastAsia="zh-CN"/>
                    </w:rPr>
                  </w:pPr>
                  <w:r>
                    <w:rPr>
                      <w:rFonts w:hint="eastAsia"/>
                      <w:szCs w:val="21"/>
                    </w:rPr>
                    <w:t>液态</w:t>
                  </w:r>
                  <w:r>
                    <w:rPr>
                      <w:rFonts w:hint="eastAsia"/>
                      <w:szCs w:val="21"/>
                      <w:lang w:eastAsia="zh-CN"/>
                    </w:rPr>
                    <w:t>（挥发）</w:t>
                  </w:r>
                </w:p>
              </w:tc>
              <w:tc>
                <w:tcPr>
                  <w:tcW w:w="472" w:type="pct"/>
                  <w:noWrap w:val="0"/>
                  <w:vAlign w:val="center"/>
                </w:tcPr>
                <w:p w14:paraId="5025ADFA">
                  <w:pPr>
                    <w:adjustRightInd w:val="0"/>
                    <w:snapToGrid w:val="0"/>
                    <w:jc w:val="center"/>
                    <w:rPr>
                      <w:szCs w:val="21"/>
                    </w:rPr>
                  </w:pPr>
                  <w:r>
                    <w:rPr>
                      <w:rFonts w:hint="eastAsia"/>
                      <w:szCs w:val="21"/>
                      <w:lang w:val="en-US" w:eastAsia="zh-CN"/>
                    </w:rPr>
                    <w:t>680</w:t>
                  </w:r>
                  <w:r>
                    <w:rPr>
                      <w:rFonts w:hint="eastAsia"/>
                      <w:szCs w:val="21"/>
                    </w:rPr>
                    <w:t>kg</w:t>
                  </w:r>
                </w:p>
              </w:tc>
              <w:tc>
                <w:tcPr>
                  <w:tcW w:w="649" w:type="pct"/>
                  <w:vMerge w:val="continue"/>
                  <w:noWrap w:val="0"/>
                  <w:vAlign w:val="center"/>
                </w:tcPr>
                <w:p w14:paraId="386E9FEE">
                  <w:pPr>
                    <w:adjustRightInd w:val="0"/>
                    <w:snapToGrid w:val="0"/>
                    <w:jc w:val="center"/>
                    <w:rPr>
                      <w:rFonts w:hint="eastAsia"/>
                      <w:szCs w:val="21"/>
                    </w:rPr>
                  </w:pPr>
                </w:p>
              </w:tc>
              <w:tc>
                <w:tcPr>
                  <w:tcW w:w="748" w:type="pct"/>
                  <w:noWrap w:val="0"/>
                  <w:vAlign w:val="center"/>
                </w:tcPr>
                <w:p w14:paraId="6798D4F8">
                  <w:pPr>
                    <w:adjustRightInd w:val="0"/>
                    <w:snapToGrid w:val="0"/>
                    <w:jc w:val="center"/>
                    <w:rPr>
                      <w:rFonts w:hint="eastAsia"/>
                      <w:szCs w:val="21"/>
                    </w:rPr>
                  </w:pPr>
                  <w:r>
                    <w:rPr>
                      <w:rFonts w:hint="eastAsia"/>
                      <w:szCs w:val="21"/>
                      <w:lang w:val="en-US" w:eastAsia="zh-CN"/>
                    </w:rPr>
                    <w:t>200</w:t>
                  </w:r>
                  <w:r>
                    <w:rPr>
                      <w:rFonts w:hint="eastAsia"/>
                      <w:szCs w:val="21"/>
                    </w:rPr>
                    <w:t>kg</w:t>
                  </w:r>
                </w:p>
              </w:tc>
            </w:tr>
            <w:tr w14:paraId="40D0B9B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8" w:type="pct"/>
                  <w:noWrap w:val="0"/>
                  <w:vAlign w:val="center"/>
                </w:tcPr>
                <w:p w14:paraId="324B77CA">
                  <w:pPr>
                    <w:adjustRightInd w:val="0"/>
                    <w:snapToGrid w:val="0"/>
                    <w:jc w:val="center"/>
                    <w:rPr>
                      <w:szCs w:val="21"/>
                    </w:rPr>
                  </w:pPr>
                  <w:r>
                    <w:rPr>
                      <w:rFonts w:hint="eastAsia"/>
                      <w:szCs w:val="21"/>
                    </w:rPr>
                    <w:t>9</w:t>
                  </w:r>
                </w:p>
              </w:tc>
              <w:tc>
                <w:tcPr>
                  <w:tcW w:w="1536" w:type="pct"/>
                  <w:gridSpan w:val="2"/>
                  <w:noWrap w:val="0"/>
                  <w:vAlign w:val="center"/>
                </w:tcPr>
                <w:p w14:paraId="217438EB">
                  <w:pPr>
                    <w:adjustRightInd w:val="0"/>
                    <w:snapToGrid w:val="0"/>
                    <w:jc w:val="center"/>
                    <w:rPr>
                      <w:rFonts w:hint="eastAsia" w:eastAsia="宋体"/>
                      <w:szCs w:val="21"/>
                      <w:lang w:eastAsia="zh-CN"/>
                    </w:rPr>
                  </w:pPr>
                  <w:r>
                    <w:rPr>
                      <w:rFonts w:hint="eastAsia"/>
                      <w:szCs w:val="21"/>
                      <w:highlight w:val="none"/>
                    </w:rPr>
                    <w:t>助剂</w:t>
                  </w:r>
                  <w:r>
                    <w:rPr>
                      <w:rStyle w:val="32"/>
                      <w:rFonts w:hint="eastAsia"/>
                      <w:kern w:val="0"/>
                      <w:szCs w:val="20"/>
                      <w:lang w:eastAsia="zh-CN"/>
                    </w:rPr>
                    <w:t>（聚醚改性聚二甲基硅氧烷）</w:t>
                  </w:r>
                </w:p>
              </w:tc>
              <w:tc>
                <w:tcPr>
                  <w:tcW w:w="1214" w:type="pct"/>
                  <w:noWrap w:val="0"/>
                  <w:vAlign w:val="center"/>
                </w:tcPr>
                <w:p w14:paraId="1F4FBB94">
                  <w:pPr>
                    <w:adjustRightInd w:val="0"/>
                    <w:snapToGrid w:val="0"/>
                    <w:jc w:val="center"/>
                    <w:rPr>
                      <w:rFonts w:hint="eastAsia" w:eastAsia="宋体"/>
                      <w:szCs w:val="21"/>
                      <w:lang w:val="en-US" w:eastAsia="zh-CN"/>
                    </w:rPr>
                  </w:pPr>
                  <w:r>
                    <w:rPr>
                      <w:rFonts w:hint="eastAsia"/>
                      <w:szCs w:val="21"/>
                    </w:rPr>
                    <w:t>液态</w:t>
                  </w:r>
                  <w:r>
                    <w:rPr>
                      <w:rFonts w:hint="eastAsia"/>
                      <w:szCs w:val="21"/>
                      <w:lang w:eastAsia="zh-CN"/>
                    </w:rPr>
                    <w:t>（不挥发）</w:t>
                  </w:r>
                </w:p>
              </w:tc>
              <w:tc>
                <w:tcPr>
                  <w:tcW w:w="472" w:type="pct"/>
                  <w:noWrap w:val="0"/>
                  <w:vAlign w:val="center"/>
                </w:tcPr>
                <w:p w14:paraId="7805F8BE">
                  <w:pPr>
                    <w:adjustRightInd w:val="0"/>
                    <w:snapToGrid w:val="0"/>
                    <w:jc w:val="center"/>
                    <w:rPr>
                      <w:szCs w:val="21"/>
                    </w:rPr>
                  </w:pPr>
                  <w:r>
                    <w:rPr>
                      <w:rFonts w:hint="eastAsia"/>
                      <w:szCs w:val="21"/>
                      <w:lang w:val="en-US" w:eastAsia="zh-CN"/>
                    </w:rPr>
                    <w:t>20</w:t>
                  </w:r>
                  <w:r>
                    <w:rPr>
                      <w:rFonts w:hint="eastAsia"/>
                      <w:szCs w:val="21"/>
                    </w:rPr>
                    <w:t>kg</w:t>
                  </w:r>
                </w:p>
              </w:tc>
              <w:tc>
                <w:tcPr>
                  <w:tcW w:w="649" w:type="pct"/>
                  <w:vMerge w:val="continue"/>
                  <w:noWrap w:val="0"/>
                  <w:vAlign w:val="center"/>
                </w:tcPr>
                <w:p w14:paraId="4CE1A697">
                  <w:pPr>
                    <w:adjustRightInd w:val="0"/>
                    <w:snapToGrid w:val="0"/>
                    <w:jc w:val="center"/>
                    <w:rPr>
                      <w:rFonts w:hint="eastAsia"/>
                      <w:szCs w:val="21"/>
                    </w:rPr>
                  </w:pPr>
                </w:p>
              </w:tc>
              <w:tc>
                <w:tcPr>
                  <w:tcW w:w="748" w:type="pct"/>
                  <w:noWrap w:val="0"/>
                  <w:vAlign w:val="center"/>
                </w:tcPr>
                <w:p w14:paraId="2A17A1A5">
                  <w:pPr>
                    <w:adjustRightInd w:val="0"/>
                    <w:snapToGrid w:val="0"/>
                    <w:jc w:val="center"/>
                    <w:rPr>
                      <w:rFonts w:hint="eastAsia"/>
                      <w:szCs w:val="21"/>
                    </w:rPr>
                  </w:pPr>
                  <w:r>
                    <w:rPr>
                      <w:rFonts w:hint="eastAsia"/>
                      <w:szCs w:val="21"/>
                      <w:lang w:val="en-US" w:eastAsia="zh-CN"/>
                    </w:rPr>
                    <w:t>20</w:t>
                  </w:r>
                  <w:r>
                    <w:rPr>
                      <w:rFonts w:hint="eastAsia"/>
                      <w:szCs w:val="21"/>
                    </w:rPr>
                    <w:t>kg</w:t>
                  </w:r>
                </w:p>
              </w:tc>
            </w:tr>
            <w:tr w14:paraId="2DF9B4D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8" w:type="pct"/>
                  <w:noWrap w:val="0"/>
                  <w:vAlign w:val="center"/>
                </w:tcPr>
                <w:p w14:paraId="2580AA9C">
                  <w:pPr>
                    <w:adjustRightInd w:val="0"/>
                    <w:snapToGrid w:val="0"/>
                    <w:jc w:val="center"/>
                    <w:rPr>
                      <w:szCs w:val="21"/>
                    </w:rPr>
                  </w:pPr>
                  <w:r>
                    <w:rPr>
                      <w:rFonts w:hint="eastAsia"/>
                      <w:szCs w:val="21"/>
                    </w:rPr>
                    <w:t>10</w:t>
                  </w:r>
                </w:p>
              </w:tc>
              <w:tc>
                <w:tcPr>
                  <w:tcW w:w="1536" w:type="pct"/>
                  <w:gridSpan w:val="2"/>
                  <w:noWrap w:val="0"/>
                  <w:vAlign w:val="center"/>
                </w:tcPr>
                <w:p w14:paraId="19981547">
                  <w:pPr>
                    <w:adjustRightInd w:val="0"/>
                    <w:snapToGrid w:val="0"/>
                    <w:jc w:val="center"/>
                    <w:rPr>
                      <w:rFonts w:hint="eastAsia"/>
                      <w:szCs w:val="21"/>
                    </w:rPr>
                  </w:pPr>
                  <w:r>
                    <w:rPr>
                      <w:rFonts w:hint="eastAsia"/>
                      <w:szCs w:val="21"/>
                    </w:rPr>
                    <w:t>实验基材（50mm*90mm*1mmQ235碳钢）</w:t>
                  </w:r>
                </w:p>
              </w:tc>
              <w:tc>
                <w:tcPr>
                  <w:tcW w:w="1214" w:type="pct"/>
                  <w:noWrap w:val="0"/>
                  <w:vAlign w:val="center"/>
                </w:tcPr>
                <w:p w14:paraId="36E6CE0C">
                  <w:pPr>
                    <w:adjustRightInd w:val="0"/>
                    <w:snapToGrid w:val="0"/>
                    <w:jc w:val="center"/>
                    <w:rPr>
                      <w:rFonts w:hint="eastAsia"/>
                      <w:szCs w:val="21"/>
                    </w:rPr>
                  </w:pPr>
                  <w:r>
                    <w:rPr>
                      <w:rFonts w:hint="eastAsia"/>
                      <w:szCs w:val="21"/>
                    </w:rPr>
                    <w:t>固态</w:t>
                  </w:r>
                </w:p>
              </w:tc>
              <w:tc>
                <w:tcPr>
                  <w:tcW w:w="472" w:type="pct"/>
                  <w:noWrap w:val="0"/>
                  <w:vAlign w:val="center"/>
                </w:tcPr>
                <w:p w14:paraId="50C406FF">
                  <w:pPr>
                    <w:adjustRightInd w:val="0"/>
                    <w:snapToGrid w:val="0"/>
                    <w:jc w:val="center"/>
                    <w:rPr>
                      <w:szCs w:val="21"/>
                    </w:rPr>
                  </w:pPr>
                  <w:r>
                    <w:rPr>
                      <w:rFonts w:hint="eastAsia"/>
                      <w:szCs w:val="21"/>
                      <w:lang w:val="en-US" w:eastAsia="zh-CN"/>
                    </w:rPr>
                    <w:t>31</w:t>
                  </w:r>
                  <w:r>
                    <w:rPr>
                      <w:rFonts w:hint="eastAsia"/>
                      <w:szCs w:val="21"/>
                    </w:rPr>
                    <w:t>t</w:t>
                  </w:r>
                </w:p>
              </w:tc>
              <w:tc>
                <w:tcPr>
                  <w:tcW w:w="649" w:type="pct"/>
                  <w:noWrap w:val="0"/>
                  <w:vAlign w:val="center"/>
                </w:tcPr>
                <w:p w14:paraId="4570C1F4">
                  <w:pPr>
                    <w:adjustRightInd w:val="0"/>
                    <w:snapToGrid w:val="0"/>
                    <w:jc w:val="center"/>
                    <w:rPr>
                      <w:rFonts w:hint="eastAsia" w:eastAsia="宋体"/>
                      <w:szCs w:val="21"/>
                      <w:lang w:eastAsia="zh-CN"/>
                    </w:rPr>
                  </w:pPr>
                  <w:r>
                    <w:rPr>
                      <w:rFonts w:hint="eastAsia"/>
                      <w:szCs w:val="21"/>
                      <w:lang w:eastAsia="zh-CN"/>
                    </w:rPr>
                    <w:t>箱式，储存于固体物料库</w:t>
                  </w:r>
                </w:p>
              </w:tc>
              <w:tc>
                <w:tcPr>
                  <w:tcW w:w="748" w:type="pct"/>
                  <w:noWrap w:val="0"/>
                  <w:vAlign w:val="center"/>
                </w:tcPr>
                <w:p w14:paraId="681B5DE7">
                  <w:pPr>
                    <w:adjustRightInd w:val="0"/>
                    <w:snapToGrid w:val="0"/>
                    <w:jc w:val="center"/>
                    <w:rPr>
                      <w:rFonts w:hint="eastAsia" w:eastAsia="宋体"/>
                      <w:szCs w:val="21"/>
                      <w:lang w:val="en-US" w:eastAsia="zh-CN"/>
                    </w:rPr>
                  </w:pPr>
                  <w:r>
                    <w:rPr>
                      <w:rFonts w:hint="eastAsia"/>
                      <w:szCs w:val="21"/>
                      <w:lang w:val="en-US" w:eastAsia="zh-CN"/>
                    </w:rPr>
                    <w:t>5</w:t>
                  </w:r>
                  <w:r>
                    <w:rPr>
                      <w:rFonts w:hint="eastAsia"/>
                      <w:szCs w:val="21"/>
                    </w:rPr>
                    <w:t>t</w:t>
                  </w:r>
                </w:p>
              </w:tc>
            </w:tr>
            <w:tr w14:paraId="008D8EC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8" w:type="pct"/>
                  <w:noWrap w:val="0"/>
                  <w:vAlign w:val="center"/>
                </w:tcPr>
                <w:p w14:paraId="58451E78">
                  <w:pPr>
                    <w:adjustRightInd w:val="0"/>
                    <w:snapToGrid w:val="0"/>
                    <w:jc w:val="center"/>
                    <w:rPr>
                      <w:szCs w:val="21"/>
                    </w:rPr>
                  </w:pPr>
                  <w:r>
                    <w:rPr>
                      <w:rFonts w:hint="eastAsia"/>
                      <w:szCs w:val="21"/>
                    </w:rPr>
                    <w:t>11</w:t>
                  </w:r>
                </w:p>
              </w:tc>
              <w:tc>
                <w:tcPr>
                  <w:tcW w:w="1536" w:type="pct"/>
                  <w:gridSpan w:val="2"/>
                  <w:noWrap w:val="0"/>
                  <w:vAlign w:val="center"/>
                </w:tcPr>
                <w:p w14:paraId="5FD2A2FB">
                  <w:pPr>
                    <w:adjustRightInd w:val="0"/>
                    <w:snapToGrid w:val="0"/>
                    <w:jc w:val="center"/>
                    <w:rPr>
                      <w:rFonts w:hint="eastAsia"/>
                      <w:szCs w:val="21"/>
                    </w:rPr>
                  </w:pPr>
                  <w:r>
                    <w:rPr>
                      <w:rFonts w:hint="eastAsia"/>
                      <w:szCs w:val="21"/>
                    </w:rPr>
                    <w:t>钢砂</w:t>
                  </w:r>
                </w:p>
              </w:tc>
              <w:tc>
                <w:tcPr>
                  <w:tcW w:w="1214" w:type="pct"/>
                  <w:noWrap w:val="0"/>
                  <w:vAlign w:val="center"/>
                </w:tcPr>
                <w:p w14:paraId="119E817C">
                  <w:pPr>
                    <w:adjustRightInd w:val="0"/>
                    <w:snapToGrid w:val="0"/>
                    <w:jc w:val="center"/>
                    <w:rPr>
                      <w:rFonts w:hint="eastAsia"/>
                      <w:szCs w:val="21"/>
                    </w:rPr>
                  </w:pPr>
                  <w:r>
                    <w:rPr>
                      <w:rFonts w:hint="eastAsia"/>
                      <w:szCs w:val="21"/>
                    </w:rPr>
                    <w:t>固态</w:t>
                  </w:r>
                </w:p>
              </w:tc>
              <w:tc>
                <w:tcPr>
                  <w:tcW w:w="472" w:type="pct"/>
                  <w:noWrap w:val="0"/>
                  <w:vAlign w:val="center"/>
                </w:tcPr>
                <w:p w14:paraId="5CA1FE01">
                  <w:pPr>
                    <w:adjustRightInd w:val="0"/>
                    <w:snapToGrid w:val="0"/>
                    <w:jc w:val="center"/>
                    <w:rPr>
                      <w:szCs w:val="21"/>
                    </w:rPr>
                  </w:pPr>
                  <w:r>
                    <w:rPr>
                      <w:rFonts w:hint="eastAsia"/>
                      <w:szCs w:val="21"/>
                    </w:rPr>
                    <w:t>0.2t</w:t>
                  </w:r>
                </w:p>
              </w:tc>
              <w:tc>
                <w:tcPr>
                  <w:tcW w:w="649" w:type="pct"/>
                  <w:noWrap w:val="0"/>
                  <w:vAlign w:val="center"/>
                </w:tcPr>
                <w:p w14:paraId="5A59E7D2">
                  <w:pPr>
                    <w:adjustRightInd w:val="0"/>
                    <w:snapToGrid w:val="0"/>
                    <w:jc w:val="center"/>
                    <w:rPr>
                      <w:rFonts w:hint="eastAsia" w:eastAsia="宋体"/>
                      <w:szCs w:val="21"/>
                      <w:lang w:eastAsia="zh-CN"/>
                    </w:rPr>
                  </w:pPr>
                  <w:r>
                    <w:rPr>
                      <w:rFonts w:hint="eastAsia"/>
                      <w:szCs w:val="21"/>
                      <w:lang w:eastAsia="zh-CN"/>
                    </w:rPr>
                    <w:t>袋装，储存于固体物料库</w:t>
                  </w:r>
                </w:p>
              </w:tc>
              <w:tc>
                <w:tcPr>
                  <w:tcW w:w="748" w:type="pct"/>
                  <w:noWrap w:val="0"/>
                  <w:vAlign w:val="center"/>
                </w:tcPr>
                <w:p w14:paraId="3E749F5C">
                  <w:pPr>
                    <w:adjustRightInd w:val="0"/>
                    <w:snapToGrid w:val="0"/>
                    <w:jc w:val="center"/>
                    <w:rPr>
                      <w:rFonts w:hint="default" w:eastAsia="宋体"/>
                      <w:szCs w:val="21"/>
                      <w:lang w:val="en-US" w:eastAsia="zh-CN"/>
                    </w:rPr>
                  </w:pPr>
                  <w:r>
                    <w:rPr>
                      <w:rFonts w:hint="eastAsia"/>
                      <w:szCs w:val="21"/>
                      <w:lang w:val="en-US" w:eastAsia="zh-CN"/>
                    </w:rPr>
                    <w:t>0.1</w:t>
                  </w:r>
                  <w:r>
                    <w:rPr>
                      <w:rFonts w:hint="eastAsia"/>
                      <w:szCs w:val="21"/>
                    </w:rPr>
                    <w:t>t</w:t>
                  </w:r>
                </w:p>
              </w:tc>
            </w:tr>
          </w:tbl>
          <w:p w14:paraId="0BE0346D">
            <w:pPr>
              <w:pStyle w:val="61"/>
              <w:tabs>
                <w:tab w:val="clear" w:pos="3437"/>
              </w:tabs>
              <w:spacing w:before="120"/>
              <w:rPr>
                <w:rFonts w:hint="eastAsia"/>
                <w:highlight w:val="yellow"/>
              </w:rPr>
            </w:pPr>
            <w:r>
              <w:t>表</w:t>
            </w:r>
            <w:r>
              <w:rPr>
                <w:rFonts w:hint="eastAsia"/>
              </w:rPr>
              <w:t>2-4</w:t>
            </w:r>
            <w:r>
              <w:t xml:space="preserve">  </w:t>
            </w:r>
            <w:r>
              <w:rPr>
                <w:rFonts w:hint="eastAsia"/>
              </w:rPr>
              <w:t>主要原辅材料理化性质</w:t>
            </w:r>
          </w:p>
          <w:tbl>
            <w:tblPr>
              <w:tblStyle w:val="27"/>
              <w:tblW w:w="499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7978"/>
            </w:tblGrid>
            <w:tr w14:paraId="2B556BE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7" w:type="pct"/>
                  <w:noWrap w:val="0"/>
                  <w:vAlign w:val="center"/>
                </w:tcPr>
                <w:p w14:paraId="68711825">
                  <w:pPr>
                    <w:jc w:val="center"/>
                    <w:rPr>
                      <w:szCs w:val="21"/>
                    </w:rPr>
                  </w:pPr>
                  <w:r>
                    <w:rPr>
                      <w:szCs w:val="21"/>
                    </w:rPr>
                    <w:t>名称</w:t>
                  </w:r>
                </w:p>
              </w:tc>
              <w:tc>
                <w:tcPr>
                  <w:tcW w:w="4362" w:type="pct"/>
                  <w:noWrap w:val="0"/>
                  <w:vAlign w:val="center"/>
                </w:tcPr>
                <w:p w14:paraId="2D33F013">
                  <w:pPr>
                    <w:jc w:val="center"/>
                    <w:rPr>
                      <w:szCs w:val="21"/>
                    </w:rPr>
                  </w:pPr>
                  <w:r>
                    <w:rPr>
                      <w:szCs w:val="21"/>
                    </w:rPr>
                    <w:t>理化性质</w:t>
                  </w:r>
                </w:p>
              </w:tc>
            </w:tr>
            <w:tr w14:paraId="646DDDB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7" w:type="pct"/>
                  <w:noWrap w:val="0"/>
                  <w:vAlign w:val="center"/>
                </w:tcPr>
                <w:p w14:paraId="3B34BF37">
                  <w:pPr>
                    <w:jc w:val="center"/>
                    <w:rPr>
                      <w:szCs w:val="21"/>
                    </w:rPr>
                  </w:pPr>
                  <w:r>
                    <w:rPr>
                      <w:rFonts w:hint="eastAsia"/>
                      <w:szCs w:val="21"/>
                    </w:rPr>
                    <w:t>聚</w:t>
                  </w:r>
                  <w:r>
                    <w:rPr>
                      <w:szCs w:val="21"/>
                    </w:rPr>
                    <w:t>醚醚</w:t>
                  </w:r>
                  <w:r>
                    <w:rPr>
                      <w:rFonts w:hint="eastAsia"/>
                      <w:szCs w:val="21"/>
                    </w:rPr>
                    <w:t>酮树脂</w:t>
                  </w:r>
                </w:p>
              </w:tc>
              <w:tc>
                <w:tcPr>
                  <w:tcW w:w="4362" w:type="pct"/>
                  <w:noWrap w:val="0"/>
                  <w:vAlign w:val="center"/>
                </w:tcPr>
                <w:p w14:paraId="6A7717CC">
                  <w:pPr>
                    <w:ind w:firstLine="420" w:firstLineChars="200"/>
                    <w:rPr>
                      <w:szCs w:val="21"/>
                    </w:rPr>
                  </w:pPr>
                  <w:r>
                    <w:rPr>
                      <w:szCs w:val="21"/>
                    </w:rPr>
                    <w:t>聚醚醚酮树脂（Polyether Ether Ketone，简称PEEK）是一种高性能的特种工程塑料，PEEK具有较高的玻璃化转变温度（Tg约为143℃）和熔点（Tm约为334℃），能够在高温环境下保持稳定的物理和化学性能。不需要添加阻燃剂即可达到UL94V-0级的阻燃标准。PEEK无毒、无味，对人体组织无刺激性，因此被广泛应用于医疗器械和生物医用材料领域。</w:t>
                  </w:r>
                </w:p>
              </w:tc>
            </w:tr>
            <w:tr w14:paraId="18D2C0E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7" w:type="pct"/>
                  <w:noWrap w:val="0"/>
                  <w:vAlign w:val="center"/>
                </w:tcPr>
                <w:p w14:paraId="6FD46A7D">
                  <w:pPr>
                    <w:adjustRightInd w:val="0"/>
                    <w:snapToGrid w:val="0"/>
                    <w:jc w:val="center"/>
                    <w:rPr>
                      <w:szCs w:val="21"/>
                    </w:rPr>
                  </w:pPr>
                  <w:r>
                    <w:rPr>
                      <w:rFonts w:hint="eastAsia"/>
                      <w:szCs w:val="21"/>
                    </w:rPr>
                    <w:t>石墨（颜料）</w:t>
                  </w:r>
                </w:p>
              </w:tc>
              <w:tc>
                <w:tcPr>
                  <w:tcW w:w="4362" w:type="pct"/>
                  <w:noWrap w:val="0"/>
                  <w:vAlign w:val="center"/>
                </w:tcPr>
                <w:p w14:paraId="63781792">
                  <w:pPr>
                    <w:ind w:firstLine="420" w:firstLineChars="200"/>
                    <w:jc w:val="left"/>
                    <w:rPr>
                      <w:szCs w:val="21"/>
                    </w:rPr>
                  </w:pPr>
                  <w:r>
                    <w:rPr>
                      <w:szCs w:val="21"/>
                    </w:rPr>
                    <w:t>石墨是一种碳的同素异形体，具有以下理化性质：石墨具有六方晶系结构，碳原子以sp2杂化形成的层状结构排列，层间通过较弱的范德华力结合。石墨通常为铁黑色至钢灰色，具有金属光泽。石墨的莫氏硬度为1-2，但由于其层状结构，垂直于层面的硬度可以增加到3-5。密度一般在2.09-2.23 g/cm³之间。石墨的熔点非常高，约为3850℃，沸点为4250℃。石墨具有良好的导电性和导热性，其导电性比一般非金属矿高一百倍，导热性超过许多金属材料。石墨在常温下化学性质稳定，不为强酸、强碱及有机溶剂所侵蚀。石墨具有良好的可塑性，可以展成非常薄的薄片。</w:t>
                  </w:r>
                </w:p>
              </w:tc>
            </w:tr>
            <w:tr w14:paraId="5948EA4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7" w:type="pct"/>
                  <w:noWrap w:val="0"/>
                  <w:vAlign w:val="center"/>
                </w:tcPr>
                <w:p w14:paraId="103B4EC7">
                  <w:pPr>
                    <w:adjustRightInd w:val="0"/>
                    <w:snapToGrid w:val="0"/>
                    <w:jc w:val="center"/>
                    <w:rPr>
                      <w:szCs w:val="21"/>
                    </w:rPr>
                  </w:pPr>
                  <w:r>
                    <w:rPr>
                      <w:rFonts w:hint="eastAsia"/>
                      <w:szCs w:val="21"/>
                    </w:rPr>
                    <w:t>炭黑（颜料）</w:t>
                  </w:r>
                </w:p>
              </w:tc>
              <w:tc>
                <w:tcPr>
                  <w:tcW w:w="4362" w:type="pct"/>
                  <w:noWrap w:val="0"/>
                  <w:vAlign w:val="center"/>
                </w:tcPr>
                <w:p w14:paraId="7CC9FCFD">
                  <w:pPr>
                    <w:ind w:firstLine="420" w:firstLineChars="200"/>
                    <w:jc w:val="left"/>
                    <w:rPr>
                      <w:szCs w:val="21"/>
                    </w:rPr>
                  </w:pPr>
                  <w:r>
                    <w:rPr>
                      <w:rFonts w:hint="eastAsia"/>
                      <w:szCs w:val="21"/>
                    </w:rPr>
                    <w:t>炭黑是一种主要由碳组成的物质，炭黑的主要成分是碳，通常含有少量的氢、氧、硫等元素。这些杂质的存在及其含量对炭黑的理化特性和应用性能有一定的影响。炭黑的物理性质包括其结构特征，通常呈现为微米级的球形或链状结构。炭黑的密度较低，与其孔隙结构密切相关。孔隙度的大小和分布对炭黑的吸附性能和化学反应活性有重要影响。炭黑的表面性质包括其化学组成和表面官能团。炭黑表面可能含有酚基、醌基、羧基等基团，这些基团的浓度和性质影响炭黑的极性和与基体材料的相容性。</w:t>
                  </w:r>
                </w:p>
              </w:tc>
            </w:tr>
            <w:tr w14:paraId="5E0DB0B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7" w:type="pct"/>
                  <w:noWrap w:val="0"/>
                  <w:vAlign w:val="center"/>
                </w:tcPr>
                <w:p w14:paraId="420D77EB">
                  <w:pPr>
                    <w:adjustRightInd w:val="0"/>
                    <w:snapToGrid w:val="0"/>
                    <w:jc w:val="center"/>
                    <w:rPr>
                      <w:szCs w:val="21"/>
                    </w:rPr>
                  </w:pPr>
                  <w:r>
                    <w:rPr>
                      <w:rFonts w:hint="eastAsia"/>
                      <w:szCs w:val="21"/>
                    </w:rPr>
                    <w:t>钛白（填料）</w:t>
                  </w:r>
                </w:p>
              </w:tc>
              <w:tc>
                <w:tcPr>
                  <w:tcW w:w="4362" w:type="pct"/>
                  <w:noWrap w:val="0"/>
                  <w:vAlign w:val="center"/>
                </w:tcPr>
                <w:p w14:paraId="31348D5C">
                  <w:pPr>
                    <w:ind w:firstLine="420" w:firstLineChars="200"/>
                    <w:jc w:val="left"/>
                    <w:rPr>
                      <w:rFonts w:hint="eastAsia"/>
                      <w:szCs w:val="21"/>
                    </w:rPr>
                  </w:pPr>
                  <w:r>
                    <w:rPr>
                      <w:rFonts w:hint="eastAsia"/>
                      <w:szCs w:val="21"/>
                    </w:rPr>
                    <w:t>钛白粉（二氧化钛，化学式为TiO2）是一种白色无机颜料，具有优异的遮盖力和着色力。外观为白色无定形粉末。密度约3.8-4.2g/cm³。熔点1843</w:t>
                  </w:r>
                  <w:r>
                    <w:rPr>
                      <w:szCs w:val="21"/>
                    </w:rPr>
                    <w:t>℃</w:t>
                  </w:r>
                  <w:r>
                    <w:rPr>
                      <w:rFonts w:hint="eastAsia"/>
                      <w:szCs w:val="21"/>
                    </w:rPr>
                    <w:t>，沸点2900</w:t>
                  </w:r>
                  <w:r>
                    <w:rPr>
                      <w:szCs w:val="21"/>
                    </w:rPr>
                    <w:t>℃</w:t>
                  </w:r>
                  <w:r>
                    <w:rPr>
                      <w:rFonts w:hint="eastAsia"/>
                      <w:szCs w:val="21"/>
                    </w:rPr>
                    <w:t>，</w:t>
                  </w:r>
                </w:p>
                <w:p w14:paraId="16712239">
                  <w:pPr>
                    <w:jc w:val="left"/>
                    <w:rPr>
                      <w:szCs w:val="21"/>
                    </w:rPr>
                  </w:pPr>
                  <w:r>
                    <w:rPr>
                      <w:rFonts w:hint="eastAsia"/>
                      <w:szCs w:val="21"/>
                    </w:rPr>
                    <w:t>对酸、碱和大多数化学物质具有很高的稳定性。不溶于水、盐酸、稀硫酸，缓慢溶于氢氟酸和热浓硫酸。在热浓硫酸中可溶，但在水中几乎不溶。</w:t>
                  </w:r>
                </w:p>
              </w:tc>
            </w:tr>
            <w:tr w14:paraId="758E76A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7" w:type="pct"/>
                  <w:noWrap w:val="0"/>
                  <w:vAlign w:val="center"/>
                </w:tcPr>
                <w:p w14:paraId="350ED830">
                  <w:pPr>
                    <w:adjustRightInd w:val="0"/>
                    <w:snapToGrid w:val="0"/>
                    <w:jc w:val="center"/>
                    <w:rPr>
                      <w:rFonts w:hint="eastAsia"/>
                      <w:szCs w:val="21"/>
                    </w:rPr>
                  </w:pPr>
                  <w:r>
                    <w:rPr>
                      <w:rFonts w:hint="eastAsia"/>
                      <w:szCs w:val="21"/>
                    </w:rPr>
                    <w:t>DMAC</w:t>
                  </w:r>
                </w:p>
              </w:tc>
              <w:tc>
                <w:tcPr>
                  <w:tcW w:w="4362" w:type="pct"/>
                  <w:noWrap w:val="0"/>
                  <w:vAlign w:val="center"/>
                </w:tcPr>
                <w:p w14:paraId="3DD50BFA">
                  <w:pPr>
                    <w:jc w:val="left"/>
                    <w:rPr>
                      <w:rFonts w:hint="eastAsia"/>
                      <w:szCs w:val="21"/>
                    </w:rPr>
                  </w:pPr>
                  <w:r>
                    <w:rPr>
                      <w:rFonts w:hint="eastAsia"/>
                      <w:szCs w:val="21"/>
                    </w:rPr>
                    <w:t>又称N,N-二甲基乙酰胺，是一种有机化合物，分子式：C4H9NO，分子量87.12，无色透明液体，具有微氨气味，熔点-20</w:t>
                  </w:r>
                  <w:r>
                    <w:rPr>
                      <w:szCs w:val="21"/>
                    </w:rPr>
                    <w:t>℃</w:t>
                  </w:r>
                  <w:r>
                    <w:rPr>
                      <w:rFonts w:hint="eastAsia"/>
                      <w:szCs w:val="21"/>
                    </w:rPr>
                    <w:t>，沸点164-166</w:t>
                  </w:r>
                  <w:r>
                    <w:rPr>
                      <w:szCs w:val="21"/>
                    </w:rPr>
                    <w:t>℃</w:t>
                  </w:r>
                  <w:r>
                    <w:rPr>
                      <w:rFonts w:hint="eastAsia"/>
                      <w:szCs w:val="21"/>
                    </w:rPr>
                    <w:t>，密度：0.937g/mLat25</w:t>
                  </w:r>
                  <w:r>
                    <w:rPr>
                      <w:szCs w:val="21"/>
                    </w:rPr>
                    <w:t>℃</w:t>
                  </w:r>
                  <w:r>
                    <w:rPr>
                      <w:rFonts w:hint="eastAsia"/>
                      <w:szCs w:val="21"/>
                    </w:rPr>
                    <w:t>，</w:t>
                  </w:r>
                </w:p>
                <w:p w14:paraId="3A803D40">
                  <w:pPr>
                    <w:jc w:val="left"/>
                    <w:rPr>
                      <w:rFonts w:hint="eastAsia"/>
                      <w:szCs w:val="21"/>
                    </w:rPr>
                  </w:pPr>
                  <w:r>
                    <w:rPr>
                      <w:rFonts w:hint="eastAsia"/>
                      <w:szCs w:val="21"/>
                    </w:rPr>
                    <w:t>蒸气密度3.89(vs air)，蒸气压40 mm Hg(19.4</w:t>
                  </w:r>
                  <w:r>
                    <w:rPr>
                      <w:szCs w:val="21"/>
                    </w:rPr>
                    <w:t>℃</w:t>
                  </w:r>
                  <w:r>
                    <w:rPr>
                      <w:rFonts w:hint="eastAsia"/>
                      <w:szCs w:val="21"/>
                    </w:rPr>
                    <w:t>)，爆炸极限值：1.7-11.5% (V)，稳定，但在强氧化剂存在下可能不稳定。</w:t>
                  </w:r>
                </w:p>
              </w:tc>
            </w:tr>
            <w:tr w14:paraId="6B56B06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7" w:type="pct"/>
                  <w:noWrap w:val="0"/>
                  <w:vAlign w:val="center"/>
                </w:tcPr>
                <w:p w14:paraId="1DB41650">
                  <w:pPr>
                    <w:adjustRightInd w:val="0"/>
                    <w:snapToGrid w:val="0"/>
                    <w:jc w:val="center"/>
                    <w:rPr>
                      <w:rFonts w:hint="eastAsia"/>
                      <w:szCs w:val="21"/>
                    </w:rPr>
                  </w:pPr>
                  <w:r>
                    <w:rPr>
                      <w:rFonts w:hint="eastAsia"/>
                      <w:szCs w:val="21"/>
                    </w:rPr>
                    <w:t>甲苯</w:t>
                  </w:r>
                </w:p>
              </w:tc>
              <w:tc>
                <w:tcPr>
                  <w:tcW w:w="4362" w:type="pct"/>
                  <w:noWrap w:val="0"/>
                  <w:vAlign w:val="center"/>
                </w:tcPr>
                <w:p w14:paraId="6414A841">
                  <w:pPr>
                    <w:jc w:val="left"/>
                    <w:rPr>
                      <w:rFonts w:hint="eastAsia"/>
                      <w:szCs w:val="21"/>
                    </w:rPr>
                  </w:pPr>
                  <w:r>
                    <w:rPr>
                      <w:rFonts w:hint="eastAsia"/>
                      <w:szCs w:val="21"/>
                    </w:rPr>
                    <w:t>甲苯（化学式：C</w:t>
                  </w:r>
                  <w:r>
                    <w:rPr>
                      <w:rFonts w:hint="eastAsia"/>
                      <w:szCs w:val="21"/>
                      <w:vertAlign w:val="subscript"/>
                    </w:rPr>
                    <w:t>7</w:t>
                  </w:r>
                  <w:r>
                    <w:rPr>
                      <w:rFonts w:hint="eastAsia"/>
                      <w:szCs w:val="21"/>
                    </w:rPr>
                    <w:t>H</w:t>
                  </w:r>
                  <w:r>
                    <w:rPr>
                      <w:rFonts w:hint="eastAsia"/>
                      <w:szCs w:val="21"/>
                      <w:vertAlign w:val="subscript"/>
                    </w:rPr>
                    <w:t>8</w:t>
                  </w:r>
                  <w:r>
                    <w:rPr>
                      <w:rFonts w:hint="eastAsia"/>
                      <w:szCs w:val="21"/>
                    </w:rPr>
                    <w:t>）是一种有机化合物，属于芳香族碳氢化合物。它是一种无色、具有特殊芳香气味的易挥发液体，具有强折光性。甲苯不溶于水，但可以与乙醇、乙醚、丙酮、氯仿、二硫化碳和冰乙酸混溶。它的熔点为-94.9℃，沸点为110.6℃，相对密度（水=1）为0.87。甲苯易燃，其蒸气能与空气形成爆炸性混合物，爆炸极限在1.2%至7.0%（体积比）之间。此外，甲苯具有低毒性，半数致死量（大鼠，经口）为5000mg/kg，高浓度气体具有麻醉性和刺激性。</w:t>
                  </w:r>
                </w:p>
              </w:tc>
            </w:tr>
            <w:tr w14:paraId="200F030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7" w:type="pct"/>
                  <w:noWrap w:val="0"/>
                  <w:vAlign w:val="center"/>
                </w:tcPr>
                <w:p w14:paraId="03B91EB6">
                  <w:pPr>
                    <w:adjustRightInd w:val="0"/>
                    <w:snapToGrid w:val="0"/>
                    <w:jc w:val="center"/>
                    <w:rPr>
                      <w:rFonts w:hint="eastAsia"/>
                      <w:szCs w:val="21"/>
                    </w:rPr>
                  </w:pPr>
                  <w:r>
                    <w:rPr>
                      <w:rFonts w:hint="eastAsia"/>
                      <w:szCs w:val="21"/>
                    </w:rPr>
                    <w:t>NMP</w:t>
                  </w:r>
                </w:p>
              </w:tc>
              <w:tc>
                <w:tcPr>
                  <w:tcW w:w="4362" w:type="pct"/>
                  <w:noWrap w:val="0"/>
                  <w:vAlign w:val="center"/>
                </w:tcPr>
                <w:p w14:paraId="763F0EB4">
                  <w:pPr>
                    <w:jc w:val="left"/>
                    <w:rPr>
                      <w:rFonts w:hint="eastAsia"/>
                      <w:szCs w:val="21"/>
                    </w:rPr>
                  </w:pPr>
                  <w:r>
                    <w:rPr>
                      <w:rFonts w:hint="eastAsia"/>
                      <w:szCs w:val="21"/>
                    </w:rPr>
                    <w:t>N-甲基吡咯烷酮（NMP）是一种有机化合物，化学式C5H9NO，摩尔质量99.13g/mol</w:t>
                  </w:r>
                </w:p>
                <w:p w14:paraId="4EC006E9">
                  <w:pPr>
                    <w:jc w:val="left"/>
                    <w:rPr>
                      <w:rFonts w:hint="eastAsia"/>
                      <w:szCs w:val="21"/>
                    </w:rPr>
                  </w:pPr>
                  <w:r>
                    <w:rPr>
                      <w:rFonts w:hint="eastAsia"/>
                      <w:szCs w:val="21"/>
                    </w:rPr>
                    <w:t>外观为无色至淡黄色透明液体，密度为1.028 g/cm³（25℃），熔点-24℃，沸点：202-204℃，闪点86.1±0.0℃，粘度1.65 mPa·s（25℃），易溶于水、乙醇、乙醚、丙酮、乙酸乙酯、氯仿和苯，能溶解大多数有机与无机化合物、极性气体、天然及合成高分子化合物。</w:t>
                  </w:r>
                </w:p>
              </w:tc>
            </w:tr>
            <w:tr w14:paraId="1A4C4C4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7" w:type="pct"/>
                  <w:noWrap w:val="0"/>
                  <w:vAlign w:val="center"/>
                </w:tcPr>
                <w:p w14:paraId="0E653244">
                  <w:pPr>
                    <w:adjustRightInd w:val="0"/>
                    <w:snapToGrid w:val="0"/>
                    <w:jc w:val="center"/>
                    <w:rPr>
                      <w:rFonts w:hint="eastAsia"/>
                      <w:szCs w:val="21"/>
                    </w:rPr>
                  </w:pPr>
                  <w:r>
                    <w:rPr>
                      <w:rStyle w:val="32"/>
                      <w:rFonts w:hint="eastAsia"/>
                      <w:kern w:val="0"/>
                      <w:szCs w:val="20"/>
                      <w:lang w:eastAsia="zh-CN"/>
                    </w:rPr>
                    <w:t>聚醚改性聚二甲基硅氧烷</w:t>
                  </w:r>
                </w:p>
              </w:tc>
              <w:tc>
                <w:tcPr>
                  <w:tcW w:w="4362" w:type="pct"/>
                  <w:noWrap w:val="0"/>
                  <w:vAlign w:val="center"/>
                </w:tcPr>
                <w:p w14:paraId="10315EAD">
                  <w:pPr>
                    <w:jc w:val="left"/>
                    <w:rPr>
                      <w:rFonts w:hint="eastAsia"/>
                      <w:szCs w:val="21"/>
                    </w:rPr>
                  </w:pPr>
                  <w:r>
                    <w:rPr>
                      <w:rFonts w:hint="eastAsia"/>
                      <w:szCs w:val="21"/>
                    </w:rPr>
                    <w:t>聚醚改性聚二甲基硅氧烷（简称聚醚硅油）是一种特殊的亲水基团聚醚改性的有机硅聚合物，它结合了有机硅高分子化合物的键能高、分子链柔软、表面张力低的特征，以及特定基团带来的化学活性。聚醚硅油的理化性质包括：外观</w:t>
                  </w:r>
                  <w:r>
                    <w:rPr>
                      <w:rFonts w:hint="eastAsia"/>
                      <w:szCs w:val="21"/>
                      <w:lang w:eastAsia="zh-CN"/>
                    </w:rPr>
                    <w:t>为</w:t>
                  </w:r>
                  <w:r>
                    <w:rPr>
                      <w:rFonts w:hint="eastAsia"/>
                      <w:szCs w:val="21"/>
                    </w:rPr>
                    <w:t>淡黄色透明液体。粘度：25-500。活性物含量：100%</w:t>
                  </w:r>
                  <w:r>
                    <w:rPr>
                      <w:rFonts w:hint="eastAsia"/>
                      <w:szCs w:val="21"/>
                      <w:lang w:eastAsia="zh-CN"/>
                    </w:rPr>
                    <w:t>。</w:t>
                  </w:r>
                  <w:r>
                    <w:rPr>
                      <w:rFonts w:hint="eastAsia"/>
                      <w:szCs w:val="21"/>
                    </w:rPr>
                    <w:t>浊点：-5%水溶液的浊点为85℃</w:t>
                  </w:r>
                  <w:r>
                    <w:rPr>
                      <w:rFonts w:hint="eastAsia"/>
                      <w:szCs w:val="21"/>
                      <w:lang w:eastAsia="zh-CN"/>
                    </w:rPr>
                    <w:t>。</w:t>
                  </w:r>
                  <w:r>
                    <w:rPr>
                      <w:rFonts w:hint="eastAsia"/>
                      <w:szCs w:val="21"/>
                    </w:rPr>
                    <w:t>折光率：25℃时的折光率为1.4475。</w:t>
                  </w:r>
                </w:p>
              </w:tc>
            </w:tr>
          </w:tbl>
          <w:p w14:paraId="764C521E">
            <w:pPr>
              <w:adjustRightInd w:val="0"/>
              <w:snapToGrid w:val="0"/>
              <w:ind w:firstLine="482" w:firstLineChars="200"/>
              <w:rPr>
                <w:rFonts w:hint="eastAsia"/>
                <w:b/>
                <w:sz w:val="24"/>
              </w:rPr>
            </w:pPr>
          </w:p>
          <w:p w14:paraId="24E54A5A">
            <w:pPr>
              <w:spacing w:line="360" w:lineRule="auto"/>
              <w:ind w:firstLine="480" w:firstLineChars="200"/>
              <w:rPr>
                <w:rFonts w:hint="eastAsia"/>
                <w:i/>
                <w:iCs/>
                <w:sz w:val="24"/>
                <w:u w:val="single"/>
              </w:rPr>
            </w:pPr>
            <w:r>
              <w:rPr>
                <w:rFonts w:hint="eastAsia"/>
                <w:sz w:val="24"/>
              </w:rPr>
              <w:t>喷涂实验漆料平衡表和甲苯平衡详见下表：</w:t>
            </w:r>
          </w:p>
          <w:p w14:paraId="7D15D78F">
            <w:pPr>
              <w:jc w:val="center"/>
              <w:rPr>
                <w:b/>
                <w:bCs/>
                <w:i/>
                <w:iCs/>
                <w:sz w:val="24"/>
                <w:u w:val="single"/>
              </w:rPr>
            </w:pPr>
            <w:r>
              <w:rPr>
                <w:b/>
                <w:bCs/>
                <w:i/>
                <w:iCs/>
                <w:sz w:val="24"/>
                <w:u w:val="single"/>
              </w:rPr>
              <w:t>表</w:t>
            </w:r>
            <w:r>
              <w:rPr>
                <w:rFonts w:hint="eastAsia"/>
                <w:b/>
                <w:bCs/>
                <w:i/>
                <w:iCs/>
                <w:sz w:val="24"/>
                <w:u w:val="single"/>
              </w:rPr>
              <w:t>2-5</w:t>
            </w:r>
            <w:r>
              <w:rPr>
                <w:b/>
                <w:bCs/>
                <w:i/>
                <w:iCs/>
                <w:sz w:val="24"/>
                <w:u w:val="single"/>
              </w:rPr>
              <w:t xml:space="preserve">  漆料物料平衡表</w:t>
            </w:r>
          </w:p>
          <w:tbl>
            <w:tblPr>
              <w:tblStyle w:val="27"/>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80"/>
              <w:gridCol w:w="1340"/>
              <w:gridCol w:w="2028"/>
              <w:gridCol w:w="1527"/>
              <w:gridCol w:w="1334"/>
              <w:gridCol w:w="1338"/>
            </w:tblGrid>
            <w:tr w14:paraId="396B4D2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pct"/>
                  <w:noWrap w:val="0"/>
                  <w:vAlign w:val="center"/>
                </w:tcPr>
                <w:p w14:paraId="7D42CCBD">
                  <w:pPr>
                    <w:widowControl/>
                    <w:jc w:val="center"/>
                    <w:rPr>
                      <w:i/>
                      <w:iCs/>
                      <w:kern w:val="0"/>
                      <w:szCs w:val="21"/>
                      <w:u w:val="single"/>
                    </w:rPr>
                  </w:pPr>
                  <w:r>
                    <w:rPr>
                      <w:i/>
                      <w:iCs/>
                      <w:kern w:val="0"/>
                      <w:szCs w:val="21"/>
                      <w:u w:val="single"/>
                    </w:rPr>
                    <w:t>投入物料</w:t>
                  </w:r>
                </w:p>
              </w:tc>
              <w:tc>
                <w:tcPr>
                  <w:tcW w:w="732" w:type="pct"/>
                  <w:noWrap w:val="0"/>
                  <w:vAlign w:val="center"/>
                </w:tcPr>
                <w:p w14:paraId="6C325D0F">
                  <w:pPr>
                    <w:widowControl/>
                    <w:jc w:val="center"/>
                    <w:rPr>
                      <w:i/>
                      <w:iCs/>
                      <w:kern w:val="0"/>
                      <w:szCs w:val="21"/>
                      <w:u w:val="single"/>
                    </w:rPr>
                  </w:pPr>
                  <w:r>
                    <w:rPr>
                      <w:i/>
                      <w:iCs/>
                      <w:kern w:val="0"/>
                      <w:szCs w:val="21"/>
                      <w:u w:val="single"/>
                    </w:rPr>
                    <w:t>投入量（t/a）</w:t>
                  </w:r>
                </w:p>
              </w:tc>
              <w:tc>
                <w:tcPr>
                  <w:tcW w:w="1108" w:type="pct"/>
                  <w:noWrap w:val="0"/>
                  <w:vAlign w:val="center"/>
                </w:tcPr>
                <w:p w14:paraId="6F76A062">
                  <w:pPr>
                    <w:widowControl/>
                    <w:jc w:val="center"/>
                    <w:rPr>
                      <w:rFonts w:hint="eastAsia" w:eastAsia="宋体"/>
                      <w:i/>
                      <w:iCs/>
                      <w:kern w:val="0"/>
                      <w:szCs w:val="21"/>
                      <w:u w:val="single"/>
                      <w:lang w:eastAsia="zh-CN"/>
                    </w:rPr>
                  </w:pPr>
                  <w:r>
                    <w:rPr>
                      <w:rFonts w:hint="eastAsia"/>
                      <w:i/>
                      <w:iCs/>
                      <w:kern w:val="0"/>
                      <w:szCs w:val="21"/>
                      <w:u w:val="single"/>
                      <w:lang w:eastAsia="zh-CN"/>
                    </w:rPr>
                    <w:t>实验漆料产量</w:t>
                  </w:r>
                  <w:r>
                    <w:rPr>
                      <w:i/>
                      <w:iCs/>
                      <w:kern w:val="0"/>
                      <w:szCs w:val="21"/>
                      <w:u w:val="single"/>
                    </w:rPr>
                    <w:t>（t/a）</w:t>
                  </w:r>
                </w:p>
              </w:tc>
              <w:tc>
                <w:tcPr>
                  <w:tcW w:w="1563" w:type="pct"/>
                  <w:gridSpan w:val="2"/>
                  <w:noWrap w:val="0"/>
                  <w:vAlign w:val="center"/>
                </w:tcPr>
                <w:p w14:paraId="5E1CA314">
                  <w:pPr>
                    <w:widowControl/>
                    <w:jc w:val="center"/>
                    <w:rPr>
                      <w:rFonts w:hint="eastAsia" w:eastAsia="宋体"/>
                      <w:i/>
                      <w:iCs/>
                      <w:kern w:val="0"/>
                      <w:szCs w:val="21"/>
                      <w:u w:val="single"/>
                      <w:lang w:eastAsia="zh-CN"/>
                    </w:rPr>
                  </w:pPr>
                  <w:r>
                    <w:rPr>
                      <w:rFonts w:hint="eastAsia"/>
                      <w:i/>
                      <w:iCs/>
                      <w:kern w:val="0"/>
                      <w:szCs w:val="21"/>
                      <w:u w:val="single"/>
                      <w:lang w:eastAsia="zh-CN"/>
                    </w:rPr>
                    <w:t>漆料去向</w:t>
                  </w:r>
                </w:p>
              </w:tc>
              <w:tc>
                <w:tcPr>
                  <w:tcW w:w="731" w:type="pct"/>
                  <w:noWrap w:val="0"/>
                  <w:vAlign w:val="center"/>
                </w:tcPr>
                <w:p w14:paraId="75148B64">
                  <w:pPr>
                    <w:widowControl/>
                    <w:jc w:val="center"/>
                    <w:rPr>
                      <w:i/>
                      <w:iCs/>
                      <w:kern w:val="0"/>
                      <w:szCs w:val="21"/>
                      <w:u w:val="single"/>
                    </w:rPr>
                  </w:pPr>
                  <w:r>
                    <w:rPr>
                      <w:i/>
                      <w:iCs/>
                      <w:kern w:val="0"/>
                      <w:szCs w:val="21"/>
                      <w:u w:val="single"/>
                    </w:rPr>
                    <w:t>产出量（t/a）</w:t>
                  </w:r>
                </w:p>
              </w:tc>
            </w:tr>
            <w:tr w14:paraId="0B65843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pct"/>
                  <w:vMerge w:val="restart"/>
                  <w:noWrap w:val="0"/>
                  <w:vAlign w:val="center"/>
                </w:tcPr>
                <w:p w14:paraId="559EE860">
                  <w:pPr>
                    <w:jc w:val="center"/>
                    <w:rPr>
                      <w:rFonts w:hint="eastAsia"/>
                      <w:i/>
                      <w:iCs/>
                      <w:szCs w:val="21"/>
                      <w:u w:val="single"/>
                    </w:rPr>
                  </w:pPr>
                  <w:r>
                    <w:rPr>
                      <w:rFonts w:hint="eastAsia"/>
                      <w:i/>
                      <w:iCs/>
                      <w:szCs w:val="21"/>
                      <w:u w:val="single"/>
                    </w:rPr>
                    <w:t>聚</w:t>
                  </w:r>
                  <w:r>
                    <w:rPr>
                      <w:rFonts w:hint="eastAsia"/>
                      <w:i/>
                      <w:iCs/>
                      <w:szCs w:val="21"/>
                      <w:u w:val="single"/>
                      <w:lang w:eastAsia="zh-CN"/>
                    </w:rPr>
                    <w:t>醚</w:t>
                  </w:r>
                  <w:r>
                    <w:rPr>
                      <w:rFonts w:hint="eastAsia"/>
                      <w:i/>
                      <w:iCs/>
                      <w:szCs w:val="21"/>
                      <w:u w:val="single"/>
                    </w:rPr>
                    <w:t>醚酮树脂石墨（颜料）</w:t>
                  </w:r>
                </w:p>
                <w:p w14:paraId="5EFF9E5A">
                  <w:pPr>
                    <w:jc w:val="center"/>
                    <w:rPr>
                      <w:rFonts w:hint="eastAsia"/>
                      <w:i/>
                      <w:iCs/>
                      <w:szCs w:val="21"/>
                      <w:u w:val="single"/>
                    </w:rPr>
                  </w:pPr>
                  <w:r>
                    <w:rPr>
                      <w:rFonts w:hint="eastAsia"/>
                      <w:i/>
                      <w:iCs/>
                      <w:szCs w:val="21"/>
                      <w:u w:val="single"/>
                      <w:lang w:eastAsia="zh-CN"/>
                    </w:rPr>
                    <w:t>炭黑</w:t>
                  </w:r>
                  <w:r>
                    <w:rPr>
                      <w:rFonts w:hint="eastAsia"/>
                      <w:i/>
                      <w:iCs/>
                      <w:szCs w:val="21"/>
                      <w:u w:val="single"/>
                    </w:rPr>
                    <w:t>（颜料）</w:t>
                  </w:r>
                </w:p>
                <w:p w14:paraId="70292550">
                  <w:pPr>
                    <w:jc w:val="center"/>
                    <w:rPr>
                      <w:rFonts w:hint="eastAsia" w:ascii="Times New Roman" w:hAnsi="Times New Roman" w:eastAsia="宋体" w:cs="Times New Roman"/>
                      <w:i/>
                      <w:iCs/>
                      <w:u w:val="single"/>
                    </w:rPr>
                  </w:pPr>
                  <w:r>
                    <w:rPr>
                      <w:rFonts w:hint="eastAsia"/>
                      <w:i/>
                      <w:iCs/>
                      <w:szCs w:val="21"/>
                      <w:u w:val="single"/>
                    </w:rPr>
                    <w:t>钛白（填料）</w:t>
                  </w:r>
                  <w:r>
                    <w:rPr>
                      <w:rFonts w:hint="eastAsia" w:ascii="Times New Roman" w:hAnsi="Times New Roman" w:eastAsia="宋体" w:cs="Times New Roman"/>
                      <w:i/>
                      <w:iCs/>
                      <w:u w:val="single"/>
                    </w:rPr>
                    <w:t>DMAC</w:t>
                  </w:r>
                </w:p>
                <w:p w14:paraId="660E2495">
                  <w:pPr>
                    <w:spacing w:line="240" w:lineRule="auto"/>
                    <w:jc w:val="center"/>
                    <w:rPr>
                      <w:rFonts w:hint="eastAsia" w:ascii="Times New Roman" w:hAnsi="Times New Roman" w:eastAsia="宋体" w:cs="Times New Roman"/>
                      <w:i/>
                      <w:iCs/>
                      <w:u w:val="single"/>
                    </w:rPr>
                  </w:pPr>
                  <w:r>
                    <w:rPr>
                      <w:rFonts w:hint="eastAsia" w:ascii="Times New Roman" w:hAnsi="Times New Roman" w:eastAsia="宋体" w:cs="Times New Roman"/>
                      <w:i/>
                      <w:iCs/>
                      <w:u w:val="single"/>
                    </w:rPr>
                    <w:t>NMP</w:t>
                  </w:r>
                </w:p>
                <w:p w14:paraId="5D093619">
                  <w:pPr>
                    <w:spacing w:line="240" w:lineRule="auto"/>
                    <w:jc w:val="center"/>
                    <w:rPr>
                      <w:rFonts w:hint="eastAsia" w:ascii="Times New Roman" w:hAnsi="Times New Roman" w:eastAsia="宋体" w:cs="Times New Roman"/>
                      <w:i/>
                      <w:iCs/>
                      <w:u w:val="single"/>
                      <w:lang w:eastAsia="zh-CN"/>
                    </w:rPr>
                  </w:pPr>
                  <w:r>
                    <w:rPr>
                      <w:rFonts w:hint="eastAsia" w:ascii="Times New Roman" w:hAnsi="Times New Roman" w:eastAsia="宋体" w:cs="Times New Roman"/>
                      <w:i/>
                      <w:iCs/>
                      <w:u w:val="single"/>
                      <w:lang w:eastAsia="zh-CN"/>
                    </w:rPr>
                    <w:t>甲苯</w:t>
                  </w:r>
                </w:p>
              </w:tc>
              <w:tc>
                <w:tcPr>
                  <w:tcW w:w="732" w:type="pct"/>
                  <w:vMerge w:val="restart"/>
                  <w:noWrap w:val="0"/>
                  <w:vAlign w:val="center"/>
                </w:tcPr>
                <w:p w14:paraId="3C06347C">
                  <w:pPr>
                    <w:jc w:val="center"/>
                    <w:rPr>
                      <w:rFonts w:hint="eastAsia"/>
                      <w:i/>
                      <w:iCs/>
                      <w:kern w:val="0"/>
                      <w:szCs w:val="21"/>
                      <w:u w:val="single"/>
                      <w:lang w:val="en-US" w:eastAsia="zh-CN"/>
                    </w:rPr>
                  </w:pPr>
                  <w:r>
                    <w:rPr>
                      <w:rFonts w:hint="eastAsia"/>
                      <w:i/>
                      <w:iCs/>
                      <w:kern w:val="0"/>
                      <w:szCs w:val="21"/>
                      <w:u w:val="single"/>
                      <w:lang w:val="en-US" w:eastAsia="zh-CN"/>
                    </w:rPr>
                    <w:t>0.4</w:t>
                  </w:r>
                </w:p>
                <w:p w14:paraId="5459EC9A">
                  <w:pPr>
                    <w:jc w:val="center"/>
                    <w:rPr>
                      <w:rFonts w:hint="eastAsia"/>
                      <w:i/>
                      <w:iCs/>
                      <w:kern w:val="0"/>
                      <w:szCs w:val="21"/>
                      <w:u w:val="single"/>
                      <w:lang w:val="en-US" w:eastAsia="zh-CN"/>
                    </w:rPr>
                  </w:pPr>
                  <w:r>
                    <w:rPr>
                      <w:rFonts w:hint="eastAsia"/>
                      <w:i/>
                      <w:iCs/>
                      <w:kern w:val="0"/>
                      <w:szCs w:val="21"/>
                      <w:u w:val="single"/>
                      <w:lang w:val="en-US" w:eastAsia="zh-CN"/>
                    </w:rPr>
                    <w:t>0.03</w:t>
                  </w:r>
                </w:p>
                <w:p w14:paraId="7A27397D">
                  <w:pPr>
                    <w:jc w:val="center"/>
                    <w:rPr>
                      <w:rFonts w:hint="eastAsia"/>
                      <w:i/>
                      <w:iCs/>
                      <w:kern w:val="0"/>
                      <w:szCs w:val="21"/>
                      <w:u w:val="single"/>
                      <w:lang w:val="en-US" w:eastAsia="zh-CN"/>
                    </w:rPr>
                  </w:pPr>
                  <w:r>
                    <w:rPr>
                      <w:rFonts w:hint="eastAsia"/>
                      <w:i/>
                      <w:iCs/>
                      <w:kern w:val="0"/>
                      <w:szCs w:val="21"/>
                      <w:u w:val="single"/>
                      <w:lang w:val="en-US" w:eastAsia="zh-CN"/>
                    </w:rPr>
                    <w:t>0.03</w:t>
                  </w:r>
                </w:p>
                <w:p w14:paraId="69AB1AE5">
                  <w:pPr>
                    <w:jc w:val="center"/>
                    <w:rPr>
                      <w:rFonts w:hint="eastAsia"/>
                      <w:i/>
                      <w:iCs/>
                      <w:kern w:val="0"/>
                      <w:szCs w:val="21"/>
                      <w:u w:val="single"/>
                      <w:lang w:val="en-US" w:eastAsia="zh-CN"/>
                    </w:rPr>
                  </w:pPr>
                  <w:r>
                    <w:rPr>
                      <w:rFonts w:hint="eastAsia"/>
                      <w:i/>
                      <w:iCs/>
                      <w:kern w:val="0"/>
                      <w:szCs w:val="21"/>
                      <w:u w:val="single"/>
                      <w:lang w:val="en-US" w:eastAsia="zh-CN"/>
                    </w:rPr>
                    <w:t>0.04</w:t>
                  </w:r>
                </w:p>
                <w:p w14:paraId="3E6A79A3">
                  <w:pPr>
                    <w:jc w:val="center"/>
                    <w:rPr>
                      <w:rFonts w:hint="eastAsia"/>
                      <w:i/>
                      <w:iCs/>
                      <w:kern w:val="0"/>
                      <w:szCs w:val="21"/>
                      <w:u w:val="single"/>
                      <w:lang w:val="en-US" w:eastAsia="zh-CN"/>
                    </w:rPr>
                  </w:pPr>
                  <w:r>
                    <w:rPr>
                      <w:rFonts w:hint="eastAsia"/>
                      <w:i/>
                      <w:iCs/>
                      <w:kern w:val="0"/>
                      <w:szCs w:val="21"/>
                      <w:u w:val="single"/>
                      <w:lang w:val="en-US" w:eastAsia="zh-CN"/>
                    </w:rPr>
                    <w:t>0.4</w:t>
                  </w:r>
                </w:p>
                <w:p w14:paraId="26F907D8">
                  <w:pPr>
                    <w:jc w:val="center"/>
                    <w:rPr>
                      <w:rFonts w:hint="eastAsia"/>
                      <w:i/>
                      <w:iCs/>
                      <w:kern w:val="0"/>
                      <w:szCs w:val="21"/>
                      <w:u w:val="single"/>
                      <w:lang w:val="en-US" w:eastAsia="zh-CN"/>
                    </w:rPr>
                  </w:pPr>
                  <w:r>
                    <w:rPr>
                      <w:rFonts w:hint="eastAsia"/>
                      <w:i/>
                      <w:iCs/>
                      <w:kern w:val="0"/>
                      <w:szCs w:val="21"/>
                      <w:u w:val="single"/>
                      <w:lang w:val="en-US" w:eastAsia="zh-CN"/>
                    </w:rPr>
                    <w:t>0.68</w:t>
                  </w:r>
                </w:p>
                <w:p w14:paraId="3574D6A0">
                  <w:pPr>
                    <w:jc w:val="center"/>
                    <w:rPr>
                      <w:rFonts w:hint="default"/>
                      <w:i/>
                      <w:iCs/>
                      <w:kern w:val="0"/>
                      <w:szCs w:val="21"/>
                      <w:u w:val="single"/>
                      <w:lang w:val="en-US" w:eastAsia="zh-CN"/>
                    </w:rPr>
                  </w:pPr>
                  <w:r>
                    <w:rPr>
                      <w:rFonts w:hint="eastAsia"/>
                      <w:i/>
                      <w:iCs/>
                      <w:kern w:val="0"/>
                      <w:szCs w:val="21"/>
                      <w:u w:val="single"/>
                      <w:lang w:val="en-US" w:eastAsia="zh-CN"/>
                    </w:rPr>
                    <w:t>0.4</w:t>
                  </w:r>
                </w:p>
              </w:tc>
              <w:tc>
                <w:tcPr>
                  <w:tcW w:w="1108" w:type="pct"/>
                  <w:vMerge w:val="restart"/>
                  <w:noWrap w:val="0"/>
                  <w:vAlign w:val="center"/>
                </w:tcPr>
                <w:p w14:paraId="1B4827E6">
                  <w:pPr>
                    <w:jc w:val="center"/>
                    <w:rPr>
                      <w:rFonts w:hint="eastAsia" w:eastAsia="宋体"/>
                      <w:i/>
                      <w:iCs/>
                      <w:kern w:val="0"/>
                      <w:szCs w:val="21"/>
                      <w:u w:val="single"/>
                      <w:lang w:val="en-US" w:eastAsia="zh-CN"/>
                    </w:rPr>
                  </w:pPr>
                  <w:r>
                    <w:rPr>
                      <w:rFonts w:hint="eastAsia"/>
                      <w:i/>
                      <w:iCs/>
                      <w:kern w:val="0"/>
                      <w:szCs w:val="21"/>
                      <w:u w:val="single"/>
                      <w:lang w:val="en-US" w:eastAsia="zh-CN"/>
                    </w:rPr>
                    <w:t>2</w:t>
                  </w:r>
                </w:p>
              </w:tc>
              <w:tc>
                <w:tcPr>
                  <w:tcW w:w="1563" w:type="pct"/>
                  <w:gridSpan w:val="2"/>
                  <w:noWrap w:val="0"/>
                  <w:vAlign w:val="center"/>
                </w:tcPr>
                <w:p w14:paraId="2EA0EBFA">
                  <w:pPr>
                    <w:widowControl/>
                    <w:jc w:val="center"/>
                    <w:rPr>
                      <w:rFonts w:hint="eastAsia"/>
                      <w:i/>
                      <w:iCs/>
                      <w:kern w:val="0"/>
                      <w:sz w:val="21"/>
                      <w:szCs w:val="21"/>
                      <w:u w:val="single"/>
                      <w:lang w:val="en-US" w:eastAsia="zh-CN" w:bidi="ar-SA"/>
                    </w:rPr>
                  </w:pPr>
                  <w:r>
                    <w:rPr>
                      <w:rFonts w:hint="eastAsia"/>
                      <w:i/>
                      <w:iCs/>
                      <w:kern w:val="0"/>
                      <w:szCs w:val="21"/>
                      <w:u w:val="single"/>
                    </w:rPr>
                    <w:t>附着基材</w:t>
                  </w:r>
                </w:p>
              </w:tc>
              <w:tc>
                <w:tcPr>
                  <w:tcW w:w="731" w:type="pct"/>
                  <w:noWrap w:val="0"/>
                  <w:vAlign w:val="center"/>
                </w:tcPr>
                <w:p w14:paraId="2BDCBFB3">
                  <w:pPr>
                    <w:widowControl/>
                    <w:jc w:val="center"/>
                    <w:rPr>
                      <w:rFonts w:hint="default" w:eastAsia="宋体"/>
                      <w:i/>
                      <w:iCs/>
                      <w:kern w:val="0"/>
                      <w:sz w:val="21"/>
                      <w:szCs w:val="21"/>
                      <w:u w:val="single"/>
                      <w:lang w:val="en-US" w:eastAsia="zh-CN" w:bidi="ar-SA"/>
                    </w:rPr>
                  </w:pPr>
                  <w:r>
                    <w:rPr>
                      <w:rFonts w:hint="eastAsia"/>
                      <w:i/>
                      <w:iCs/>
                      <w:kern w:val="0"/>
                      <w:szCs w:val="21"/>
                      <w:u w:val="single"/>
                      <w:lang w:val="en-US" w:eastAsia="zh-CN"/>
                    </w:rPr>
                    <w:t>0.364</w:t>
                  </w:r>
                </w:p>
              </w:tc>
            </w:tr>
            <w:tr w14:paraId="1633695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pct"/>
                  <w:vMerge w:val="continue"/>
                  <w:noWrap w:val="0"/>
                  <w:vAlign w:val="center"/>
                </w:tcPr>
                <w:p w14:paraId="7F79AA64">
                  <w:pPr>
                    <w:widowControl/>
                    <w:jc w:val="center"/>
                    <w:rPr>
                      <w:i/>
                      <w:iCs/>
                      <w:szCs w:val="21"/>
                      <w:u w:val="single"/>
                    </w:rPr>
                  </w:pPr>
                </w:p>
              </w:tc>
              <w:tc>
                <w:tcPr>
                  <w:tcW w:w="732" w:type="pct"/>
                  <w:vMerge w:val="continue"/>
                  <w:noWrap w:val="0"/>
                  <w:vAlign w:val="center"/>
                </w:tcPr>
                <w:p w14:paraId="14DE14E2">
                  <w:pPr>
                    <w:jc w:val="center"/>
                    <w:rPr>
                      <w:i/>
                      <w:iCs/>
                      <w:u w:val="single"/>
                    </w:rPr>
                  </w:pPr>
                </w:p>
              </w:tc>
              <w:tc>
                <w:tcPr>
                  <w:tcW w:w="1108" w:type="pct"/>
                  <w:vMerge w:val="continue"/>
                  <w:noWrap w:val="0"/>
                  <w:vAlign w:val="center"/>
                </w:tcPr>
                <w:p w14:paraId="61A97EBB">
                  <w:pPr>
                    <w:jc w:val="center"/>
                    <w:rPr>
                      <w:i/>
                      <w:iCs/>
                      <w:u w:val="single"/>
                    </w:rPr>
                  </w:pPr>
                </w:p>
              </w:tc>
              <w:tc>
                <w:tcPr>
                  <w:tcW w:w="1563" w:type="pct"/>
                  <w:gridSpan w:val="2"/>
                  <w:noWrap w:val="0"/>
                  <w:vAlign w:val="center"/>
                </w:tcPr>
                <w:p w14:paraId="1F78625C">
                  <w:pPr>
                    <w:widowControl/>
                    <w:jc w:val="center"/>
                    <w:rPr>
                      <w:i/>
                      <w:iCs/>
                      <w:kern w:val="0"/>
                      <w:szCs w:val="21"/>
                      <w:u w:val="single"/>
                    </w:rPr>
                  </w:pPr>
                  <w:r>
                    <w:rPr>
                      <w:i/>
                      <w:iCs/>
                      <w:kern w:val="0"/>
                      <w:szCs w:val="21"/>
                      <w:u w:val="single"/>
                    </w:rPr>
                    <w:t>漆渣</w:t>
                  </w:r>
                </w:p>
              </w:tc>
              <w:tc>
                <w:tcPr>
                  <w:tcW w:w="731" w:type="pct"/>
                  <w:noWrap w:val="0"/>
                  <w:vAlign w:val="center"/>
                </w:tcPr>
                <w:p w14:paraId="1C1D7607">
                  <w:pPr>
                    <w:widowControl/>
                    <w:jc w:val="center"/>
                    <w:rPr>
                      <w:i/>
                      <w:iCs/>
                      <w:kern w:val="0"/>
                      <w:szCs w:val="21"/>
                      <w:u w:val="single"/>
                    </w:rPr>
                  </w:pPr>
                  <w:r>
                    <w:rPr>
                      <w:rFonts w:hint="eastAsia"/>
                      <w:i/>
                      <w:iCs/>
                      <w:kern w:val="0"/>
                      <w:szCs w:val="21"/>
                      <w:u w:val="single"/>
                    </w:rPr>
                    <w:t>0.008</w:t>
                  </w:r>
                </w:p>
              </w:tc>
            </w:tr>
            <w:tr w14:paraId="328CEE0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3" w:type="pct"/>
                  <w:vMerge w:val="continue"/>
                  <w:noWrap w:val="0"/>
                  <w:vAlign w:val="center"/>
                </w:tcPr>
                <w:p w14:paraId="0EAD16A5">
                  <w:pPr>
                    <w:jc w:val="center"/>
                    <w:rPr>
                      <w:i/>
                      <w:iCs/>
                      <w:kern w:val="0"/>
                      <w:szCs w:val="21"/>
                      <w:u w:val="single"/>
                    </w:rPr>
                  </w:pPr>
                </w:p>
              </w:tc>
              <w:tc>
                <w:tcPr>
                  <w:tcW w:w="732" w:type="pct"/>
                  <w:vMerge w:val="continue"/>
                  <w:noWrap w:val="0"/>
                  <w:vAlign w:val="center"/>
                </w:tcPr>
                <w:p w14:paraId="2A006AD3">
                  <w:pPr>
                    <w:widowControl/>
                    <w:jc w:val="center"/>
                    <w:rPr>
                      <w:i/>
                      <w:iCs/>
                      <w:kern w:val="0"/>
                      <w:szCs w:val="21"/>
                      <w:u w:val="single"/>
                    </w:rPr>
                  </w:pPr>
                </w:p>
              </w:tc>
              <w:tc>
                <w:tcPr>
                  <w:tcW w:w="1108" w:type="pct"/>
                  <w:vMerge w:val="continue"/>
                  <w:noWrap w:val="0"/>
                  <w:vAlign w:val="center"/>
                </w:tcPr>
                <w:p w14:paraId="23539C98">
                  <w:pPr>
                    <w:widowControl/>
                    <w:jc w:val="center"/>
                    <w:rPr>
                      <w:i/>
                      <w:iCs/>
                      <w:kern w:val="0"/>
                      <w:szCs w:val="21"/>
                      <w:u w:val="single"/>
                    </w:rPr>
                  </w:pPr>
                </w:p>
              </w:tc>
              <w:tc>
                <w:tcPr>
                  <w:tcW w:w="834" w:type="pct"/>
                  <w:vMerge w:val="restart"/>
                  <w:noWrap w:val="0"/>
                  <w:vAlign w:val="center"/>
                </w:tcPr>
                <w:p w14:paraId="43AD82EB">
                  <w:pPr>
                    <w:widowControl/>
                    <w:jc w:val="center"/>
                    <w:rPr>
                      <w:i/>
                      <w:iCs/>
                      <w:kern w:val="0"/>
                      <w:szCs w:val="21"/>
                      <w:u w:val="single"/>
                    </w:rPr>
                  </w:pPr>
                  <w:r>
                    <w:rPr>
                      <w:i/>
                      <w:iCs/>
                      <w:kern w:val="0"/>
                      <w:szCs w:val="21"/>
                      <w:u w:val="single"/>
                    </w:rPr>
                    <w:t>排气筒</w:t>
                  </w:r>
                  <w:r>
                    <w:rPr>
                      <w:rFonts w:hint="eastAsia"/>
                      <w:i/>
                      <w:iCs/>
                      <w:kern w:val="0"/>
                      <w:szCs w:val="21"/>
                      <w:u w:val="single"/>
                    </w:rPr>
                    <w:t>DA002</w:t>
                  </w:r>
                </w:p>
              </w:tc>
              <w:tc>
                <w:tcPr>
                  <w:tcW w:w="729" w:type="pct"/>
                  <w:noWrap w:val="0"/>
                  <w:vAlign w:val="center"/>
                </w:tcPr>
                <w:p w14:paraId="684BA979">
                  <w:pPr>
                    <w:widowControl/>
                    <w:jc w:val="center"/>
                    <w:rPr>
                      <w:i/>
                      <w:iCs/>
                      <w:kern w:val="0"/>
                      <w:szCs w:val="21"/>
                      <w:u w:val="single"/>
                    </w:rPr>
                  </w:pPr>
                  <w:r>
                    <w:rPr>
                      <w:i/>
                      <w:iCs/>
                      <w:kern w:val="0"/>
                      <w:szCs w:val="21"/>
                      <w:u w:val="single"/>
                    </w:rPr>
                    <w:t>漆雾</w:t>
                  </w:r>
                </w:p>
              </w:tc>
              <w:tc>
                <w:tcPr>
                  <w:tcW w:w="731" w:type="pct"/>
                  <w:noWrap w:val="0"/>
                  <w:vAlign w:val="center"/>
                </w:tcPr>
                <w:p w14:paraId="22BFE48E">
                  <w:pPr>
                    <w:widowControl/>
                    <w:jc w:val="center"/>
                    <w:rPr>
                      <w:rFonts w:hint="default" w:eastAsia="宋体"/>
                      <w:i/>
                      <w:iCs/>
                      <w:kern w:val="0"/>
                      <w:szCs w:val="21"/>
                      <w:u w:val="single"/>
                      <w:lang w:val="en-US" w:eastAsia="zh-CN"/>
                    </w:rPr>
                  </w:pPr>
                  <w:r>
                    <w:rPr>
                      <w:rFonts w:hint="eastAsia"/>
                      <w:i/>
                      <w:iCs/>
                      <w:kern w:val="0"/>
                      <w:szCs w:val="21"/>
                      <w:u w:val="single"/>
                      <w:lang w:val="en-US" w:eastAsia="zh-CN"/>
                    </w:rPr>
                    <w:t>0.014</w:t>
                  </w:r>
                </w:p>
              </w:tc>
            </w:tr>
            <w:tr w14:paraId="3D16DEC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pct"/>
                  <w:vMerge w:val="continue"/>
                  <w:noWrap w:val="0"/>
                  <w:vAlign w:val="center"/>
                </w:tcPr>
                <w:p w14:paraId="531B2D7E">
                  <w:pPr>
                    <w:jc w:val="center"/>
                    <w:rPr>
                      <w:i/>
                      <w:iCs/>
                      <w:szCs w:val="21"/>
                      <w:u w:val="single"/>
                    </w:rPr>
                  </w:pPr>
                </w:p>
              </w:tc>
              <w:tc>
                <w:tcPr>
                  <w:tcW w:w="732" w:type="pct"/>
                  <w:vMerge w:val="continue"/>
                  <w:noWrap w:val="0"/>
                  <w:vAlign w:val="center"/>
                </w:tcPr>
                <w:p w14:paraId="5EDC551E">
                  <w:pPr>
                    <w:jc w:val="center"/>
                    <w:rPr>
                      <w:i/>
                      <w:iCs/>
                      <w:u w:val="single"/>
                    </w:rPr>
                  </w:pPr>
                </w:p>
              </w:tc>
              <w:tc>
                <w:tcPr>
                  <w:tcW w:w="1108" w:type="pct"/>
                  <w:vMerge w:val="continue"/>
                  <w:noWrap w:val="0"/>
                  <w:vAlign w:val="center"/>
                </w:tcPr>
                <w:p w14:paraId="6D301CB5">
                  <w:pPr>
                    <w:jc w:val="center"/>
                    <w:rPr>
                      <w:i/>
                      <w:iCs/>
                      <w:u w:val="single"/>
                    </w:rPr>
                  </w:pPr>
                </w:p>
              </w:tc>
              <w:tc>
                <w:tcPr>
                  <w:tcW w:w="834" w:type="pct"/>
                  <w:vMerge w:val="continue"/>
                  <w:noWrap w:val="0"/>
                  <w:vAlign w:val="center"/>
                </w:tcPr>
                <w:p w14:paraId="305D3A40">
                  <w:pPr>
                    <w:widowControl/>
                    <w:jc w:val="center"/>
                    <w:rPr>
                      <w:i/>
                      <w:iCs/>
                      <w:kern w:val="0"/>
                      <w:szCs w:val="21"/>
                      <w:u w:val="single"/>
                    </w:rPr>
                  </w:pPr>
                </w:p>
              </w:tc>
              <w:tc>
                <w:tcPr>
                  <w:tcW w:w="729" w:type="pct"/>
                  <w:noWrap w:val="0"/>
                  <w:vAlign w:val="center"/>
                </w:tcPr>
                <w:p w14:paraId="20851559">
                  <w:pPr>
                    <w:widowControl/>
                    <w:jc w:val="center"/>
                    <w:rPr>
                      <w:i/>
                      <w:iCs/>
                      <w:kern w:val="0"/>
                      <w:szCs w:val="21"/>
                      <w:u w:val="single"/>
                    </w:rPr>
                  </w:pPr>
                  <w:r>
                    <w:rPr>
                      <w:i/>
                      <w:iCs/>
                      <w:kern w:val="0"/>
                      <w:szCs w:val="21"/>
                      <w:u w:val="single"/>
                    </w:rPr>
                    <w:t>NMHC</w:t>
                  </w:r>
                </w:p>
              </w:tc>
              <w:tc>
                <w:tcPr>
                  <w:tcW w:w="731" w:type="pct"/>
                  <w:noWrap w:val="0"/>
                  <w:vAlign w:val="center"/>
                </w:tcPr>
                <w:p w14:paraId="1A024FEA">
                  <w:pPr>
                    <w:widowControl/>
                    <w:jc w:val="center"/>
                    <w:rPr>
                      <w:rFonts w:hint="default" w:eastAsia="宋体"/>
                      <w:i/>
                      <w:iCs/>
                      <w:kern w:val="0"/>
                      <w:szCs w:val="21"/>
                      <w:u w:val="single"/>
                      <w:lang w:val="en-US" w:eastAsia="zh-CN"/>
                    </w:rPr>
                  </w:pPr>
                  <w:r>
                    <w:rPr>
                      <w:rFonts w:hint="eastAsia"/>
                      <w:i/>
                      <w:iCs/>
                      <w:kern w:val="0"/>
                      <w:szCs w:val="21"/>
                      <w:u w:val="single"/>
                    </w:rPr>
                    <w:t>0.</w:t>
                  </w:r>
                  <w:r>
                    <w:rPr>
                      <w:rFonts w:hint="eastAsia"/>
                      <w:i/>
                      <w:iCs/>
                      <w:kern w:val="0"/>
                      <w:szCs w:val="21"/>
                      <w:u w:val="single"/>
                      <w:lang w:val="en-US" w:eastAsia="zh-CN"/>
                    </w:rPr>
                    <w:t>266</w:t>
                  </w:r>
                </w:p>
              </w:tc>
            </w:tr>
            <w:tr w14:paraId="3424822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pct"/>
                  <w:vMerge w:val="continue"/>
                  <w:noWrap w:val="0"/>
                  <w:vAlign w:val="center"/>
                </w:tcPr>
                <w:p w14:paraId="4F210C12">
                  <w:pPr>
                    <w:jc w:val="center"/>
                    <w:rPr>
                      <w:i/>
                      <w:iCs/>
                      <w:szCs w:val="21"/>
                      <w:u w:val="single"/>
                    </w:rPr>
                  </w:pPr>
                </w:p>
              </w:tc>
              <w:tc>
                <w:tcPr>
                  <w:tcW w:w="732" w:type="pct"/>
                  <w:vMerge w:val="continue"/>
                  <w:noWrap w:val="0"/>
                  <w:vAlign w:val="center"/>
                </w:tcPr>
                <w:p w14:paraId="62C2C131">
                  <w:pPr>
                    <w:jc w:val="center"/>
                    <w:rPr>
                      <w:i/>
                      <w:iCs/>
                      <w:szCs w:val="21"/>
                      <w:u w:val="single"/>
                    </w:rPr>
                  </w:pPr>
                </w:p>
              </w:tc>
              <w:tc>
                <w:tcPr>
                  <w:tcW w:w="1108" w:type="pct"/>
                  <w:vMerge w:val="continue"/>
                  <w:noWrap w:val="0"/>
                  <w:vAlign w:val="center"/>
                </w:tcPr>
                <w:p w14:paraId="69C9E175">
                  <w:pPr>
                    <w:jc w:val="center"/>
                    <w:rPr>
                      <w:i/>
                      <w:iCs/>
                      <w:szCs w:val="21"/>
                      <w:u w:val="single"/>
                    </w:rPr>
                  </w:pPr>
                </w:p>
              </w:tc>
              <w:tc>
                <w:tcPr>
                  <w:tcW w:w="834" w:type="pct"/>
                  <w:noWrap w:val="0"/>
                  <w:vAlign w:val="center"/>
                </w:tcPr>
                <w:p w14:paraId="5AF34E0E">
                  <w:pPr>
                    <w:widowControl/>
                    <w:jc w:val="center"/>
                    <w:rPr>
                      <w:i/>
                      <w:iCs/>
                      <w:kern w:val="0"/>
                      <w:szCs w:val="21"/>
                      <w:u w:val="single"/>
                    </w:rPr>
                  </w:pPr>
                  <w:r>
                    <w:rPr>
                      <w:i/>
                      <w:iCs/>
                      <w:kern w:val="0"/>
                      <w:szCs w:val="21"/>
                      <w:u w:val="single"/>
                    </w:rPr>
                    <w:t>过滤棉吸附</w:t>
                  </w:r>
                </w:p>
              </w:tc>
              <w:tc>
                <w:tcPr>
                  <w:tcW w:w="729" w:type="pct"/>
                  <w:noWrap w:val="0"/>
                  <w:vAlign w:val="center"/>
                </w:tcPr>
                <w:p w14:paraId="00741DC5">
                  <w:pPr>
                    <w:widowControl/>
                    <w:jc w:val="center"/>
                    <w:rPr>
                      <w:i/>
                      <w:iCs/>
                      <w:kern w:val="0"/>
                      <w:szCs w:val="21"/>
                      <w:u w:val="single"/>
                    </w:rPr>
                  </w:pPr>
                  <w:r>
                    <w:rPr>
                      <w:i/>
                      <w:iCs/>
                      <w:kern w:val="0"/>
                      <w:szCs w:val="21"/>
                      <w:u w:val="single"/>
                    </w:rPr>
                    <w:t>漆雾</w:t>
                  </w:r>
                </w:p>
              </w:tc>
              <w:tc>
                <w:tcPr>
                  <w:tcW w:w="731" w:type="pct"/>
                  <w:noWrap w:val="0"/>
                  <w:vAlign w:val="center"/>
                </w:tcPr>
                <w:p w14:paraId="3DAC5963">
                  <w:pPr>
                    <w:widowControl/>
                    <w:jc w:val="center"/>
                    <w:rPr>
                      <w:rFonts w:hint="default" w:eastAsia="宋体"/>
                      <w:i/>
                      <w:iCs/>
                      <w:kern w:val="0"/>
                      <w:szCs w:val="21"/>
                      <w:u w:val="single"/>
                      <w:lang w:val="en-US" w:eastAsia="zh-CN"/>
                    </w:rPr>
                  </w:pPr>
                  <w:r>
                    <w:rPr>
                      <w:rFonts w:hint="eastAsia"/>
                      <w:i/>
                      <w:iCs/>
                      <w:kern w:val="0"/>
                      <w:szCs w:val="21"/>
                      <w:u w:val="single"/>
                    </w:rPr>
                    <w:t>0.1</w:t>
                  </w:r>
                  <w:r>
                    <w:rPr>
                      <w:rFonts w:hint="eastAsia"/>
                      <w:i/>
                      <w:iCs/>
                      <w:kern w:val="0"/>
                      <w:szCs w:val="21"/>
                      <w:u w:val="single"/>
                      <w:lang w:val="en-US" w:eastAsia="zh-CN"/>
                    </w:rPr>
                    <w:t>26</w:t>
                  </w:r>
                </w:p>
              </w:tc>
            </w:tr>
            <w:tr w14:paraId="7336D97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pct"/>
                  <w:vMerge w:val="continue"/>
                  <w:noWrap w:val="0"/>
                  <w:vAlign w:val="center"/>
                </w:tcPr>
                <w:p w14:paraId="3D4E0099">
                  <w:pPr>
                    <w:jc w:val="center"/>
                    <w:rPr>
                      <w:i/>
                      <w:iCs/>
                      <w:kern w:val="0"/>
                      <w:szCs w:val="21"/>
                      <w:u w:val="single"/>
                    </w:rPr>
                  </w:pPr>
                </w:p>
              </w:tc>
              <w:tc>
                <w:tcPr>
                  <w:tcW w:w="732" w:type="pct"/>
                  <w:vMerge w:val="continue"/>
                  <w:noWrap w:val="0"/>
                  <w:vAlign w:val="center"/>
                </w:tcPr>
                <w:p w14:paraId="0E36E164">
                  <w:pPr>
                    <w:jc w:val="center"/>
                    <w:rPr>
                      <w:i/>
                      <w:iCs/>
                      <w:kern w:val="0"/>
                      <w:szCs w:val="21"/>
                      <w:u w:val="single"/>
                    </w:rPr>
                  </w:pPr>
                </w:p>
              </w:tc>
              <w:tc>
                <w:tcPr>
                  <w:tcW w:w="1108" w:type="pct"/>
                  <w:vMerge w:val="continue"/>
                  <w:noWrap w:val="0"/>
                  <w:vAlign w:val="center"/>
                </w:tcPr>
                <w:p w14:paraId="76DB76D2">
                  <w:pPr>
                    <w:jc w:val="center"/>
                    <w:rPr>
                      <w:i/>
                      <w:iCs/>
                      <w:kern w:val="0"/>
                      <w:szCs w:val="21"/>
                      <w:u w:val="single"/>
                    </w:rPr>
                  </w:pPr>
                </w:p>
              </w:tc>
              <w:tc>
                <w:tcPr>
                  <w:tcW w:w="834" w:type="pct"/>
                  <w:noWrap w:val="0"/>
                  <w:vAlign w:val="center"/>
                </w:tcPr>
                <w:p w14:paraId="233B7780">
                  <w:pPr>
                    <w:widowControl/>
                    <w:jc w:val="center"/>
                    <w:rPr>
                      <w:i/>
                      <w:iCs/>
                      <w:kern w:val="0"/>
                      <w:szCs w:val="21"/>
                      <w:u w:val="single"/>
                    </w:rPr>
                  </w:pPr>
                  <w:r>
                    <w:rPr>
                      <w:i/>
                      <w:iCs/>
                      <w:kern w:val="0"/>
                      <w:szCs w:val="21"/>
                      <w:u w:val="single"/>
                    </w:rPr>
                    <w:t>活性炭吸附</w:t>
                  </w:r>
                </w:p>
              </w:tc>
              <w:tc>
                <w:tcPr>
                  <w:tcW w:w="729" w:type="pct"/>
                  <w:noWrap w:val="0"/>
                  <w:vAlign w:val="center"/>
                </w:tcPr>
                <w:p w14:paraId="5B75B897">
                  <w:pPr>
                    <w:widowControl/>
                    <w:jc w:val="center"/>
                    <w:rPr>
                      <w:i/>
                      <w:iCs/>
                      <w:kern w:val="0"/>
                      <w:szCs w:val="21"/>
                      <w:u w:val="single"/>
                    </w:rPr>
                  </w:pPr>
                  <w:r>
                    <w:rPr>
                      <w:i/>
                      <w:iCs/>
                      <w:kern w:val="0"/>
                      <w:szCs w:val="21"/>
                      <w:u w:val="single"/>
                    </w:rPr>
                    <w:t>NMHC</w:t>
                  </w:r>
                </w:p>
              </w:tc>
              <w:tc>
                <w:tcPr>
                  <w:tcW w:w="731" w:type="pct"/>
                  <w:noWrap w:val="0"/>
                  <w:vAlign w:val="center"/>
                </w:tcPr>
                <w:p w14:paraId="559C8660">
                  <w:pPr>
                    <w:widowControl/>
                    <w:jc w:val="center"/>
                    <w:rPr>
                      <w:rFonts w:hint="default" w:eastAsia="宋体"/>
                      <w:i/>
                      <w:iCs/>
                      <w:kern w:val="0"/>
                      <w:szCs w:val="21"/>
                      <w:u w:val="single"/>
                      <w:lang w:val="en-US" w:eastAsia="zh-CN"/>
                    </w:rPr>
                  </w:pPr>
                  <w:r>
                    <w:rPr>
                      <w:rFonts w:hint="eastAsia"/>
                      <w:i/>
                      <w:iCs/>
                      <w:kern w:val="0"/>
                      <w:szCs w:val="21"/>
                      <w:u w:val="single"/>
                      <w:lang w:val="en-US" w:eastAsia="zh-CN"/>
                    </w:rPr>
                    <w:t>1.066</w:t>
                  </w:r>
                </w:p>
              </w:tc>
            </w:tr>
            <w:tr w14:paraId="1CB96A0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pct"/>
                  <w:vMerge w:val="continue"/>
                  <w:noWrap w:val="0"/>
                  <w:vAlign w:val="center"/>
                </w:tcPr>
                <w:p w14:paraId="53AEC2A9">
                  <w:pPr>
                    <w:jc w:val="center"/>
                    <w:rPr>
                      <w:i/>
                      <w:iCs/>
                      <w:kern w:val="0"/>
                      <w:szCs w:val="21"/>
                      <w:u w:val="single"/>
                    </w:rPr>
                  </w:pPr>
                </w:p>
              </w:tc>
              <w:tc>
                <w:tcPr>
                  <w:tcW w:w="732" w:type="pct"/>
                  <w:vMerge w:val="continue"/>
                  <w:noWrap w:val="0"/>
                  <w:vAlign w:val="center"/>
                </w:tcPr>
                <w:p w14:paraId="7B534518">
                  <w:pPr>
                    <w:jc w:val="center"/>
                    <w:rPr>
                      <w:i/>
                      <w:iCs/>
                      <w:kern w:val="0"/>
                      <w:szCs w:val="21"/>
                      <w:u w:val="single"/>
                    </w:rPr>
                  </w:pPr>
                </w:p>
              </w:tc>
              <w:tc>
                <w:tcPr>
                  <w:tcW w:w="1108" w:type="pct"/>
                  <w:vMerge w:val="continue"/>
                  <w:noWrap w:val="0"/>
                  <w:vAlign w:val="center"/>
                </w:tcPr>
                <w:p w14:paraId="03145999">
                  <w:pPr>
                    <w:jc w:val="center"/>
                    <w:rPr>
                      <w:i/>
                      <w:iCs/>
                      <w:kern w:val="0"/>
                      <w:szCs w:val="21"/>
                      <w:u w:val="single"/>
                    </w:rPr>
                  </w:pPr>
                </w:p>
              </w:tc>
              <w:tc>
                <w:tcPr>
                  <w:tcW w:w="834" w:type="pct"/>
                  <w:vMerge w:val="restart"/>
                  <w:noWrap w:val="0"/>
                  <w:vAlign w:val="center"/>
                </w:tcPr>
                <w:p w14:paraId="5CB82AA3">
                  <w:pPr>
                    <w:widowControl/>
                    <w:jc w:val="center"/>
                    <w:rPr>
                      <w:i/>
                      <w:iCs/>
                      <w:kern w:val="0"/>
                      <w:szCs w:val="21"/>
                      <w:u w:val="single"/>
                    </w:rPr>
                  </w:pPr>
                  <w:r>
                    <w:rPr>
                      <w:rFonts w:hint="eastAsia"/>
                      <w:i/>
                      <w:iCs/>
                      <w:kern w:val="0"/>
                      <w:szCs w:val="21"/>
                      <w:u w:val="single"/>
                    </w:rPr>
                    <w:t>无组织排放</w:t>
                  </w:r>
                </w:p>
              </w:tc>
              <w:tc>
                <w:tcPr>
                  <w:tcW w:w="729" w:type="pct"/>
                  <w:noWrap w:val="0"/>
                  <w:vAlign w:val="center"/>
                </w:tcPr>
                <w:p w14:paraId="2D315081">
                  <w:pPr>
                    <w:widowControl/>
                    <w:jc w:val="center"/>
                    <w:rPr>
                      <w:i/>
                      <w:iCs/>
                      <w:kern w:val="0"/>
                      <w:szCs w:val="21"/>
                      <w:u w:val="single"/>
                    </w:rPr>
                  </w:pPr>
                  <w:r>
                    <w:rPr>
                      <w:i/>
                      <w:iCs/>
                      <w:kern w:val="0"/>
                      <w:szCs w:val="21"/>
                      <w:u w:val="single"/>
                    </w:rPr>
                    <w:t>漆雾</w:t>
                  </w:r>
                </w:p>
              </w:tc>
              <w:tc>
                <w:tcPr>
                  <w:tcW w:w="731" w:type="pct"/>
                  <w:noWrap w:val="0"/>
                  <w:vAlign w:val="center"/>
                </w:tcPr>
                <w:p w14:paraId="664D96BA">
                  <w:pPr>
                    <w:widowControl/>
                    <w:jc w:val="center"/>
                    <w:rPr>
                      <w:rFonts w:hint="eastAsia" w:eastAsia="宋体"/>
                      <w:i/>
                      <w:iCs/>
                      <w:kern w:val="0"/>
                      <w:szCs w:val="21"/>
                      <w:u w:val="single"/>
                      <w:lang w:val="en-US" w:eastAsia="zh-CN"/>
                    </w:rPr>
                  </w:pPr>
                  <w:r>
                    <w:rPr>
                      <w:rFonts w:hint="eastAsia"/>
                      <w:i/>
                      <w:iCs/>
                      <w:kern w:val="0"/>
                      <w:szCs w:val="21"/>
                      <w:u w:val="single"/>
                    </w:rPr>
                    <w:t>0.008</w:t>
                  </w:r>
                </w:p>
              </w:tc>
            </w:tr>
            <w:tr w14:paraId="3054777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pct"/>
                  <w:vMerge w:val="continue"/>
                  <w:noWrap w:val="0"/>
                  <w:vAlign w:val="center"/>
                </w:tcPr>
                <w:p w14:paraId="3B8DC6FB">
                  <w:pPr>
                    <w:jc w:val="center"/>
                    <w:rPr>
                      <w:i/>
                      <w:iCs/>
                      <w:kern w:val="0"/>
                      <w:szCs w:val="21"/>
                      <w:u w:val="single"/>
                    </w:rPr>
                  </w:pPr>
                </w:p>
              </w:tc>
              <w:tc>
                <w:tcPr>
                  <w:tcW w:w="732" w:type="pct"/>
                  <w:vMerge w:val="continue"/>
                  <w:noWrap w:val="0"/>
                  <w:vAlign w:val="center"/>
                </w:tcPr>
                <w:p w14:paraId="15878856">
                  <w:pPr>
                    <w:jc w:val="center"/>
                    <w:rPr>
                      <w:i/>
                      <w:iCs/>
                      <w:kern w:val="0"/>
                      <w:szCs w:val="21"/>
                      <w:u w:val="single"/>
                    </w:rPr>
                  </w:pPr>
                </w:p>
              </w:tc>
              <w:tc>
                <w:tcPr>
                  <w:tcW w:w="1108" w:type="pct"/>
                  <w:vMerge w:val="continue"/>
                  <w:noWrap w:val="0"/>
                  <w:vAlign w:val="center"/>
                </w:tcPr>
                <w:p w14:paraId="3D37CD94">
                  <w:pPr>
                    <w:jc w:val="center"/>
                    <w:rPr>
                      <w:i/>
                      <w:iCs/>
                      <w:kern w:val="0"/>
                      <w:szCs w:val="21"/>
                      <w:u w:val="single"/>
                    </w:rPr>
                  </w:pPr>
                </w:p>
              </w:tc>
              <w:tc>
                <w:tcPr>
                  <w:tcW w:w="834" w:type="pct"/>
                  <w:vMerge w:val="continue"/>
                  <w:noWrap w:val="0"/>
                  <w:vAlign w:val="center"/>
                </w:tcPr>
                <w:p w14:paraId="7C03082E">
                  <w:pPr>
                    <w:widowControl/>
                    <w:jc w:val="center"/>
                    <w:rPr>
                      <w:i/>
                      <w:iCs/>
                      <w:kern w:val="0"/>
                      <w:szCs w:val="21"/>
                      <w:u w:val="single"/>
                    </w:rPr>
                  </w:pPr>
                </w:p>
              </w:tc>
              <w:tc>
                <w:tcPr>
                  <w:tcW w:w="729" w:type="pct"/>
                  <w:noWrap w:val="0"/>
                  <w:vAlign w:val="center"/>
                </w:tcPr>
                <w:p w14:paraId="1403FF4F">
                  <w:pPr>
                    <w:widowControl/>
                    <w:jc w:val="center"/>
                    <w:rPr>
                      <w:i/>
                      <w:iCs/>
                      <w:kern w:val="0"/>
                      <w:szCs w:val="21"/>
                      <w:u w:val="single"/>
                    </w:rPr>
                  </w:pPr>
                  <w:r>
                    <w:rPr>
                      <w:i/>
                      <w:iCs/>
                      <w:kern w:val="0"/>
                      <w:szCs w:val="21"/>
                      <w:u w:val="single"/>
                    </w:rPr>
                    <w:t>NMHC</w:t>
                  </w:r>
                </w:p>
              </w:tc>
              <w:tc>
                <w:tcPr>
                  <w:tcW w:w="731" w:type="pct"/>
                  <w:noWrap w:val="0"/>
                  <w:vAlign w:val="center"/>
                </w:tcPr>
                <w:p w14:paraId="0C3D9019">
                  <w:pPr>
                    <w:widowControl/>
                    <w:jc w:val="center"/>
                    <w:rPr>
                      <w:rFonts w:hint="default" w:eastAsia="宋体"/>
                      <w:i/>
                      <w:iCs/>
                      <w:kern w:val="0"/>
                      <w:szCs w:val="21"/>
                      <w:u w:val="single"/>
                      <w:lang w:val="en-US" w:eastAsia="zh-CN"/>
                    </w:rPr>
                  </w:pPr>
                  <w:r>
                    <w:rPr>
                      <w:rFonts w:hint="eastAsia"/>
                      <w:i/>
                      <w:iCs/>
                      <w:kern w:val="0"/>
                      <w:szCs w:val="21"/>
                      <w:u w:val="single"/>
                      <w:lang w:val="en-US" w:eastAsia="zh-CN"/>
                    </w:rPr>
                    <w:t>0.148</w:t>
                  </w:r>
                </w:p>
              </w:tc>
            </w:tr>
            <w:tr w14:paraId="6B54AD8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pct"/>
                  <w:noWrap w:val="0"/>
                  <w:vAlign w:val="center"/>
                </w:tcPr>
                <w:p w14:paraId="60FCE236">
                  <w:pPr>
                    <w:widowControl/>
                    <w:jc w:val="center"/>
                    <w:rPr>
                      <w:i/>
                      <w:iCs/>
                      <w:kern w:val="0"/>
                      <w:szCs w:val="21"/>
                      <w:u w:val="single"/>
                    </w:rPr>
                  </w:pPr>
                  <w:r>
                    <w:rPr>
                      <w:i/>
                      <w:iCs/>
                      <w:kern w:val="0"/>
                      <w:szCs w:val="21"/>
                      <w:u w:val="single"/>
                    </w:rPr>
                    <w:t>合计</w:t>
                  </w:r>
                </w:p>
              </w:tc>
              <w:tc>
                <w:tcPr>
                  <w:tcW w:w="732" w:type="pct"/>
                  <w:noWrap w:val="0"/>
                  <w:vAlign w:val="center"/>
                </w:tcPr>
                <w:p w14:paraId="19F46737">
                  <w:pPr>
                    <w:widowControl/>
                    <w:jc w:val="center"/>
                    <w:rPr>
                      <w:i/>
                      <w:iCs/>
                      <w:kern w:val="0"/>
                      <w:szCs w:val="21"/>
                      <w:u w:val="single"/>
                    </w:rPr>
                  </w:pPr>
                  <w:r>
                    <w:rPr>
                      <w:rFonts w:hint="eastAsia"/>
                      <w:i/>
                      <w:iCs/>
                      <w:kern w:val="0"/>
                      <w:szCs w:val="21"/>
                      <w:u w:val="single"/>
                    </w:rPr>
                    <w:t>2</w:t>
                  </w:r>
                </w:p>
              </w:tc>
              <w:tc>
                <w:tcPr>
                  <w:tcW w:w="1108" w:type="pct"/>
                  <w:noWrap w:val="0"/>
                  <w:vAlign w:val="center"/>
                </w:tcPr>
                <w:p w14:paraId="517EF6BF">
                  <w:pPr>
                    <w:widowControl/>
                    <w:jc w:val="center"/>
                    <w:rPr>
                      <w:rFonts w:hint="eastAsia" w:eastAsia="宋体"/>
                      <w:i/>
                      <w:iCs/>
                      <w:kern w:val="0"/>
                      <w:szCs w:val="21"/>
                      <w:u w:val="single"/>
                      <w:lang w:val="en-US" w:eastAsia="zh-CN"/>
                    </w:rPr>
                  </w:pPr>
                  <w:r>
                    <w:rPr>
                      <w:rFonts w:hint="eastAsia"/>
                      <w:i/>
                      <w:iCs/>
                      <w:kern w:val="0"/>
                      <w:szCs w:val="21"/>
                      <w:u w:val="single"/>
                      <w:lang w:val="en-US" w:eastAsia="zh-CN"/>
                    </w:rPr>
                    <w:t>2</w:t>
                  </w:r>
                </w:p>
              </w:tc>
              <w:tc>
                <w:tcPr>
                  <w:tcW w:w="1563" w:type="pct"/>
                  <w:gridSpan w:val="2"/>
                  <w:noWrap w:val="0"/>
                  <w:vAlign w:val="center"/>
                </w:tcPr>
                <w:p w14:paraId="3B3C82B1">
                  <w:pPr>
                    <w:widowControl/>
                    <w:jc w:val="center"/>
                    <w:rPr>
                      <w:i/>
                      <w:iCs/>
                      <w:kern w:val="0"/>
                      <w:szCs w:val="21"/>
                      <w:u w:val="single"/>
                    </w:rPr>
                  </w:pPr>
                  <w:r>
                    <w:rPr>
                      <w:i/>
                      <w:iCs/>
                      <w:kern w:val="0"/>
                      <w:szCs w:val="21"/>
                      <w:u w:val="single"/>
                    </w:rPr>
                    <w:t>合计</w:t>
                  </w:r>
                </w:p>
              </w:tc>
              <w:tc>
                <w:tcPr>
                  <w:tcW w:w="731" w:type="pct"/>
                  <w:noWrap w:val="0"/>
                  <w:vAlign w:val="center"/>
                </w:tcPr>
                <w:p w14:paraId="53581ABD">
                  <w:pPr>
                    <w:widowControl/>
                    <w:jc w:val="center"/>
                    <w:rPr>
                      <w:i/>
                      <w:iCs/>
                      <w:kern w:val="0"/>
                      <w:szCs w:val="21"/>
                      <w:u w:val="single"/>
                    </w:rPr>
                  </w:pPr>
                  <w:r>
                    <w:rPr>
                      <w:rFonts w:hint="eastAsia"/>
                      <w:i/>
                      <w:iCs/>
                      <w:kern w:val="0"/>
                      <w:szCs w:val="21"/>
                      <w:u w:val="single"/>
                    </w:rPr>
                    <w:t>2</w:t>
                  </w:r>
                </w:p>
              </w:tc>
            </w:tr>
          </w:tbl>
          <w:p w14:paraId="3D56F4AF">
            <w:pPr>
              <w:spacing w:line="360" w:lineRule="auto"/>
              <w:ind w:firstLine="480" w:firstLineChars="200"/>
              <w:rPr>
                <w:rFonts w:hint="eastAsia"/>
                <w:sz w:val="24"/>
              </w:rPr>
            </w:pPr>
          </w:p>
          <w:p w14:paraId="7F5175AC">
            <w:pPr>
              <w:adjustRightInd w:val="0"/>
              <w:snapToGrid w:val="0"/>
              <w:spacing w:line="480" w:lineRule="exact"/>
              <w:ind w:firstLine="482" w:firstLineChars="200"/>
              <w:rPr>
                <w:b/>
                <w:sz w:val="24"/>
              </w:rPr>
            </w:pPr>
            <w:r>
              <w:rPr>
                <w:rFonts w:hint="eastAsia"/>
                <w:b/>
                <w:sz w:val="24"/>
              </w:rPr>
              <w:t>6、</w:t>
            </w:r>
            <w:r>
              <w:rPr>
                <w:b/>
                <w:sz w:val="24"/>
              </w:rPr>
              <w:t>主要</w:t>
            </w:r>
            <w:r>
              <w:rPr>
                <w:rFonts w:hint="eastAsia"/>
                <w:b/>
                <w:sz w:val="24"/>
              </w:rPr>
              <w:t>实验</w:t>
            </w:r>
            <w:r>
              <w:rPr>
                <w:b/>
                <w:sz w:val="24"/>
              </w:rPr>
              <w:t>设备</w:t>
            </w:r>
          </w:p>
          <w:p w14:paraId="2DEE77F0">
            <w:pPr>
              <w:adjustRightInd w:val="0"/>
              <w:snapToGrid w:val="0"/>
              <w:spacing w:line="480" w:lineRule="exact"/>
              <w:ind w:firstLine="480" w:firstLineChars="200"/>
              <w:rPr>
                <w:rFonts w:hint="eastAsia"/>
              </w:rPr>
            </w:pPr>
            <w:r>
              <w:rPr>
                <w:bCs/>
                <w:sz w:val="24"/>
              </w:rPr>
              <w:t>本项目主要设备情况详见下表。</w:t>
            </w:r>
          </w:p>
          <w:p w14:paraId="309EBA2D">
            <w:pPr>
              <w:pStyle w:val="61"/>
              <w:tabs>
                <w:tab w:val="clear" w:pos="3437"/>
              </w:tabs>
              <w:spacing w:before="120"/>
              <w:rPr>
                <w:bCs/>
              </w:rPr>
            </w:pPr>
            <w:r>
              <w:rPr>
                <w:rFonts w:hint="eastAsia"/>
              </w:rPr>
              <w:t>表2-</w:t>
            </w:r>
            <w:r>
              <w:rPr>
                <w:rFonts w:hint="eastAsia"/>
                <w:lang w:val="en-US" w:eastAsia="zh-CN"/>
              </w:rPr>
              <w:t>6</w:t>
            </w:r>
            <w:r>
              <w:rPr>
                <w:rFonts w:hint="eastAsia"/>
              </w:rPr>
              <w:t xml:space="preserve">  </w:t>
            </w:r>
            <w:r>
              <w:t>本项目主要设备一览表</w:t>
            </w:r>
          </w:p>
          <w:tbl>
            <w:tblPr>
              <w:tblStyle w:val="27"/>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2529"/>
              <w:gridCol w:w="2571"/>
              <w:gridCol w:w="1618"/>
              <w:gridCol w:w="1616"/>
            </w:tblGrid>
            <w:tr w14:paraId="72F2312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443" w:type="pct"/>
                  <w:noWrap w:val="0"/>
                  <w:vAlign w:val="center"/>
                </w:tcPr>
                <w:p w14:paraId="27CB90C8">
                  <w:pPr>
                    <w:jc w:val="center"/>
                    <w:rPr>
                      <w:rFonts w:hint="eastAsia"/>
                      <w:szCs w:val="21"/>
                    </w:rPr>
                  </w:pPr>
                  <w:r>
                    <w:rPr>
                      <w:rFonts w:hint="eastAsia"/>
                      <w:szCs w:val="21"/>
                    </w:rPr>
                    <w:t>序号</w:t>
                  </w:r>
                </w:p>
              </w:tc>
              <w:tc>
                <w:tcPr>
                  <w:tcW w:w="1382" w:type="pct"/>
                  <w:noWrap w:val="0"/>
                  <w:vAlign w:val="center"/>
                </w:tcPr>
                <w:p w14:paraId="7FB84C50">
                  <w:pPr>
                    <w:jc w:val="center"/>
                    <w:rPr>
                      <w:szCs w:val="21"/>
                    </w:rPr>
                  </w:pPr>
                  <w:r>
                    <w:rPr>
                      <w:szCs w:val="21"/>
                    </w:rPr>
                    <w:t>设备名称</w:t>
                  </w:r>
                </w:p>
              </w:tc>
              <w:tc>
                <w:tcPr>
                  <w:tcW w:w="1405" w:type="pct"/>
                  <w:noWrap w:val="0"/>
                  <w:vAlign w:val="center"/>
                </w:tcPr>
                <w:p w14:paraId="121342AD">
                  <w:pPr>
                    <w:adjustRightInd w:val="0"/>
                    <w:snapToGrid w:val="0"/>
                    <w:jc w:val="center"/>
                    <w:rPr>
                      <w:szCs w:val="21"/>
                    </w:rPr>
                  </w:pPr>
                  <w:r>
                    <w:rPr>
                      <w:rFonts w:hint="eastAsia"/>
                      <w:szCs w:val="21"/>
                    </w:rPr>
                    <w:t>设备型号</w:t>
                  </w:r>
                </w:p>
              </w:tc>
              <w:tc>
                <w:tcPr>
                  <w:tcW w:w="884" w:type="pct"/>
                  <w:noWrap w:val="0"/>
                  <w:vAlign w:val="center"/>
                </w:tcPr>
                <w:p w14:paraId="01F9588D">
                  <w:pPr>
                    <w:adjustRightInd w:val="0"/>
                    <w:snapToGrid w:val="0"/>
                    <w:jc w:val="center"/>
                    <w:rPr>
                      <w:rFonts w:hint="eastAsia"/>
                      <w:szCs w:val="21"/>
                    </w:rPr>
                  </w:pPr>
                  <w:r>
                    <w:rPr>
                      <w:rFonts w:hint="eastAsia"/>
                      <w:szCs w:val="21"/>
                    </w:rPr>
                    <w:t>单位</w:t>
                  </w:r>
                </w:p>
              </w:tc>
              <w:tc>
                <w:tcPr>
                  <w:tcW w:w="883" w:type="pct"/>
                  <w:noWrap w:val="0"/>
                  <w:vAlign w:val="center"/>
                </w:tcPr>
                <w:p w14:paraId="4E58A095">
                  <w:pPr>
                    <w:adjustRightInd w:val="0"/>
                    <w:snapToGrid w:val="0"/>
                    <w:jc w:val="center"/>
                    <w:rPr>
                      <w:rFonts w:hint="eastAsia"/>
                      <w:szCs w:val="21"/>
                    </w:rPr>
                  </w:pPr>
                  <w:r>
                    <w:rPr>
                      <w:rFonts w:hint="eastAsia"/>
                      <w:szCs w:val="21"/>
                    </w:rPr>
                    <w:t>数量</w:t>
                  </w:r>
                </w:p>
              </w:tc>
            </w:tr>
            <w:tr w14:paraId="65ACD97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443" w:type="pct"/>
                  <w:noWrap w:val="0"/>
                  <w:vAlign w:val="center"/>
                </w:tcPr>
                <w:p w14:paraId="1D0EBF5B">
                  <w:pPr>
                    <w:jc w:val="center"/>
                    <w:rPr>
                      <w:rFonts w:hint="eastAsia"/>
                      <w:szCs w:val="21"/>
                    </w:rPr>
                  </w:pPr>
                  <w:r>
                    <w:rPr>
                      <w:rFonts w:hint="eastAsia"/>
                      <w:szCs w:val="21"/>
                    </w:rPr>
                    <w:t>1</w:t>
                  </w:r>
                </w:p>
              </w:tc>
              <w:tc>
                <w:tcPr>
                  <w:tcW w:w="1382" w:type="pct"/>
                  <w:noWrap w:val="0"/>
                  <w:vAlign w:val="center"/>
                </w:tcPr>
                <w:p w14:paraId="29E3B481">
                  <w:pPr>
                    <w:jc w:val="center"/>
                    <w:rPr>
                      <w:rFonts w:hint="eastAsia"/>
                      <w:sz w:val="18"/>
                      <w:szCs w:val="20"/>
                    </w:rPr>
                  </w:pPr>
                  <w:r>
                    <w:rPr>
                      <w:rFonts w:hint="eastAsia"/>
                    </w:rPr>
                    <w:t>搅拌罐</w:t>
                  </w:r>
                </w:p>
              </w:tc>
              <w:tc>
                <w:tcPr>
                  <w:tcW w:w="1405" w:type="pct"/>
                  <w:noWrap w:val="0"/>
                  <w:vAlign w:val="center"/>
                </w:tcPr>
                <w:p w14:paraId="35A502DA">
                  <w:pPr>
                    <w:jc w:val="center"/>
                    <w:rPr>
                      <w:rFonts w:hint="eastAsia"/>
                      <w:sz w:val="18"/>
                      <w:szCs w:val="20"/>
                    </w:rPr>
                  </w:pPr>
                  <w:r>
                    <w:rPr>
                      <w:rFonts w:hint="eastAsia"/>
                    </w:rPr>
                    <w:t>10</w:t>
                  </w:r>
                  <w:r>
                    <w:t>L</w:t>
                  </w:r>
                </w:p>
              </w:tc>
              <w:tc>
                <w:tcPr>
                  <w:tcW w:w="884" w:type="pct"/>
                  <w:noWrap w:val="0"/>
                  <w:vAlign w:val="center"/>
                </w:tcPr>
                <w:p w14:paraId="719E3852">
                  <w:pPr>
                    <w:widowControl/>
                    <w:jc w:val="center"/>
                    <w:outlineLvl w:val="1"/>
                    <w:rPr>
                      <w:rFonts w:hint="eastAsia"/>
                      <w:kern w:val="0"/>
                      <w:szCs w:val="21"/>
                    </w:rPr>
                  </w:pPr>
                  <w:r>
                    <w:rPr>
                      <w:rFonts w:hint="eastAsia"/>
                      <w:kern w:val="0"/>
                      <w:szCs w:val="21"/>
                    </w:rPr>
                    <w:t>台</w:t>
                  </w:r>
                </w:p>
              </w:tc>
              <w:tc>
                <w:tcPr>
                  <w:tcW w:w="883" w:type="pct"/>
                  <w:noWrap w:val="0"/>
                  <w:vAlign w:val="center"/>
                </w:tcPr>
                <w:p w14:paraId="35906C8F">
                  <w:pPr>
                    <w:jc w:val="center"/>
                  </w:pPr>
                  <w:r>
                    <w:rPr>
                      <w:rFonts w:hint="eastAsia"/>
                    </w:rPr>
                    <w:t>8</w:t>
                  </w:r>
                </w:p>
              </w:tc>
            </w:tr>
            <w:tr w14:paraId="647B486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443" w:type="pct"/>
                  <w:noWrap w:val="0"/>
                  <w:vAlign w:val="center"/>
                </w:tcPr>
                <w:p w14:paraId="7E923D2F">
                  <w:pPr>
                    <w:jc w:val="center"/>
                    <w:rPr>
                      <w:szCs w:val="21"/>
                    </w:rPr>
                  </w:pPr>
                  <w:r>
                    <w:rPr>
                      <w:rFonts w:hint="eastAsia"/>
                      <w:szCs w:val="21"/>
                    </w:rPr>
                    <w:t>2</w:t>
                  </w:r>
                </w:p>
              </w:tc>
              <w:tc>
                <w:tcPr>
                  <w:tcW w:w="1382" w:type="pct"/>
                  <w:noWrap w:val="0"/>
                  <w:vAlign w:val="center"/>
                </w:tcPr>
                <w:p w14:paraId="21BE8A4B">
                  <w:pPr>
                    <w:jc w:val="center"/>
                    <w:rPr>
                      <w:rFonts w:hint="eastAsia"/>
                    </w:rPr>
                  </w:pPr>
                  <w:r>
                    <w:rPr>
                      <w:rFonts w:hint="eastAsia"/>
                    </w:rPr>
                    <w:t>搅拌罐</w:t>
                  </w:r>
                </w:p>
              </w:tc>
              <w:tc>
                <w:tcPr>
                  <w:tcW w:w="1405" w:type="pct"/>
                  <w:noWrap w:val="0"/>
                  <w:vAlign w:val="center"/>
                </w:tcPr>
                <w:p w14:paraId="143B56A7">
                  <w:pPr>
                    <w:jc w:val="center"/>
                    <w:rPr>
                      <w:rFonts w:hint="eastAsia"/>
                    </w:rPr>
                  </w:pPr>
                  <w:r>
                    <w:rPr>
                      <w:rFonts w:hint="eastAsia"/>
                    </w:rPr>
                    <w:t>50</w:t>
                  </w:r>
                  <w:r>
                    <w:t>L</w:t>
                  </w:r>
                </w:p>
              </w:tc>
              <w:tc>
                <w:tcPr>
                  <w:tcW w:w="884" w:type="pct"/>
                  <w:noWrap w:val="0"/>
                  <w:vAlign w:val="center"/>
                </w:tcPr>
                <w:p w14:paraId="29CCFCC5">
                  <w:pPr>
                    <w:widowControl/>
                    <w:jc w:val="center"/>
                    <w:outlineLvl w:val="1"/>
                    <w:rPr>
                      <w:rFonts w:hint="eastAsia"/>
                      <w:kern w:val="0"/>
                      <w:szCs w:val="21"/>
                    </w:rPr>
                  </w:pPr>
                  <w:r>
                    <w:rPr>
                      <w:rFonts w:hint="eastAsia"/>
                      <w:kern w:val="0"/>
                      <w:szCs w:val="21"/>
                    </w:rPr>
                    <w:t>台</w:t>
                  </w:r>
                </w:p>
              </w:tc>
              <w:tc>
                <w:tcPr>
                  <w:tcW w:w="883" w:type="pct"/>
                  <w:noWrap w:val="0"/>
                  <w:vAlign w:val="center"/>
                </w:tcPr>
                <w:p w14:paraId="200355DE">
                  <w:pPr>
                    <w:jc w:val="center"/>
                    <w:rPr>
                      <w:rFonts w:hint="eastAsia"/>
                    </w:rPr>
                  </w:pPr>
                  <w:r>
                    <w:rPr>
                      <w:rFonts w:hint="eastAsia"/>
                    </w:rPr>
                    <w:t>8</w:t>
                  </w:r>
                </w:p>
              </w:tc>
            </w:tr>
            <w:tr w14:paraId="4012BEC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443" w:type="pct"/>
                  <w:noWrap w:val="0"/>
                  <w:vAlign w:val="center"/>
                </w:tcPr>
                <w:p w14:paraId="1C9A621F">
                  <w:pPr>
                    <w:jc w:val="center"/>
                    <w:rPr>
                      <w:szCs w:val="21"/>
                    </w:rPr>
                  </w:pPr>
                  <w:r>
                    <w:rPr>
                      <w:rFonts w:hint="eastAsia"/>
                      <w:szCs w:val="21"/>
                    </w:rPr>
                    <w:t>3</w:t>
                  </w:r>
                </w:p>
              </w:tc>
              <w:tc>
                <w:tcPr>
                  <w:tcW w:w="1382" w:type="pct"/>
                  <w:noWrap w:val="0"/>
                  <w:vAlign w:val="center"/>
                </w:tcPr>
                <w:p w14:paraId="377D0661">
                  <w:pPr>
                    <w:jc w:val="center"/>
                    <w:rPr>
                      <w:rFonts w:hint="eastAsia"/>
                    </w:rPr>
                  </w:pPr>
                  <w:r>
                    <w:rPr>
                      <w:rFonts w:hint="eastAsia"/>
                    </w:rPr>
                    <w:t>搅拌罐</w:t>
                  </w:r>
                </w:p>
              </w:tc>
              <w:tc>
                <w:tcPr>
                  <w:tcW w:w="1405" w:type="pct"/>
                  <w:noWrap w:val="0"/>
                  <w:vAlign w:val="center"/>
                </w:tcPr>
                <w:p w14:paraId="22D971D0">
                  <w:pPr>
                    <w:jc w:val="center"/>
                    <w:rPr>
                      <w:rFonts w:hint="eastAsia"/>
                    </w:rPr>
                  </w:pPr>
                  <w:r>
                    <w:rPr>
                      <w:rFonts w:hint="eastAsia"/>
                    </w:rPr>
                    <w:t>100</w:t>
                  </w:r>
                  <w:r>
                    <w:t>L</w:t>
                  </w:r>
                </w:p>
              </w:tc>
              <w:tc>
                <w:tcPr>
                  <w:tcW w:w="884" w:type="pct"/>
                  <w:noWrap w:val="0"/>
                  <w:vAlign w:val="center"/>
                </w:tcPr>
                <w:p w14:paraId="154CC609">
                  <w:pPr>
                    <w:widowControl/>
                    <w:jc w:val="center"/>
                    <w:outlineLvl w:val="1"/>
                    <w:rPr>
                      <w:rFonts w:hint="eastAsia"/>
                      <w:kern w:val="0"/>
                      <w:szCs w:val="21"/>
                    </w:rPr>
                  </w:pPr>
                  <w:r>
                    <w:rPr>
                      <w:rFonts w:hint="eastAsia"/>
                      <w:kern w:val="0"/>
                      <w:szCs w:val="21"/>
                    </w:rPr>
                    <w:t>台</w:t>
                  </w:r>
                </w:p>
              </w:tc>
              <w:tc>
                <w:tcPr>
                  <w:tcW w:w="883" w:type="pct"/>
                  <w:noWrap w:val="0"/>
                  <w:vAlign w:val="center"/>
                </w:tcPr>
                <w:p w14:paraId="5A4C8908">
                  <w:pPr>
                    <w:jc w:val="center"/>
                    <w:rPr>
                      <w:rFonts w:hint="eastAsia"/>
                    </w:rPr>
                  </w:pPr>
                  <w:r>
                    <w:rPr>
                      <w:rFonts w:hint="eastAsia"/>
                    </w:rPr>
                    <w:t>8</w:t>
                  </w:r>
                </w:p>
              </w:tc>
            </w:tr>
            <w:tr w14:paraId="3BA41CA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443" w:type="pct"/>
                  <w:noWrap w:val="0"/>
                  <w:vAlign w:val="center"/>
                </w:tcPr>
                <w:p w14:paraId="1525837E">
                  <w:pPr>
                    <w:jc w:val="center"/>
                    <w:rPr>
                      <w:szCs w:val="21"/>
                    </w:rPr>
                  </w:pPr>
                  <w:r>
                    <w:rPr>
                      <w:rFonts w:hint="eastAsia"/>
                      <w:szCs w:val="21"/>
                    </w:rPr>
                    <w:t>4</w:t>
                  </w:r>
                </w:p>
              </w:tc>
              <w:tc>
                <w:tcPr>
                  <w:tcW w:w="1382" w:type="pct"/>
                  <w:noWrap w:val="0"/>
                  <w:vAlign w:val="center"/>
                </w:tcPr>
                <w:p w14:paraId="34A6A4DB">
                  <w:pPr>
                    <w:jc w:val="center"/>
                    <w:rPr>
                      <w:rFonts w:hint="eastAsia"/>
                    </w:rPr>
                  </w:pPr>
                  <w:r>
                    <w:rPr>
                      <w:rFonts w:hint="eastAsia"/>
                    </w:rPr>
                    <w:t>搅拌罐</w:t>
                  </w:r>
                </w:p>
              </w:tc>
              <w:tc>
                <w:tcPr>
                  <w:tcW w:w="1405" w:type="pct"/>
                  <w:noWrap w:val="0"/>
                  <w:vAlign w:val="center"/>
                </w:tcPr>
                <w:p w14:paraId="71911753">
                  <w:pPr>
                    <w:jc w:val="center"/>
                    <w:rPr>
                      <w:rFonts w:hint="eastAsia"/>
                    </w:rPr>
                  </w:pPr>
                  <w:r>
                    <w:rPr>
                      <w:rFonts w:hint="eastAsia"/>
                    </w:rPr>
                    <w:t>200</w:t>
                  </w:r>
                  <w:r>
                    <w:t>L</w:t>
                  </w:r>
                </w:p>
              </w:tc>
              <w:tc>
                <w:tcPr>
                  <w:tcW w:w="884" w:type="pct"/>
                  <w:noWrap w:val="0"/>
                  <w:vAlign w:val="center"/>
                </w:tcPr>
                <w:p w14:paraId="2668D787">
                  <w:pPr>
                    <w:widowControl/>
                    <w:jc w:val="center"/>
                    <w:outlineLvl w:val="1"/>
                    <w:rPr>
                      <w:rFonts w:hint="eastAsia"/>
                      <w:kern w:val="0"/>
                      <w:szCs w:val="21"/>
                    </w:rPr>
                  </w:pPr>
                  <w:r>
                    <w:rPr>
                      <w:rFonts w:hint="eastAsia"/>
                      <w:kern w:val="0"/>
                      <w:szCs w:val="21"/>
                    </w:rPr>
                    <w:t>台</w:t>
                  </w:r>
                </w:p>
              </w:tc>
              <w:tc>
                <w:tcPr>
                  <w:tcW w:w="883" w:type="pct"/>
                  <w:noWrap w:val="0"/>
                  <w:vAlign w:val="center"/>
                </w:tcPr>
                <w:p w14:paraId="076E6F78">
                  <w:pPr>
                    <w:jc w:val="center"/>
                    <w:rPr>
                      <w:rFonts w:hint="eastAsia"/>
                    </w:rPr>
                  </w:pPr>
                  <w:r>
                    <w:rPr>
                      <w:rFonts w:hint="eastAsia"/>
                    </w:rPr>
                    <w:t>8</w:t>
                  </w:r>
                </w:p>
              </w:tc>
            </w:tr>
            <w:tr w14:paraId="7622CCC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7" w:hRule="atLeast"/>
                <w:tblHeader/>
                <w:jc w:val="center"/>
              </w:trPr>
              <w:tc>
                <w:tcPr>
                  <w:tcW w:w="443" w:type="pct"/>
                  <w:noWrap w:val="0"/>
                  <w:vAlign w:val="center"/>
                </w:tcPr>
                <w:p w14:paraId="5F863474">
                  <w:pPr>
                    <w:jc w:val="center"/>
                    <w:rPr>
                      <w:szCs w:val="21"/>
                    </w:rPr>
                  </w:pPr>
                  <w:r>
                    <w:rPr>
                      <w:rFonts w:hint="eastAsia"/>
                      <w:szCs w:val="21"/>
                    </w:rPr>
                    <w:t>5</w:t>
                  </w:r>
                </w:p>
              </w:tc>
              <w:tc>
                <w:tcPr>
                  <w:tcW w:w="1382" w:type="pct"/>
                  <w:noWrap w:val="0"/>
                  <w:vAlign w:val="center"/>
                </w:tcPr>
                <w:p w14:paraId="7B9B7B7D">
                  <w:pPr>
                    <w:jc w:val="center"/>
                    <w:rPr>
                      <w:rFonts w:hint="eastAsia"/>
                    </w:rPr>
                  </w:pPr>
                  <w:r>
                    <w:rPr>
                      <w:rFonts w:hint="eastAsia"/>
                    </w:rPr>
                    <w:t>搅拌罐</w:t>
                  </w:r>
                </w:p>
              </w:tc>
              <w:tc>
                <w:tcPr>
                  <w:tcW w:w="1405" w:type="pct"/>
                  <w:noWrap w:val="0"/>
                  <w:vAlign w:val="center"/>
                </w:tcPr>
                <w:p w14:paraId="4C479504">
                  <w:pPr>
                    <w:jc w:val="center"/>
                    <w:rPr>
                      <w:rFonts w:hint="eastAsia"/>
                    </w:rPr>
                  </w:pPr>
                  <w:r>
                    <w:rPr>
                      <w:rFonts w:hint="eastAsia"/>
                    </w:rPr>
                    <w:t>500</w:t>
                  </w:r>
                  <w:r>
                    <w:t>L</w:t>
                  </w:r>
                </w:p>
              </w:tc>
              <w:tc>
                <w:tcPr>
                  <w:tcW w:w="884" w:type="pct"/>
                  <w:noWrap w:val="0"/>
                  <w:vAlign w:val="center"/>
                </w:tcPr>
                <w:p w14:paraId="64E5ECAD">
                  <w:pPr>
                    <w:widowControl/>
                    <w:jc w:val="center"/>
                    <w:outlineLvl w:val="1"/>
                    <w:rPr>
                      <w:rFonts w:hint="eastAsia"/>
                      <w:kern w:val="0"/>
                      <w:szCs w:val="21"/>
                    </w:rPr>
                  </w:pPr>
                  <w:r>
                    <w:rPr>
                      <w:rFonts w:hint="eastAsia"/>
                      <w:kern w:val="0"/>
                      <w:szCs w:val="21"/>
                    </w:rPr>
                    <w:t>台</w:t>
                  </w:r>
                </w:p>
              </w:tc>
              <w:tc>
                <w:tcPr>
                  <w:tcW w:w="883" w:type="pct"/>
                  <w:noWrap w:val="0"/>
                  <w:vAlign w:val="center"/>
                </w:tcPr>
                <w:p w14:paraId="7262CAED">
                  <w:pPr>
                    <w:jc w:val="center"/>
                    <w:rPr>
                      <w:rFonts w:hint="eastAsia"/>
                    </w:rPr>
                  </w:pPr>
                  <w:r>
                    <w:rPr>
                      <w:rFonts w:hint="eastAsia"/>
                    </w:rPr>
                    <w:t>8</w:t>
                  </w:r>
                </w:p>
              </w:tc>
            </w:tr>
            <w:tr w14:paraId="608F75A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443" w:type="pct"/>
                  <w:noWrap w:val="0"/>
                  <w:vAlign w:val="center"/>
                </w:tcPr>
                <w:p w14:paraId="41B8EA24">
                  <w:pPr>
                    <w:adjustRightInd w:val="0"/>
                    <w:snapToGrid w:val="0"/>
                    <w:jc w:val="center"/>
                    <w:rPr>
                      <w:rFonts w:hint="eastAsia"/>
                      <w:szCs w:val="21"/>
                    </w:rPr>
                  </w:pPr>
                  <w:r>
                    <w:rPr>
                      <w:rFonts w:hint="eastAsia"/>
                      <w:szCs w:val="21"/>
                    </w:rPr>
                    <w:t>6</w:t>
                  </w:r>
                </w:p>
              </w:tc>
              <w:tc>
                <w:tcPr>
                  <w:tcW w:w="1382" w:type="pct"/>
                  <w:noWrap w:val="0"/>
                  <w:vAlign w:val="center"/>
                </w:tcPr>
                <w:p w14:paraId="5D02E331">
                  <w:pPr>
                    <w:jc w:val="center"/>
                    <w:rPr>
                      <w:rFonts w:hint="eastAsia"/>
                    </w:rPr>
                  </w:pPr>
                  <w:r>
                    <w:rPr>
                      <w:rFonts w:hint="eastAsia"/>
                    </w:rPr>
                    <w:t>搅拌器</w:t>
                  </w:r>
                </w:p>
              </w:tc>
              <w:tc>
                <w:tcPr>
                  <w:tcW w:w="1405" w:type="pct"/>
                  <w:noWrap w:val="0"/>
                  <w:vAlign w:val="center"/>
                </w:tcPr>
                <w:p w14:paraId="2C7D0D8A">
                  <w:pPr>
                    <w:jc w:val="center"/>
                    <w:rPr>
                      <w:rFonts w:hint="eastAsia"/>
                    </w:rPr>
                  </w:pPr>
                  <w:r>
                    <w:rPr>
                      <w:rFonts w:hint="eastAsia"/>
                    </w:rPr>
                    <w:t>FS1100-ST</w:t>
                  </w:r>
                </w:p>
              </w:tc>
              <w:tc>
                <w:tcPr>
                  <w:tcW w:w="884" w:type="pct"/>
                  <w:noWrap w:val="0"/>
                  <w:vAlign w:val="center"/>
                </w:tcPr>
                <w:p w14:paraId="65229089">
                  <w:pPr>
                    <w:widowControl/>
                    <w:jc w:val="center"/>
                    <w:outlineLvl w:val="1"/>
                    <w:rPr>
                      <w:rFonts w:hint="eastAsia"/>
                      <w:kern w:val="0"/>
                      <w:szCs w:val="21"/>
                    </w:rPr>
                  </w:pPr>
                  <w:r>
                    <w:rPr>
                      <w:rFonts w:hint="eastAsia"/>
                      <w:kern w:val="0"/>
                      <w:szCs w:val="21"/>
                    </w:rPr>
                    <w:t>台</w:t>
                  </w:r>
                </w:p>
              </w:tc>
              <w:tc>
                <w:tcPr>
                  <w:tcW w:w="883" w:type="pct"/>
                  <w:noWrap w:val="0"/>
                  <w:vAlign w:val="center"/>
                </w:tcPr>
                <w:p w14:paraId="57BB580A">
                  <w:pPr>
                    <w:jc w:val="center"/>
                    <w:rPr>
                      <w:rFonts w:hint="eastAsia"/>
                    </w:rPr>
                  </w:pPr>
                  <w:r>
                    <w:rPr>
                      <w:rFonts w:hint="eastAsia"/>
                    </w:rPr>
                    <w:t>4</w:t>
                  </w:r>
                </w:p>
              </w:tc>
            </w:tr>
            <w:tr w14:paraId="6035A09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3" w:type="pct"/>
                  <w:noWrap w:val="0"/>
                  <w:vAlign w:val="center"/>
                </w:tcPr>
                <w:p w14:paraId="2B86C90A">
                  <w:pPr>
                    <w:adjustRightInd w:val="0"/>
                    <w:snapToGrid w:val="0"/>
                    <w:jc w:val="center"/>
                    <w:rPr>
                      <w:szCs w:val="21"/>
                    </w:rPr>
                  </w:pPr>
                  <w:r>
                    <w:rPr>
                      <w:rFonts w:hint="eastAsia"/>
                      <w:szCs w:val="21"/>
                    </w:rPr>
                    <w:t>7</w:t>
                  </w:r>
                </w:p>
              </w:tc>
              <w:tc>
                <w:tcPr>
                  <w:tcW w:w="1382" w:type="pct"/>
                  <w:noWrap w:val="0"/>
                  <w:vAlign w:val="center"/>
                </w:tcPr>
                <w:p w14:paraId="32BDF15D">
                  <w:pPr>
                    <w:jc w:val="center"/>
                  </w:pPr>
                  <w:r>
                    <w:rPr>
                      <w:rFonts w:hint="eastAsia"/>
                    </w:rPr>
                    <w:t>研磨机</w:t>
                  </w:r>
                </w:p>
              </w:tc>
              <w:tc>
                <w:tcPr>
                  <w:tcW w:w="1405" w:type="pct"/>
                  <w:noWrap w:val="0"/>
                  <w:vAlign w:val="center"/>
                </w:tcPr>
                <w:p w14:paraId="6D0F3485">
                  <w:pPr>
                    <w:jc w:val="center"/>
                  </w:pPr>
                  <w:r>
                    <w:rPr>
                      <w:rFonts w:hint="eastAsia"/>
                    </w:rPr>
                    <w:t>HBM-Plus盘式研磨机</w:t>
                  </w:r>
                </w:p>
              </w:tc>
              <w:tc>
                <w:tcPr>
                  <w:tcW w:w="884" w:type="pct"/>
                  <w:noWrap w:val="0"/>
                  <w:vAlign w:val="center"/>
                </w:tcPr>
                <w:p w14:paraId="6BBE9A24">
                  <w:pPr>
                    <w:widowControl/>
                    <w:jc w:val="center"/>
                    <w:outlineLvl w:val="1"/>
                    <w:rPr>
                      <w:rFonts w:hint="eastAsia"/>
                      <w:kern w:val="0"/>
                      <w:szCs w:val="21"/>
                    </w:rPr>
                  </w:pPr>
                  <w:r>
                    <w:rPr>
                      <w:rFonts w:hint="eastAsia"/>
                      <w:kern w:val="0"/>
                      <w:szCs w:val="21"/>
                    </w:rPr>
                    <w:t>台</w:t>
                  </w:r>
                </w:p>
              </w:tc>
              <w:tc>
                <w:tcPr>
                  <w:tcW w:w="883" w:type="pct"/>
                  <w:noWrap w:val="0"/>
                  <w:vAlign w:val="center"/>
                </w:tcPr>
                <w:p w14:paraId="70D13577">
                  <w:pPr>
                    <w:jc w:val="center"/>
                    <w:rPr>
                      <w:rFonts w:hint="eastAsia"/>
                    </w:rPr>
                  </w:pPr>
                  <w:r>
                    <w:rPr>
                      <w:rFonts w:hint="eastAsia"/>
                    </w:rPr>
                    <w:t>4</w:t>
                  </w:r>
                </w:p>
              </w:tc>
            </w:tr>
            <w:tr w14:paraId="14BB58E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3" w:type="pct"/>
                  <w:noWrap w:val="0"/>
                  <w:vAlign w:val="center"/>
                </w:tcPr>
                <w:p w14:paraId="5F126EED">
                  <w:pPr>
                    <w:adjustRightInd w:val="0"/>
                    <w:snapToGrid w:val="0"/>
                    <w:jc w:val="center"/>
                    <w:rPr>
                      <w:szCs w:val="21"/>
                    </w:rPr>
                  </w:pPr>
                  <w:r>
                    <w:rPr>
                      <w:rFonts w:hint="eastAsia"/>
                      <w:szCs w:val="21"/>
                    </w:rPr>
                    <w:t>8</w:t>
                  </w:r>
                </w:p>
              </w:tc>
              <w:tc>
                <w:tcPr>
                  <w:tcW w:w="1382" w:type="pct"/>
                  <w:noWrap w:val="0"/>
                  <w:vAlign w:val="center"/>
                </w:tcPr>
                <w:p w14:paraId="37FC61F3">
                  <w:pPr>
                    <w:jc w:val="center"/>
                    <w:rPr>
                      <w:rFonts w:hint="eastAsia"/>
                      <w:highlight w:val="none"/>
                    </w:rPr>
                  </w:pPr>
                  <w:r>
                    <w:rPr>
                      <w:rFonts w:hint="eastAsia"/>
                      <w:highlight w:val="none"/>
                    </w:rPr>
                    <w:t>喷砂机</w:t>
                  </w:r>
                </w:p>
              </w:tc>
              <w:tc>
                <w:tcPr>
                  <w:tcW w:w="1405" w:type="pct"/>
                  <w:noWrap w:val="0"/>
                  <w:vAlign w:val="center"/>
                </w:tcPr>
                <w:p w14:paraId="6C0DA631">
                  <w:pPr>
                    <w:jc w:val="center"/>
                    <w:rPr>
                      <w:highlight w:val="none"/>
                    </w:rPr>
                  </w:pPr>
                  <w:r>
                    <w:rPr>
                      <w:rFonts w:hint="eastAsia"/>
                      <w:highlight w:val="none"/>
                    </w:rPr>
                    <w:t>TS-300L-C</w:t>
                  </w:r>
                </w:p>
              </w:tc>
              <w:tc>
                <w:tcPr>
                  <w:tcW w:w="884" w:type="pct"/>
                  <w:noWrap w:val="0"/>
                  <w:vAlign w:val="center"/>
                </w:tcPr>
                <w:p w14:paraId="21869CE8">
                  <w:pPr>
                    <w:widowControl/>
                    <w:jc w:val="center"/>
                    <w:outlineLvl w:val="1"/>
                    <w:rPr>
                      <w:rFonts w:hint="eastAsia"/>
                      <w:kern w:val="0"/>
                      <w:szCs w:val="21"/>
                      <w:highlight w:val="none"/>
                    </w:rPr>
                  </w:pPr>
                  <w:r>
                    <w:rPr>
                      <w:rFonts w:hint="eastAsia"/>
                      <w:kern w:val="0"/>
                      <w:szCs w:val="21"/>
                      <w:highlight w:val="none"/>
                    </w:rPr>
                    <w:t>台</w:t>
                  </w:r>
                </w:p>
              </w:tc>
              <w:tc>
                <w:tcPr>
                  <w:tcW w:w="883" w:type="pct"/>
                  <w:noWrap w:val="0"/>
                  <w:vAlign w:val="center"/>
                </w:tcPr>
                <w:p w14:paraId="76FC30B6">
                  <w:pPr>
                    <w:jc w:val="center"/>
                    <w:rPr>
                      <w:rFonts w:hint="eastAsia"/>
                      <w:highlight w:val="none"/>
                    </w:rPr>
                  </w:pPr>
                  <w:r>
                    <w:rPr>
                      <w:rFonts w:hint="eastAsia"/>
                      <w:highlight w:val="none"/>
                    </w:rPr>
                    <w:t>2</w:t>
                  </w:r>
                </w:p>
              </w:tc>
            </w:tr>
            <w:tr w14:paraId="6092861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3" w:type="pct"/>
                  <w:noWrap w:val="0"/>
                  <w:vAlign w:val="center"/>
                </w:tcPr>
                <w:p w14:paraId="51FEB249">
                  <w:pPr>
                    <w:adjustRightInd w:val="0"/>
                    <w:snapToGrid w:val="0"/>
                    <w:jc w:val="center"/>
                    <w:rPr>
                      <w:szCs w:val="21"/>
                    </w:rPr>
                  </w:pPr>
                  <w:r>
                    <w:rPr>
                      <w:rFonts w:hint="eastAsia"/>
                      <w:szCs w:val="21"/>
                    </w:rPr>
                    <w:t>9</w:t>
                  </w:r>
                </w:p>
              </w:tc>
              <w:tc>
                <w:tcPr>
                  <w:tcW w:w="1382" w:type="pct"/>
                  <w:noWrap w:val="0"/>
                  <w:vAlign w:val="center"/>
                </w:tcPr>
                <w:p w14:paraId="2F9C7FB4">
                  <w:pPr>
                    <w:jc w:val="center"/>
                    <w:rPr>
                      <w:rFonts w:hint="eastAsia"/>
                    </w:rPr>
                  </w:pPr>
                  <w:r>
                    <w:rPr>
                      <w:rFonts w:hint="eastAsia"/>
                    </w:rPr>
                    <w:t>细度测量分析仪</w:t>
                  </w:r>
                </w:p>
              </w:tc>
              <w:tc>
                <w:tcPr>
                  <w:tcW w:w="1405" w:type="pct"/>
                  <w:noWrap w:val="0"/>
                  <w:vAlign w:val="center"/>
                </w:tcPr>
                <w:p w14:paraId="4A6F3DE4">
                  <w:pPr>
                    <w:jc w:val="center"/>
                    <w:rPr>
                      <w:rFonts w:hint="eastAsia"/>
                    </w:rPr>
                  </w:pPr>
                  <w:r>
                    <w:rPr>
                      <w:rFonts w:hint="eastAsia"/>
                    </w:rPr>
                    <w:t>Labman TIDAS</w:t>
                  </w:r>
                </w:p>
              </w:tc>
              <w:tc>
                <w:tcPr>
                  <w:tcW w:w="884" w:type="pct"/>
                  <w:noWrap w:val="0"/>
                  <w:vAlign w:val="center"/>
                </w:tcPr>
                <w:p w14:paraId="0DD5CF7B">
                  <w:pPr>
                    <w:widowControl/>
                    <w:jc w:val="center"/>
                    <w:outlineLvl w:val="1"/>
                    <w:rPr>
                      <w:rFonts w:hint="eastAsia"/>
                      <w:kern w:val="0"/>
                      <w:szCs w:val="21"/>
                    </w:rPr>
                  </w:pPr>
                  <w:r>
                    <w:rPr>
                      <w:rFonts w:hint="eastAsia"/>
                      <w:kern w:val="0"/>
                      <w:szCs w:val="21"/>
                    </w:rPr>
                    <w:t>台</w:t>
                  </w:r>
                </w:p>
              </w:tc>
              <w:tc>
                <w:tcPr>
                  <w:tcW w:w="883" w:type="pct"/>
                  <w:noWrap w:val="0"/>
                  <w:vAlign w:val="center"/>
                </w:tcPr>
                <w:p w14:paraId="2B63F132">
                  <w:pPr>
                    <w:jc w:val="center"/>
                    <w:rPr>
                      <w:rFonts w:hint="eastAsia"/>
                    </w:rPr>
                  </w:pPr>
                  <w:r>
                    <w:rPr>
                      <w:rFonts w:hint="eastAsia"/>
                    </w:rPr>
                    <w:t>2</w:t>
                  </w:r>
                </w:p>
              </w:tc>
            </w:tr>
            <w:tr w14:paraId="68B5BD1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3" w:type="pct"/>
                  <w:noWrap w:val="0"/>
                  <w:vAlign w:val="center"/>
                </w:tcPr>
                <w:p w14:paraId="7794232A">
                  <w:pPr>
                    <w:adjustRightInd w:val="0"/>
                    <w:snapToGrid w:val="0"/>
                    <w:jc w:val="center"/>
                    <w:rPr>
                      <w:szCs w:val="21"/>
                    </w:rPr>
                  </w:pPr>
                  <w:r>
                    <w:rPr>
                      <w:rFonts w:hint="eastAsia"/>
                      <w:szCs w:val="21"/>
                    </w:rPr>
                    <w:t>10</w:t>
                  </w:r>
                </w:p>
              </w:tc>
              <w:tc>
                <w:tcPr>
                  <w:tcW w:w="1382" w:type="pct"/>
                  <w:noWrap w:val="0"/>
                  <w:vAlign w:val="center"/>
                </w:tcPr>
                <w:p w14:paraId="39E69A7A">
                  <w:pPr>
                    <w:jc w:val="center"/>
                    <w:rPr>
                      <w:rFonts w:hint="eastAsia"/>
                    </w:rPr>
                  </w:pPr>
                  <w:r>
                    <w:rPr>
                      <w:rFonts w:hint="eastAsia"/>
                    </w:rPr>
                    <w:t>漆膜冲击器</w:t>
                  </w:r>
                </w:p>
              </w:tc>
              <w:tc>
                <w:tcPr>
                  <w:tcW w:w="1405" w:type="pct"/>
                  <w:noWrap w:val="0"/>
                  <w:vAlign w:val="center"/>
                </w:tcPr>
                <w:p w14:paraId="57CECAEC">
                  <w:pPr>
                    <w:jc w:val="center"/>
                  </w:pPr>
                  <w:r>
                    <w:rPr>
                      <w:rFonts w:hint="eastAsia"/>
                    </w:rPr>
                    <w:t>QCJ-50</w:t>
                  </w:r>
                </w:p>
              </w:tc>
              <w:tc>
                <w:tcPr>
                  <w:tcW w:w="884" w:type="pct"/>
                  <w:noWrap w:val="0"/>
                  <w:vAlign w:val="center"/>
                </w:tcPr>
                <w:p w14:paraId="58E7F0D2">
                  <w:pPr>
                    <w:widowControl/>
                    <w:jc w:val="center"/>
                    <w:outlineLvl w:val="1"/>
                    <w:rPr>
                      <w:rFonts w:hint="eastAsia"/>
                      <w:kern w:val="0"/>
                      <w:szCs w:val="21"/>
                    </w:rPr>
                  </w:pPr>
                  <w:r>
                    <w:rPr>
                      <w:rFonts w:hint="eastAsia"/>
                      <w:kern w:val="0"/>
                      <w:szCs w:val="21"/>
                    </w:rPr>
                    <w:t>台</w:t>
                  </w:r>
                </w:p>
              </w:tc>
              <w:tc>
                <w:tcPr>
                  <w:tcW w:w="883" w:type="pct"/>
                  <w:noWrap w:val="0"/>
                  <w:vAlign w:val="center"/>
                </w:tcPr>
                <w:p w14:paraId="51B4CD8F">
                  <w:pPr>
                    <w:jc w:val="center"/>
                    <w:rPr>
                      <w:rFonts w:hint="eastAsia"/>
                    </w:rPr>
                  </w:pPr>
                  <w:r>
                    <w:rPr>
                      <w:rFonts w:hint="eastAsia"/>
                    </w:rPr>
                    <w:t>2</w:t>
                  </w:r>
                </w:p>
              </w:tc>
            </w:tr>
            <w:tr w14:paraId="3189461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3" w:type="pct"/>
                  <w:noWrap w:val="0"/>
                  <w:vAlign w:val="center"/>
                </w:tcPr>
                <w:p w14:paraId="340C0490">
                  <w:pPr>
                    <w:autoSpaceDE w:val="0"/>
                    <w:autoSpaceDN w:val="0"/>
                    <w:jc w:val="center"/>
                    <w:textAlignment w:val="center"/>
                    <w:rPr>
                      <w:szCs w:val="21"/>
                    </w:rPr>
                  </w:pPr>
                  <w:r>
                    <w:rPr>
                      <w:rFonts w:hint="eastAsia"/>
                      <w:szCs w:val="21"/>
                    </w:rPr>
                    <w:t>11</w:t>
                  </w:r>
                </w:p>
              </w:tc>
              <w:tc>
                <w:tcPr>
                  <w:tcW w:w="1382" w:type="pct"/>
                  <w:noWrap w:val="0"/>
                  <w:vAlign w:val="center"/>
                </w:tcPr>
                <w:p w14:paraId="498B9D9D">
                  <w:pPr>
                    <w:jc w:val="center"/>
                    <w:rPr>
                      <w:rFonts w:hint="eastAsia"/>
                    </w:rPr>
                  </w:pPr>
                  <w:r>
                    <w:rPr>
                      <w:rFonts w:hint="eastAsia"/>
                    </w:rPr>
                    <w:t>精密天平</w:t>
                  </w:r>
                </w:p>
              </w:tc>
              <w:tc>
                <w:tcPr>
                  <w:tcW w:w="1405" w:type="pct"/>
                  <w:noWrap w:val="0"/>
                  <w:vAlign w:val="center"/>
                </w:tcPr>
                <w:p w14:paraId="76E7CFA8">
                  <w:pPr>
                    <w:jc w:val="center"/>
                  </w:pPr>
                  <w:r>
                    <w:rPr>
                      <w:rFonts w:hint="eastAsia"/>
                    </w:rPr>
                    <w:t>FA2204E</w:t>
                  </w:r>
                </w:p>
              </w:tc>
              <w:tc>
                <w:tcPr>
                  <w:tcW w:w="884" w:type="pct"/>
                  <w:noWrap w:val="0"/>
                  <w:vAlign w:val="center"/>
                </w:tcPr>
                <w:p w14:paraId="67414A55">
                  <w:pPr>
                    <w:widowControl/>
                    <w:jc w:val="center"/>
                    <w:outlineLvl w:val="1"/>
                    <w:rPr>
                      <w:rFonts w:hint="eastAsia"/>
                      <w:kern w:val="0"/>
                      <w:szCs w:val="21"/>
                    </w:rPr>
                  </w:pPr>
                  <w:r>
                    <w:rPr>
                      <w:rFonts w:hint="eastAsia"/>
                      <w:kern w:val="0"/>
                      <w:szCs w:val="21"/>
                    </w:rPr>
                    <w:t>台</w:t>
                  </w:r>
                </w:p>
              </w:tc>
              <w:tc>
                <w:tcPr>
                  <w:tcW w:w="883" w:type="pct"/>
                  <w:noWrap w:val="0"/>
                  <w:vAlign w:val="center"/>
                </w:tcPr>
                <w:p w14:paraId="26A1D7EE">
                  <w:pPr>
                    <w:jc w:val="center"/>
                    <w:rPr>
                      <w:rFonts w:hint="eastAsia"/>
                    </w:rPr>
                  </w:pPr>
                  <w:r>
                    <w:rPr>
                      <w:rFonts w:hint="eastAsia"/>
                    </w:rPr>
                    <w:t>2</w:t>
                  </w:r>
                </w:p>
              </w:tc>
            </w:tr>
            <w:tr w14:paraId="155B919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3" w:type="pct"/>
                  <w:noWrap w:val="0"/>
                  <w:vAlign w:val="center"/>
                </w:tcPr>
                <w:p w14:paraId="0CCDF199">
                  <w:pPr>
                    <w:autoSpaceDE w:val="0"/>
                    <w:autoSpaceDN w:val="0"/>
                    <w:jc w:val="center"/>
                    <w:textAlignment w:val="center"/>
                    <w:rPr>
                      <w:szCs w:val="21"/>
                    </w:rPr>
                  </w:pPr>
                  <w:r>
                    <w:rPr>
                      <w:rFonts w:hint="eastAsia"/>
                      <w:szCs w:val="21"/>
                    </w:rPr>
                    <w:t>12</w:t>
                  </w:r>
                </w:p>
              </w:tc>
              <w:tc>
                <w:tcPr>
                  <w:tcW w:w="1382" w:type="pct"/>
                  <w:noWrap w:val="0"/>
                  <w:vAlign w:val="center"/>
                </w:tcPr>
                <w:p w14:paraId="6B482404">
                  <w:pPr>
                    <w:jc w:val="center"/>
                  </w:pPr>
                  <w:r>
                    <w:rPr>
                      <w:rFonts w:hint="eastAsia"/>
                    </w:rPr>
                    <w:t>漆膜硬度仪</w:t>
                  </w:r>
                </w:p>
              </w:tc>
              <w:tc>
                <w:tcPr>
                  <w:tcW w:w="1405" w:type="pct"/>
                  <w:noWrap w:val="0"/>
                  <w:vAlign w:val="center"/>
                </w:tcPr>
                <w:p w14:paraId="1B0DF97C">
                  <w:pPr>
                    <w:jc w:val="center"/>
                  </w:pPr>
                  <w:r>
                    <w:t>HB-3000D</w:t>
                  </w:r>
                </w:p>
              </w:tc>
              <w:tc>
                <w:tcPr>
                  <w:tcW w:w="884" w:type="pct"/>
                  <w:noWrap w:val="0"/>
                  <w:vAlign w:val="center"/>
                </w:tcPr>
                <w:p w14:paraId="5285614E">
                  <w:pPr>
                    <w:widowControl/>
                    <w:jc w:val="center"/>
                    <w:outlineLvl w:val="1"/>
                    <w:rPr>
                      <w:rFonts w:hint="eastAsia"/>
                      <w:kern w:val="0"/>
                      <w:szCs w:val="21"/>
                    </w:rPr>
                  </w:pPr>
                  <w:r>
                    <w:rPr>
                      <w:rFonts w:hint="eastAsia"/>
                      <w:kern w:val="0"/>
                      <w:szCs w:val="21"/>
                    </w:rPr>
                    <w:t>台</w:t>
                  </w:r>
                </w:p>
              </w:tc>
              <w:tc>
                <w:tcPr>
                  <w:tcW w:w="883" w:type="pct"/>
                  <w:noWrap w:val="0"/>
                  <w:vAlign w:val="center"/>
                </w:tcPr>
                <w:p w14:paraId="7C879C94">
                  <w:pPr>
                    <w:jc w:val="center"/>
                    <w:rPr>
                      <w:rFonts w:hint="eastAsia"/>
                    </w:rPr>
                  </w:pPr>
                  <w:r>
                    <w:rPr>
                      <w:rFonts w:hint="eastAsia"/>
                    </w:rPr>
                    <w:t>2</w:t>
                  </w:r>
                </w:p>
              </w:tc>
            </w:tr>
            <w:tr w14:paraId="2744300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3" w:type="pct"/>
                  <w:noWrap w:val="0"/>
                  <w:vAlign w:val="center"/>
                </w:tcPr>
                <w:p w14:paraId="333315DB">
                  <w:pPr>
                    <w:autoSpaceDE w:val="0"/>
                    <w:autoSpaceDN w:val="0"/>
                    <w:jc w:val="center"/>
                    <w:textAlignment w:val="center"/>
                    <w:rPr>
                      <w:szCs w:val="21"/>
                    </w:rPr>
                  </w:pPr>
                  <w:r>
                    <w:rPr>
                      <w:rFonts w:hint="eastAsia"/>
                      <w:szCs w:val="21"/>
                    </w:rPr>
                    <w:t>13</w:t>
                  </w:r>
                </w:p>
              </w:tc>
              <w:tc>
                <w:tcPr>
                  <w:tcW w:w="1382" w:type="pct"/>
                  <w:noWrap w:val="0"/>
                  <w:vAlign w:val="center"/>
                </w:tcPr>
                <w:p w14:paraId="4CA19E7E">
                  <w:pPr>
                    <w:jc w:val="center"/>
                    <w:rPr>
                      <w:rFonts w:hint="eastAsia"/>
                    </w:rPr>
                  </w:pPr>
                  <w:r>
                    <w:rPr>
                      <w:rFonts w:hint="eastAsia"/>
                    </w:rPr>
                    <w:t>漆膜光泽仪</w:t>
                  </w:r>
                </w:p>
              </w:tc>
              <w:tc>
                <w:tcPr>
                  <w:tcW w:w="1405" w:type="pct"/>
                  <w:noWrap w:val="0"/>
                  <w:vAlign w:val="center"/>
                </w:tcPr>
                <w:p w14:paraId="1DC40D69">
                  <w:pPr>
                    <w:jc w:val="center"/>
                  </w:pPr>
                  <w:r>
                    <w:t>NHG268</w:t>
                  </w:r>
                </w:p>
              </w:tc>
              <w:tc>
                <w:tcPr>
                  <w:tcW w:w="884" w:type="pct"/>
                  <w:noWrap w:val="0"/>
                  <w:vAlign w:val="center"/>
                </w:tcPr>
                <w:p w14:paraId="5529F273">
                  <w:pPr>
                    <w:widowControl/>
                    <w:jc w:val="center"/>
                    <w:outlineLvl w:val="1"/>
                    <w:rPr>
                      <w:rFonts w:hint="eastAsia"/>
                      <w:kern w:val="0"/>
                      <w:szCs w:val="21"/>
                    </w:rPr>
                  </w:pPr>
                  <w:r>
                    <w:rPr>
                      <w:rFonts w:hint="eastAsia"/>
                      <w:kern w:val="0"/>
                      <w:szCs w:val="21"/>
                    </w:rPr>
                    <w:t>台</w:t>
                  </w:r>
                </w:p>
              </w:tc>
              <w:tc>
                <w:tcPr>
                  <w:tcW w:w="883" w:type="pct"/>
                  <w:noWrap w:val="0"/>
                  <w:vAlign w:val="center"/>
                </w:tcPr>
                <w:p w14:paraId="477160FF">
                  <w:pPr>
                    <w:jc w:val="center"/>
                    <w:rPr>
                      <w:rFonts w:hint="eastAsia"/>
                    </w:rPr>
                  </w:pPr>
                  <w:r>
                    <w:rPr>
                      <w:rFonts w:hint="eastAsia"/>
                    </w:rPr>
                    <w:t>2</w:t>
                  </w:r>
                </w:p>
              </w:tc>
            </w:tr>
            <w:tr w14:paraId="45625C3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3" w:type="pct"/>
                  <w:noWrap w:val="0"/>
                  <w:vAlign w:val="center"/>
                </w:tcPr>
                <w:p w14:paraId="690AA895">
                  <w:pPr>
                    <w:autoSpaceDE w:val="0"/>
                    <w:autoSpaceDN w:val="0"/>
                    <w:jc w:val="center"/>
                    <w:textAlignment w:val="center"/>
                    <w:rPr>
                      <w:szCs w:val="21"/>
                    </w:rPr>
                  </w:pPr>
                  <w:r>
                    <w:rPr>
                      <w:rFonts w:hint="eastAsia"/>
                      <w:szCs w:val="21"/>
                    </w:rPr>
                    <w:t>14</w:t>
                  </w:r>
                </w:p>
              </w:tc>
              <w:tc>
                <w:tcPr>
                  <w:tcW w:w="1382" w:type="pct"/>
                  <w:noWrap w:val="0"/>
                  <w:vAlign w:val="center"/>
                </w:tcPr>
                <w:p w14:paraId="615B08C9">
                  <w:pPr>
                    <w:jc w:val="center"/>
                    <w:rPr>
                      <w:rFonts w:hint="eastAsia"/>
                    </w:rPr>
                  </w:pPr>
                  <w:r>
                    <w:rPr>
                      <w:rFonts w:hint="eastAsia"/>
                    </w:rPr>
                    <w:t>漆膜厚度仪</w:t>
                  </w:r>
                </w:p>
              </w:tc>
              <w:tc>
                <w:tcPr>
                  <w:tcW w:w="1405" w:type="pct"/>
                  <w:noWrap w:val="0"/>
                  <w:vAlign w:val="center"/>
                </w:tcPr>
                <w:p w14:paraId="4C68D017">
                  <w:pPr>
                    <w:jc w:val="center"/>
                  </w:pPr>
                  <w:r>
                    <w:rPr>
                      <w:rFonts w:hint="eastAsia"/>
                    </w:rPr>
                    <w:t>MQP（</w:t>
                  </w:r>
                  <w:r>
                    <w:t>0~2000μm</w:t>
                  </w:r>
                  <w:r>
                    <w:rPr>
                      <w:rFonts w:hint="eastAsia"/>
                    </w:rPr>
                    <w:t>）</w:t>
                  </w:r>
                </w:p>
              </w:tc>
              <w:tc>
                <w:tcPr>
                  <w:tcW w:w="884" w:type="pct"/>
                  <w:noWrap w:val="0"/>
                  <w:vAlign w:val="center"/>
                </w:tcPr>
                <w:p w14:paraId="77F1A4E7">
                  <w:pPr>
                    <w:widowControl/>
                    <w:jc w:val="center"/>
                    <w:outlineLvl w:val="1"/>
                    <w:rPr>
                      <w:kern w:val="0"/>
                      <w:szCs w:val="21"/>
                    </w:rPr>
                  </w:pPr>
                  <w:r>
                    <w:rPr>
                      <w:rFonts w:hint="eastAsia"/>
                      <w:kern w:val="0"/>
                      <w:szCs w:val="21"/>
                    </w:rPr>
                    <w:t>台</w:t>
                  </w:r>
                </w:p>
              </w:tc>
              <w:tc>
                <w:tcPr>
                  <w:tcW w:w="883" w:type="pct"/>
                  <w:noWrap w:val="0"/>
                  <w:vAlign w:val="center"/>
                </w:tcPr>
                <w:p w14:paraId="69C19CD0">
                  <w:pPr>
                    <w:jc w:val="center"/>
                  </w:pPr>
                  <w:r>
                    <w:rPr>
                      <w:rFonts w:hint="eastAsia"/>
                    </w:rPr>
                    <w:t>2</w:t>
                  </w:r>
                </w:p>
              </w:tc>
            </w:tr>
            <w:tr w14:paraId="17C42AD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3" w:type="pct"/>
                  <w:noWrap w:val="0"/>
                  <w:vAlign w:val="center"/>
                </w:tcPr>
                <w:p w14:paraId="47F6C75C">
                  <w:pPr>
                    <w:autoSpaceDE w:val="0"/>
                    <w:autoSpaceDN w:val="0"/>
                    <w:jc w:val="center"/>
                    <w:textAlignment w:val="center"/>
                    <w:rPr>
                      <w:szCs w:val="21"/>
                    </w:rPr>
                  </w:pPr>
                  <w:r>
                    <w:rPr>
                      <w:rFonts w:hint="eastAsia"/>
                      <w:szCs w:val="21"/>
                    </w:rPr>
                    <w:t>15</w:t>
                  </w:r>
                </w:p>
              </w:tc>
              <w:tc>
                <w:tcPr>
                  <w:tcW w:w="1382" w:type="pct"/>
                  <w:noWrap w:val="0"/>
                  <w:vAlign w:val="center"/>
                </w:tcPr>
                <w:p w14:paraId="1587121B">
                  <w:pPr>
                    <w:jc w:val="center"/>
                    <w:rPr>
                      <w:rFonts w:hint="eastAsia"/>
                    </w:rPr>
                  </w:pPr>
                  <w:r>
                    <w:rPr>
                      <w:rFonts w:hint="eastAsia"/>
                    </w:rPr>
                    <w:t>漆膜附着器</w:t>
                  </w:r>
                </w:p>
              </w:tc>
              <w:tc>
                <w:tcPr>
                  <w:tcW w:w="1405" w:type="pct"/>
                  <w:noWrap w:val="0"/>
                  <w:vAlign w:val="center"/>
                </w:tcPr>
                <w:p w14:paraId="7F68785A">
                  <w:pPr>
                    <w:jc w:val="center"/>
                  </w:pPr>
                  <w:r>
                    <w:rPr>
                      <w:rFonts w:hint="eastAsia"/>
                    </w:rPr>
                    <w:t>HC-M</w:t>
                  </w:r>
                </w:p>
              </w:tc>
              <w:tc>
                <w:tcPr>
                  <w:tcW w:w="884" w:type="pct"/>
                  <w:noWrap w:val="0"/>
                  <w:vAlign w:val="center"/>
                </w:tcPr>
                <w:p w14:paraId="02EC03D4">
                  <w:pPr>
                    <w:widowControl/>
                    <w:jc w:val="center"/>
                    <w:outlineLvl w:val="1"/>
                    <w:rPr>
                      <w:rFonts w:hint="eastAsia"/>
                      <w:kern w:val="0"/>
                      <w:szCs w:val="21"/>
                    </w:rPr>
                  </w:pPr>
                  <w:r>
                    <w:rPr>
                      <w:rFonts w:hint="eastAsia"/>
                      <w:kern w:val="0"/>
                      <w:szCs w:val="21"/>
                    </w:rPr>
                    <w:t>台</w:t>
                  </w:r>
                </w:p>
              </w:tc>
              <w:tc>
                <w:tcPr>
                  <w:tcW w:w="883" w:type="pct"/>
                  <w:noWrap w:val="0"/>
                  <w:vAlign w:val="center"/>
                </w:tcPr>
                <w:p w14:paraId="2D397CE3">
                  <w:pPr>
                    <w:jc w:val="center"/>
                    <w:rPr>
                      <w:rFonts w:hint="eastAsia"/>
                    </w:rPr>
                  </w:pPr>
                  <w:r>
                    <w:rPr>
                      <w:rFonts w:hint="eastAsia"/>
                    </w:rPr>
                    <w:t>2</w:t>
                  </w:r>
                </w:p>
              </w:tc>
            </w:tr>
            <w:tr w14:paraId="7CC8A09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3" w:type="pct"/>
                  <w:noWrap w:val="0"/>
                  <w:vAlign w:val="center"/>
                </w:tcPr>
                <w:p w14:paraId="2BA7D2C9">
                  <w:pPr>
                    <w:autoSpaceDE w:val="0"/>
                    <w:autoSpaceDN w:val="0"/>
                    <w:jc w:val="center"/>
                    <w:textAlignment w:val="center"/>
                    <w:rPr>
                      <w:szCs w:val="21"/>
                    </w:rPr>
                  </w:pPr>
                  <w:r>
                    <w:rPr>
                      <w:rFonts w:hint="eastAsia"/>
                      <w:szCs w:val="21"/>
                    </w:rPr>
                    <w:t>16</w:t>
                  </w:r>
                </w:p>
              </w:tc>
              <w:tc>
                <w:tcPr>
                  <w:tcW w:w="1382" w:type="pct"/>
                  <w:noWrap w:val="0"/>
                  <w:vAlign w:val="center"/>
                </w:tcPr>
                <w:p w14:paraId="4A7502FD">
                  <w:pPr>
                    <w:jc w:val="center"/>
                    <w:rPr>
                      <w:rFonts w:hint="eastAsia"/>
                    </w:rPr>
                  </w:pPr>
                  <w:r>
                    <w:rPr>
                      <w:rFonts w:hint="eastAsia"/>
                    </w:rPr>
                    <w:t>粘度计</w:t>
                  </w:r>
                </w:p>
              </w:tc>
              <w:tc>
                <w:tcPr>
                  <w:tcW w:w="1405" w:type="pct"/>
                  <w:noWrap w:val="0"/>
                  <w:vAlign w:val="center"/>
                </w:tcPr>
                <w:p w14:paraId="373E0AE1">
                  <w:pPr>
                    <w:jc w:val="center"/>
                    <w:rPr>
                      <w:rFonts w:hint="eastAsia"/>
                    </w:rPr>
                  </w:pPr>
                  <w:r>
                    <w:rPr>
                      <w:rFonts w:hint="eastAsia"/>
                    </w:rPr>
                    <w:t>DVNEXTCP</w:t>
                  </w:r>
                </w:p>
              </w:tc>
              <w:tc>
                <w:tcPr>
                  <w:tcW w:w="884" w:type="pct"/>
                  <w:noWrap w:val="0"/>
                  <w:vAlign w:val="center"/>
                </w:tcPr>
                <w:p w14:paraId="64925F05">
                  <w:pPr>
                    <w:widowControl/>
                    <w:jc w:val="center"/>
                    <w:outlineLvl w:val="1"/>
                    <w:rPr>
                      <w:rFonts w:hint="eastAsia"/>
                      <w:kern w:val="0"/>
                      <w:szCs w:val="21"/>
                    </w:rPr>
                  </w:pPr>
                  <w:r>
                    <w:rPr>
                      <w:rFonts w:hint="eastAsia"/>
                      <w:kern w:val="0"/>
                      <w:szCs w:val="21"/>
                    </w:rPr>
                    <w:t>台</w:t>
                  </w:r>
                </w:p>
              </w:tc>
              <w:tc>
                <w:tcPr>
                  <w:tcW w:w="883" w:type="pct"/>
                  <w:noWrap w:val="0"/>
                  <w:vAlign w:val="center"/>
                </w:tcPr>
                <w:p w14:paraId="6BCF6CE0">
                  <w:pPr>
                    <w:jc w:val="center"/>
                  </w:pPr>
                  <w:r>
                    <w:rPr>
                      <w:rFonts w:hint="eastAsia"/>
                    </w:rPr>
                    <w:t>1</w:t>
                  </w:r>
                </w:p>
              </w:tc>
            </w:tr>
            <w:tr w14:paraId="097526E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3" w:type="pct"/>
                  <w:noWrap w:val="0"/>
                  <w:vAlign w:val="center"/>
                </w:tcPr>
                <w:p w14:paraId="063C0D89">
                  <w:pPr>
                    <w:autoSpaceDE w:val="0"/>
                    <w:autoSpaceDN w:val="0"/>
                    <w:jc w:val="center"/>
                    <w:textAlignment w:val="center"/>
                    <w:rPr>
                      <w:szCs w:val="21"/>
                    </w:rPr>
                  </w:pPr>
                  <w:r>
                    <w:rPr>
                      <w:rFonts w:hint="eastAsia"/>
                      <w:szCs w:val="21"/>
                    </w:rPr>
                    <w:t>17</w:t>
                  </w:r>
                </w:p>
              </w:tc>
              <w:tc>
                <w:tcPr>
                  <w:tcW w:w="1382" w:type="pct"/>
                  <w:noWrap w:val="0"/>
                  <w:vAlign w:val="center"/>
                </w:tcPr>
                <w:p w14:paraId="04556599">
                  <w:pPr>
                    <w:jc w:val="center"/>
                    <w:rPr>
                      <w:rFonts w:hint="eastAsia"/>
                    </w:rPr>
                  </w:pPr>
                  <w:r>
                    <w:rPr>
                      <w:rFonts w:hint="eastAsia"/>
                    </w:rPr>
                    <w:t>耐磨仪</w:t>
                  </w:r>
                </w:p>
              </w:tc>
              <w:tc>
                <w:tcPr>
                  <w:tcW w:w="1405" w:type="pct"/>
                  <w:noWrap w:val="0"/>
                  <w:vAlign w:val="center"/>
                </w:tcPr>
                <w:p w14:paraId="23EB9F6E">
                  <w:pPr>
                    <w:jc w:val="center"/>
                    <w:rPr>
                      <w:rFonts w:hint="eastAsia"/>
                    </w:rPr>
                  </w:pPr>
                  <w:r>
                    <w:rPr>
                      <w:rFonts w:hint="eastAsia"/>
                    </w:rPr>
                    <w:t>JM-IV</w:t>
                  </w:r>
                </w:p>
              </w:tc>
              <w:tc>
                <w:tcPr>
                  <w:tcW w:w="884" w:type="pct"/>
                  <w:noWrap w:val="0"/>
                  <w:vAlign w:val="center"/>
                </w:tcPr>
                <w:p w14:paraId="027349B2">
                  <w:pPr>
                    <w:widowControl/>
                    <w:jc w:val="center"/>
                    <w:outlineLvl w:val="1"/>
                    <w:rPr>
                      <w:rFonts w:hint="eastAsia"/>
                      <w:kern w:val="0"/>
                      <w:szCs w:val="21"/>
                    </w:rPr>
                  </w:pPr>
                  <w:r>
                    <w:rPr>
                      <w:rFonts w:hint="eastAsia"/>
                      <w:kern w:val="0"/>
                      <w:szCs w:val="21"/>
                    </w:rPr>
                    <w:t>台</w:t>
                  </w:r>
                </w:p>
              </w:tc>
              <w:tc>
                <w:tcPr>
                  <w:tcW w:w="883" w:type="pct"/>
                  <w:noWrap w:val="0"/>
                  <w:vAlign w:val="center"/>
                </w:tcPr>
                <w:p w14:paraId="15BB7C4A">
                  <w:pPr>
                    <w:jc w:val="center"/>
                  </w:pPr>
                  <w:r>
                    <w:rPr>
                      <w:rFonts w:hint="eastAsia"/>
                    </w:rPr>
                    <w:t>1</w:t>
                  </w:r>
                </w:p>
              </w:tc>
            </w:tr>
            <w:tr w14:paraId="5044BF7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3" w:type="pct"/>
                  <w:noWrap w:val="0"/>
                  <w:vAlign w:val="center"/>
                </w:tcPr>
                <w:p w14:paraId="7A65EFB2">
                  <w:pPr>
                    <w:autoSpaceDE w:val="0"/>
                    <w:autoSpaceDN w:val="0"/>
                    <w:jc w:val="center"/>
                    <w:textAlignment w:val="center"/>
                    <w:rPr>
                      <w:szCs w:val="21"/>
                    </w:rPr>
                  </w:pPr>
                  <w:r>
                    <w:rPr>
                      <w:rFonts w:hint="eastAsia"/>
                      <w:szCs w:val="21"/>
                    </w:rPr>
                    <w:t>18</w:t>
                  </w:r>
                </w:p>
              </w:tc>
              <w:tc>
                <w:tcPr>
                  <w:tcW w:w="1382" w:type="pct"/>
                  <w:noWrap w:val="0"/>
                  <w:vAlign w:val="center"/>
                </w:tcPr>
                <w:p w14:paraId="6D0577C0">
                  <w:pPr>
                    <w:jc w:val="center"/>
                    <w:rPr>
                      <w:rFonts w:hint="eastAsia"/>
                    </w:rPr>
                  </w:pPr>
                  <w:r>
                    <w:rPr>
                      <w:rFonts w:hint="eastAsia"/>
                    </w:rPr>
                    <w:t>盐雾箱</w:t>
                  </w:r>
                </w:p>
              </w:tc>
              <w:tc>
                <w:tcPr>
                  <w:tcW w:w="1405" w:type="pct"/>
                  <w:noWrap w:val="0"/>
                  <w:vAlign w:val="center"/>
                </w:tcPr>
                <w:p w14:paraId="78D9D1EC">
                  <w:pPr>
                    <w:jc w:val="center"/>
                    <w:rPr>
                      <w:rFonts w:hint="eastAsia"/>
                    </w:rPr>
                  </w:pPr>
                  <w:r>
                    <w:rPr>
                      <w:rFonts w:hint="eastAsia"/>
                    </w:rPr>
                    <w:t>ZLHS-160-SH</w:t>
                  </w:r>
                </w:p>
              </w:tc>
              <w:tc>
                <w:tcPr>
                  <w:tcW w:w="884" w:type="pct"/>
                  <w:noWrap w:val="0"/>
                  <w:vAlign w:val="center"/>
                </w:tcPr>
                <w:p w14:paraId="75CAF25E">
                  <w:pPr>
                    <w:widowControl/>
                    <w:jc w:val="center"/>
                    <w:outlineLvl w:val="1"/>
                    <w:rPr>
                      <w:rFonts w:hint="eastAsia"/>
                      <w:kern w:val="0"/>
                      <w:szCs w:val="21"/>
                    </w:rPr>
                  </w:pPr>
                  <w:r>
                    <w:rPr>
                      <w:rFonts w:hint="eastAsia"/>
                      <w:kern w:val="0"/>
                      <w:szCs w:val="21"/>
                    </w:rPr>
                    <w:t>台</w:t>
                  </w:r>
                </w:p>
              </w:tc>
              <w:tc>
                <w:tcPr>
                  <w:tcW w:w="883" w:type="pct"/>
                  <w:noWrap w:val="0"/>
                  <w:vAlign w:val="center"/>
                </w:tcPr>
                <w:p w14:paraId="52AD567A">
                  <w:pPr>
                    <w:jc w:val="center"/>
                  </w:pPr>
                  <w:r>
                    <w:rPr>
                      <w:rFonts w:hint="eastAsia"/>
                    </w:rPr>
                    <w:t>1</w:t>
                  </w:r>
                </w:p>
              </w:tc>
            </w:tr>
            <w:tr w14:paraId="25C1BFD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3" w:type="pct"/>
                  <w:noWrap w:val="0"/>
                  <w:vAlign w:val="center"/>
                </w:tcPr>
                <w:p w14:paraId="00C5913A">
                  <w:pPr>
                    <w:autoSpaceDE w:val="0"/>
                    <w:autoSpaceDN w:val="0"/>
                    <w:jc w:val="center"/>
                    <w:textAlignment w:val="center"/>
                    <w:rPr>
                      <w:szCs w:val="21"/>
                    </w:rPr>
                  </w:pPr>
                  <w:r>
                    <w:rPr>
                      <w:rFonts w:hint="eastAsia"/>
                      <w:szCs w:val="21"/>
                    </w:rPr>
                    <w:t>19</w:t>
                  </w:r>
                </w:p>
              </w:tc>
              <w:tc>
                <w:tcPr>
                  <w:tcW w:w="1382" w:type="pct"/>
                  <w:noWrap w:val="0"/>
                  <w:vAlign w:val="center"/>
                </w:tcPr>
                <w:p w14:paraId="2643377B">
                  <w:pPr>
                    <w:jc w:val="center"/>
                    <w:rPr>
                      <w:rFonts w:hint="eastAsia"/>
                    </w:rPr>
                  </w:pPr>
                  <w:r>
                    <w:rPr>
                      <w:rFonts w:hint="eastAsia"/>
                    </w:rPr>
                    <w:t>粗糙度仪</w:t>
                  </w:r>
                </w:p>
              </w:tc>
              <w:tc>
                <w:tcPr>
                  <w:tcW w:w="1405" w:type="pct"/>
                  <w:noWrap w:val="0"/>
                  <w:vAlign w:val="center"/>
                </w:tcPr>
                <w:p w14:paraId="21672DD7">
                  <w:pPr>
                    <w:jc w:val="center"/>
                    <w:rPr>
                      <w:rFonts w:hint="eastAsia"/>
                    </w:rPr>
                  </w:pPr>
                  <w:r>
                    <w:rPr>
                      <w:rFonts w:hint="eastAsia"/>
                    </w:rPr>
                    <w:t>NDT150</w:t>
                  </w:r>
                </w:p>
              </w:tc>
              <w:tc>
                <w:tcPr>
                  <w:tcW w:w="884" w:type="pct"/>
                  <w:noWrap w:val="0"/>
                  <w:vAlign w:val="center"/>
                </w:tcPr>
                <w:p w14:paraId="1C5F30C7">
                  <w:pPr>
                    <w:widowControl/>
                    <w:jc w:val="center"/>
                    <w:outlineLvl w:val="1"/>
                    <w:rPr>
                      <w:rFonts w:hint="eastAsia"/>
                      <w:kern w:val="0"/>
                      <w:szCs w:val="21"/>
                    </w:rPr>
                  </w:pPr>
                  <w:r>
                    <w:rPr>
                      <w:rFonts w:hint="eastAsia"/>
                      <w:kern w:val="0"/>
                      <w:szCs w:val="21"/>
                    </w:rPr>
                    <w:t>台</w:t>
                  </w:r>
                </w:p>
              </w:tc>
              <w:tc>
                <w:tcPr>
                  <w:tcW w:w="883" w:type="pct"/>
                  <w:noWrap w:val="0"/>
                  <w:vAlign w:val="center"/>
                </w:tcPr>
                <w:p w14:paraId="7C826464">
                  <w:pPr>
                    <w:jc w:val="center"/>
                  </w:pPr>
                  <w:r>
                    <w:rPr>
                      <w:rFonts w:hint="eastAsia"/>
                    </w:rPr>
                    <w:t>1</w:t>
                  </w:r>
                </w:p>
              </w:tc>
            </w:tr>
            <w:tr w14:paraId="600CB7D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3" w:type="pct"/>
                  <w:noWrap w:val="0"/>
                  <w:vAlign w:val="center"/>
                </w:tcPr>
                <w:p w14:paraId="0A12A1D5">
                  <w:pPr>
                    <w:autoSpaceDE w:val="0"/>
                    <w:autoSpaceDN w:val="0"/>
                    <w:jc w:val="center"/>
                    <w:textAlignment w:val="center"/>
                    <w:rPr>
                      <w:szCs w:val="21"/>
                    </w:rPr>
                  </w:pPr>
                  <w:r>
                    <w:rPr>
                      <w:rFonts w:hint="eastAsia"/>
                      <w:szCs w:val="21"/>
                    </w:rPr>
                    <w:t>20</w:t>
                  </w:r>
                </w:p>
              </w:tc>
              <w:tc>
                <w:tcPr>
                  <w:tcW w:w="1382" w:type="pct"/>
                  <w:noWrap w:val="0"/>
                  <w:vAlign w:val="center"/>
                </w:tcPr>
                <w:p w14:paraId="6649752A">
                  <w:pPr>
                    <w:jc w:val="center"/>
                    <w:rPr>
                      <w:rFonts w:hint="eastAsia"/>
                    </w:rPr>
                  </w:pPr>
                  <w:r>
                    <w:rPr>
                      <w:rFonts w:hint="eastAsia"/>
                    </w:rPr>
                    <w:t>弯曲仪</w:t>
                  </w:r>
                </w:p>
              </w:tc>
              <w:tc>
                <w:tcPr>
                  <w:tcW w:w="1405" w:type="pct"/>
                  <w:noWrap w:val="0"/>
                  <w:vAlign w:val="center"/>
                </w:tcPr>
                <w:p w14:paraId="6712599A">
                  <w:pPr>
                    <w:jc w:val="center"/>
                  </w:pPr>
                  <w:r>
                    <w:rPr>
                      <w:rFonts w:hint="eastAsia"/>
                    </w:rPr>
                    <w:t>QTY-32</w:t>
                  </w:r>
                </w:p>
              </w:tc>
              <w:tc>
                <w:tcPr>
                  <w:tcW w:w="884" w:type="pct"/>
                  <w:noWrap w:val="0"/>
                  <w:vAlign w:val="center"/>
                </w:tcPr>
                <w:p w14:paraId="355FC3D6">
                  <w:pPr>
                    <w:widowControl/>
                    <w:jc w:val="center"/>
                    <w:outlineLvl w:val="1"/>
                    <w:rPr>
                      <w:rFonts w:hint="eastAsia"/>
                      <w:kern w:val="0"/>
                      <w:szCs w:val="21"/>
                    </w:rPr>
                  </w:pPr>
                  <w:r>
                    <w:rPr>
                      <w:rFonts w:hint="eastAsia"/>
                      <w:kern w:val="0"/>
                      <w:szCs w:val="21"/>
                    </w:rPr>
                    <w:t>台</w:t>
                  </w:r>
                </w:p>
              </w:tc>
              <w:tc>
                <w:tcPr>
                  <w:tcW w:w="883" w:type="pct"/>
                  <w:noWrap w:val="0"/>
                  <w:vAlign w:val="center"/>
                </w:tcPr>
                <w:p w14:paraId="123865C0">
                  <w:pPr>
                    <w:jc w:val="center"/>
                  </w:pPr>
                  <w:r>
                    <w:rPr>
                      <w:rFonts w:hint="eastAsia"/>
                    </w:rPr>
                    <w:t>2</w:t>
                  </w:r>
                </w:p>
              </w:tc>
            </w:tr>
            <w:tr w14:paraId="6ACEBCE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3" w:type="pct"/>
                  <w:noWrap w:val="0"/>
                  <w:vAlign w:val="center"/>
                </w:tcPr>
                <w:p w14:paraId="3C75CDC1">
                  <w:pPr>
                    <w:autoSpaceDE w:val="0"/>
                    <w:autoSpaceDN w:val="0"/>
                    <w:jc w:val="center"/>
                    <w:textAlignment w:val="center"/>
                    <w:rPr>
                      <w:szCs w:val="21"/>
                    </w:rPr>
                  </w:pPr>
                  <w:r>
                    <w:rPr>
                      <w:rFonts w:hint="eastAsia"/>
                      <w:szCs w:val="21"/>
                    </w:rPr>
                    <w:t>21</w:t>
                  </w:r>
                </w:p>
              </w:tc>
              <w:tc>
                <w:tcPr>
                  <w:tcW w:w="1382" w:type="pct"/>
                  <w:noWrap w:val="0"/>
                  <w:vAlign w:val="center"/>
                </w:tcPr>
                <w:p w14:paraId="2C3DD7C7">
                  <w:pPr>
                    <w:jc w:val="center"/>
                    <w:rPr>
                      <w:rFonts w:hint="eastAsia"/>
                      <w:highlight w:val="none"/>
                    </w:rPr>
                  </w:pPr>
                  <w:r>
                    <w:rPr>
                      <w:rFonts w:hint="eastAsia"/>
                      <w:highlight w:val="none"/>
                    </w:rPr>
                    <w:t>喷枪</w:t>
                  </w:r>
                </w:p>
              </w:tc>
              <w:tc>
                <w:tcPr>
                  <w:tcW w:w="1405" w:type="pct"/>
                  <w:noWrap w:val="0"/>
                  <w:vAlign w:val="center"/>
                </w:tcPr>
                <w:p w14:paraId="2D0B8F6C">
                  <w:pPr>
                    <w:jc w:val="center"/>
                    <w:rPr>
                      <w:highlight w:val="none"/>
                    </w:rPr>
                  </w:pPr>
                  <w:r>
                    <w:rPr>
                      <w:rFonts w:hint="eastAsia"/>
                      <w:highlight w:val="none"/>
                    </w:rPr>
                    <w:t>/</w:t>
                  </w:r>
                </w:p>
              </w:tc>
              <w:tc>
                <w:tcPr>
                  <w:tcW w:w="884" w:type="pct"/>
                  <w:noWrap w:val="0"/>
                  <w:vAlign w:val="center"/>
                </w:tcPr>
                <w:p w14:paraId="2D6ABF68">
                  <w:pPr>
                    <w:widowControl/>
                    <w:jc w:val="center"/>
                    <w:outlineLvl w:val="1"/>
                    <w:rPr>
                      <w:rFonts w:hint="eastAsia"/>
                      <w:kern w:val="0"/>
                      <w:szCs w:val="21"/>
                      <w:highlight w:val="none"/>
                    </w:rPr>
                  </w:pPr>
                  <w:r>
                    <w:rPr>
                      <w:rFonts w:hint="eastAsia"/>
                      <w:kern w:val="0"/>
                      <w:szCs w:val="21"/>
                      <w:highlight w:val="none"/>
                    </w:rPr>
                    <w:t>台</w:t>
                  </w:r>
                </w:p>
              </w:tc>
              <w:tc>
                <w:tcPr>
                  <w:tcW w:w="883" w:type="pct"/>
                  <w:noWrap w:val="0"/>
                  <w:vAlign w:val="center"/>
                </w:tcPr>
                <w:p w14:paraId="3D97A5D8">
                  <w:pPr>
                    <w:jc w:val="center"/>
                    <w:rPr>
                      <w:rFonts w:hint="eastAsia"/>
                      <w:highlight w:val="none"/>
                    </w:rPr>
                  </w:pPr>
                  <w:r>
                    <w:rPr>
                      <w:rFonts w:hint="eastAsia"/>
                      <w:highlight w:val="none"/>
                    </w:rPr>
                    <w:t>4</w:t>
                  </w:r>
                </w:p>
              </w:tc>
            </w:tr>
            <w:tr w14:paraId="035C560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3" w:type="pct"/>
                  <w:noWrap w:val="0"/>
                  <w:vAlign w:val="center"/>
                </w:tcPr>
                <w:p w14:paraId="02C4CEE8">
                  <w:pPr>
                    <w:autoSpaceDE w:val="0"/>
                    <w:autoSpaceDN w:val="0"/>
                    <w:jc w:val="center"/>
                    <w:textAlignment w:val="center"/>
                    <w:rPr>
                      <w:szCs w:val="21"/>
                    </w:rPr>
                  </w:pPr>
                  <w:r>
                    <w:rPr>
                      <w:rFonts w:hint="eastAsia"/>
                      <w:szCs w:val="21"/>
                    </w:rPr>
                    <w:t>22</w:t>
                  </w:r>
                </w:p>
              </w:tc>
              <w:tc>
                <w:tcPr>
                  <w:tcW w:w="1382" w:type="pct"/>
                  <w:noWrap w:val="0"/>
                  <w:vAlign w:val="center"/>
                </w:tcPr>
                <w:p w14:paraId="11E78B3B">
                  <w:pPr>
                    <w:jc w:val="center"/>
                    <w:rPr>
                      <w:rFonts w:hint="eastAsia"/>
                      <w:highlight w:val="none"/>
                    </w:rPr>
                  </w:pPr>
                  <w:r>
                    <w:rPr>
                      <w:rFonts w:hint="eastAsia"/>
                      <w:highlight w:val="none"/>
                    </w:rPr>
                    <w:t>烘箱</w:t>
                  </w:r>
                </w:p>
              </w:tc>
              <w:tc>
                <w:tcPr>
                  <w:tcW w:w="1405" w:type="pct"/>
                  <w:noWrap w:val="0"/>
                  <w:vAlign w:val="center"/>
                </w:tcPr>
                <w:p w14:paraId="5FF6E568">
                  <w:pPr>
                    <w:jc w:val="center"/>
                    <w:rPr>
                      <w:highlight w:val="none"/>
                    </w:rPr>
                  </w:pPr>
                  <w:r>
                    <w:rPr>
                      <w:rFonts w:hint="eastAsia"/>
                      <w:highlight w:val="none"/>
                    </w:rPr>
                    <w:t>HYGW500</w:t>
                  </w:r>
                </w:p>
              </w:tc>
              <w:tc>
                <w:tcPr>
                  <w:tcW w:w="884" w:type="pct"/>
                  <w:noWrap w:val="0"/>
                  <w:vAlign w:val="center"/>
                </w:tcPr>
                <w:p w14:paraId="34962D4C">
                  <w:pPr>
                    <w:widowControl/>
                    <w:jc w:val="center"/>
                    <w:outlineLvl w:val="1"/>
                    <w:rPr>
                      <w:rFonts w:hint="eastAsia"/>
                      <w:kern w:val="0"/>
                      <w:szCs w:val="21"/>
                      <w:highlight w:val="none"/>
                    </w:rPr>
                  </w:pPr>
                  <w:r>
                    <w:rPr>
                      <w:rFonts w:hint="eastAsia"/>
                      <w:kern w:val="0"/>
                      <w:szCs w:val="21"/>
                      <w:highlight w:val="none"/>
                    </w:rPr>
                    <w:t>台</w:t>
                  </w:r>
                </w:p>
              </w:tc>
              <w:tc>
                <w:tcPr>
                  <w:tcW w:w="883" w:type="pct"/>
                  <w:noWrap w:val="0"/>
                  <w:vAlign w:val="center"/>
                </w:tcPr>
                <w:p w14:paraId="4EFA3F24">
                  <w:pPr>
                    <w:jc w:val="center"/>
                    <w:rPr>
                      <w:rFonts w:hint="eastAsia"/>
                      <w:highlight w:val="none"/>
                    </w:rPr>
                  </w:pPr>
                  <w:r>
                    <w:rPr>
                      <w:rFonts w:hint="eastAsia"/>
                      <w:highlight w:val="none"/>
                    </w:rPr>
                    <w:t>4</w:t>
                  </w:r>
                </w:p>
              </w:tc>
            </w:tr>
            <w:tr w14:paraId="45C307B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3" w:type="pct"/>
                  <w:noWrap w:val="0"/>
                  <w:vAlign w:val="center"/>
                </w:tcPr>
                <w:p w14:paraId="6F4D9FC0">
                  <w:pPr>
                    <w:autoSpaceDE w:val="0"/>
                    <w:autoSpaceDN w:val="0"/>
                    <w:jc w:val="center"/>
                    <w:textAlignment w:val="center"/>
                    <w:rPr>
                      <w:szCs w:val="21"/>
                    </w:rPr>
                  </w:pPr>
                  <w:r>
                    <w:rPr>
                      <w:rFonts w:hint="eastAsia"/>
                      <w:szCs w:val="21"/>
                    </w:rPr>
                    <w:t>23</w:t>
                  </w:r>
                </w:p>
              </w:tc>
              <w:tc>
                <w:tcPr>
                  <w:tcW w:w="1382" w:type="pct"/>
                  <w:noWrap w:val="0"/>
                  <w:vAlign w:val="center"/>
                </w:tcPr>
                <w:p w14:paraId="6E544520">
                  <w:pPr>
                    <w:jc w:val="center"/>
                    <w:rPr>
                      <w:rFonts w:hint="eastAsia"/>
                    </w:rPr>
                  </w:pPr>
                  <w:r>
                    <w:rPr>
                      <w:rFonts w:hint="eastAsia"/>
                    </w:rPr>
                    <w:t>烧杯</w:t>
                  </w:r>
                </w:p>
              </w:tc>
              <w:tc>
                <w:tcPr>
                  <w:tcW w:w="1405" w:type="pct"/>
                  <w:noWrap w:val="0"/>
                  <w:vAlign w:val="center"/>
                </w:tcPr>
                <w:p w14:paraId="41AA84CA">
                  <w:pPr>
                    <w:jc w:val="center"/>
                  </w:pPr>
                  <w:r>
                    <w:rPr>
                      <w:rFonts w:hint="eastAsia"/>
                    </w:rPr>
                    <w:t>/</w:t>
                  </w:r>
                </w:p>
              </w:tc>
              <w:tc>
                <w:tcPr>
                  <w:tcW w:w="884" w:type="pct"/>
                  <w:noWrap w:val="0"/>
                  <w:vAlign w:val="center"/>
                </w:tcPr>
                <w:p w14:paraId="782EE50E">
                  <w:pPr>
                    <w:widowControl/>
                    <w:jc w:val="center"/>
                    <w:outlineLvl w:val="1"/>
                    <w:rPr>
                      <w:rFonts w:hint="eastAsia"/>
                      <w:kern w:val="0"/>
                      <w:szCs w:val="21"/>
                    </w:rPr>
                  </w:pPr>
                  <w:r>
                    <w:rPr>
                      <w:rFonts w:hint="eastAsia"/>
                      <w:kern w:val="0"/>
                      <w:szCs w:val="21"/>
                    </w:rPr>
                    <w:t>个</w:t>
                  </w:r>
                </w:p>
              </w:tc>
              <w:tc>
                <w:tcPr>
                  <w:tcW w:w="883" w:type="pct"/>
                  <w:noWrap w:val="0"/>
                  <w:vAlign w:val="center"/>
                </w:tcPr>
                <w:p w14:paraId="1F3B4A73">
                  <w:pPr>
                    <w:jc w:val="center"/>
                    <w:rPr>
                      <w:rFonts w:hint="eastAsia"/>
                    </w:rPr>
                  </w:pPr>
                  <w:r>
                    <w:rPr>
                      <w:rFonts w:hint="eastAsia"/>
                    </w:rPr>
                    <w:t>若干</w:t>
                  </w:r>
                </w:p>
              </w:tc>
            </w:tr>
            <w:tr w14:paraId="26F9285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3" w:type="pct"/>
                  <w:noWrap w:val="0"/>
                  <w:vAlign w:val="center"/>
                </w:tcPr>
                <w:p w14:paraId="0D8E01C0">
                  <w:pPr>
                    <w:jc w:val="center"/>
                  </w:pPr>
                  <w:r>
                    <w:rPr>
                      <w:rFonts w:hint="eastAsia"/>
                      <w:szCs w:val="21"/>
                    </w:rPr>
                    <w:t>24</w:t>
                  </w:r>
                </w:p>
              </w:tc>
              <w:tc>
                <w:tcPr>
                  <w:tcW w:w="1382" w:type="pct"/>
                  <w:noWrap w:val="0"/>
                  <w:vAlign w:val="center"/>
                </w:tcPr>
                <w:p w14:paraId="7C54F209">
                  <w:pPr>
                    <w:jc w:val="center"/>
                    <w:rPr>
                      <w:rFonts w:hint="eastAsia"/>
                    </w:rPr>
                  </w:pPr>
                  <w:r>
                    <w:rPr>
                      <w:rFonts w:hint="eastAsia"/>
                    </w:rPr>
                    <w:t>研磨机冷却水系统</w:t>
                  </w:r>
                </w:p>
              </w:tc>
              <w:tc>
                <w:tcPr>
                  <w:tcW w:w="1405" w:type="pct"/>
                  <w:noWrap w:val="0"/>
                  <w:vAlign w:val="center"/>
                </w:tcPr>
                <w:p w14:paraId="29FD9F6B">
                  <w:pPr>
                    <w:jc w:val="center"/>
                    <w:rPr>
                      <w:rFonts w:hint="eastAsia"/>
                    </w:rPr>
                  </w:pPr>
                  <w:r>
                    <w:rPr>
                      <w:rFonts w:hint="eastAsia"/>
                    </w:rPr>
                    <w:t>CBE-56ALC</w:t>
                  </w:r>
                </w:p>
              </w:tc>
              <w:tc>
                <w:tcPr>
                  <w:tcW w:w="884" w:type="pct"/>
                  <w:noWrap w:val="0"/>
                  <w:vAlign w:val="center"/>
                </w:tcPr>
                <w:p w14:paraId="79808E90">
                  <w:pPr>
                    <w:widowControl/>
                    <w:jc w:val="center"/>
                    <w:outlineLvl w:val="1"/>
                    <w:rPr>
                      <w:rFonts w:hint="eastAsia"/>
                      <w:kern w:val="0"/>
                      <w:szCs w:val="21"/>
                    </w:rPr>
                  </w:pPr>
                  <w:r>
                    <w:rPr>
                      <w:rFonts w:hint="eastAsia"/>
                      <w:kern w:val="0"/>
                      <w:szCs w:val="21"/>
                    </w:rPr>
                    <w:t>套</w:t>
                  </w:r>
                </w:p>
              </w:tc>
              <w:tc>
                <w:tcPr>
                  <w:tcW w:w="883" w:type="pct"/>
                  <w:noWrap w:val="0"/>
                  <w:vAlign w:val="center"/>
                </w:tcPr>
                <w:p w14:paraId="3CD9876C">
                  <w:pPr>
                    <w:jc w:val="center"/>
                  </w:pPr>
                  <w:r>
                    <w:rPr>
                      <w:rFonts w:hint="eastAsia"/>
                    </w:rPr>
                    <w:t>4</w:t>
                  </w:r>
                </w:p>
              </w:tc>
            </w:tr>
          </w:tbl>
          <w:p w14:paraId="29E0A6EB">
            <w:pPr>
              <w:spacing w:before="120" w:beforeLines="50"/>
              <w:ind w:firstLine="482" w:firstLineChars="200"/>
              <w:outlineLvl w:val="0"/>
              <w:rPr>
                <w:rFonts w:hint="eastAsia"/>
                <w:b/>
                <w:sz w:val="24"/>
              </w:rPr>
            </w:pPr>
          </w:p>
          <w:p w14:paraId="31E8E0C1">
            <w:pPr>
              <w:spacing w:before="120" w:beforeLines="50" w:line="360" w:lineRule="auto"/>
              <w:ind w:firstLine="482" w:firstLineChars="200"/>
              <w:outlineLvl w:val="0"/>
              <w:rPr>
                <w:b/>
                <w:sz w:val="24"/>
              </w:rPr>
            </w:pPr>
            <w:r>
              <w:rPr>
                <w:rFonts w:hint="eastAsia"/>
                <w:b/>
                <w:sz w:val="24"/>
              </w:rPr>
              <w:t>7、</w:t>
            </w:r>
            <w:r>
              <w:rPr>
                <w:b/>
                <w:sz w:val="24"/>
              </w:rPr>
              <w:t>公用工程</w:t>
            </w:r>
          </w:p>
          <w:p w14:paraId="59B050F8">
            <w:pPr>
              <w:tabs>
                <w:tab w:val="left" w:pos="1350"/>
                <w:tab w:val="left" w:pos="1560"/>
              </w:tabs>
              <w:spacing w:line="360" w:lineRule="auto"/>
              <w:ind w:firstLine="470" w:firstLineChars="196"/>
              <w:rPr>
                <w:i/>
                <w:iCs/>
                <w:sz w:val="24"/>
                <w:u w:val="single"/>
              </w:rPr>
            </w:pPr>
            <w:r>
              <w:rPr>
                <w:rFonts w:hint="eastAsia"/>
                <w:i/>
                <w:iCs/>
                <w:sz w:val="24"/>
                <w:u w:val="single"/>
              </w:rPr>
              <w:t>（1）</w:t>
            </w:r>
            <w:r>
              <w:rPr>
                <w:i/>
                <w:iCs/>
                <w:sz w:val="24"/>
                <w:u w:val="single"/>
              </w:rPr>
              <w:t>给</w:t>
            </w:r>
            <w:r>
              <w:rPr>
                <w:rFonts w:hint="eastAsia"/>
                <w:i/>
                <w:iCs/>
                <w:sz w:val="24"/>
                <w:u w:val="single"/>
                <w:lang w:eastAsia="zh-CN"/>
              </w:rPr>
              <w:t>排</w:t>
            </w:r>
            <w:r>
              <w:rPr>
                <w:i/>
                <w:iCs/>
                <w:sz w:val="24"/>
                <w:u w:val="single"/>
              </w:rPr>
              <w:t>水</w:t>
            </w:r>
          </w:p>
          <w:p w14:paraId="703C15BB">
            <w:pPr>
              <w:tabs>
                <w:tab w:val="left" w:pos="1350"/>
                <w:tab w:val="left" w:pos="1560"/>
              </w:tabs>
              <w:spacing w:line="360" w:lineRule="auto"/>
              <w:ind w:firstLine="468" w:firstLineChars="195"/>
              <w:rPr>
                <w:i/>
                <w:iCs/>
                <w:sz w:val="24"/>
                <w:u w:val="single"/>
              </w:rPr>
            </w:pPr>
            <w:r>
              <w:rPr>
                <w:rFonts w:hint="eastAsia"/>
                <w:i/>
                <w:iCs/>
                <w:sz w:val="24"/>
                <w:u w:val="single"/>
              </w:rPr>
              <w:t>①实验人员</w:t>
            </w:r>
            <w:r>
              <w:rPr>
                <w:i/>
                <w:iCs/>
                <w:sz w:val="24"/>
                <w:u w:val="single"/>
              </w:rPr>
              <w:t>生活</w:t>
            </w:r>
            <w:r>
              <w:rPr>
                <w:rFonts w:hint="eastAsia"/>
                <w:i/>
                <w:iCs/>
                <w:sz w:val="24"/>
                <w:u w:val="single"/>
              </w:rPr>
              <w:t>用水：</w:t>
            </w:r>
            <w:r>
              <w:rPr>
                <w:i/>
                <w:iCs/>
                <w:sz w:val="24"/>
                <w:u w:val="single"/>
              </w:rPr>
              <w:t>本项目</w:t>
            </w:r>
            <w:r>
              <w:rPr>
                <w:rFonts w:hint="eastAsia"/>
                <w:i/>
                <w:iCs/>
                <w:sz w:val="24"/>
                <w:u w:val="single"/>
              </w:rPr>
              <w:t>实验人员7</w:t>
            </w:r>
            <w:r>
              <w:rPr>
                <w:i/>
                <w:iCs/>
                <w:sz w:val="24"/>
                <w:u w:val="single"/>
              </w:rPr>
              <w:t>人，每人每天按</w:t>
            </w:r>
            <w:r>
              <w:rPr>
                <w:rFonts w:hint="eastAsia"/>
                <w:i/>
                <w:iCs/>
                <w:sz w:val="24"/>
                <w:u w:val="single"/>
              </w:rPr>
              <w:t>40</w:t>
            </w:r>
            <w:r>
              <w:rPr>
                <w:i/>
                <w:iCs/>
                <w:sz w:val="24"/>
                <w:u w:val="single"/>
              </w:rPr>
              <w:t>L计算，全年300d，用水总量约为</w:t>
            </w:r>
            <w:r>
              <w:rPr>
                <w:rFonts w:hint="eastAsia"/>
                <w:i/>
                <w:iCs/>
                <w:sz w:val="24"/>
                <w:u w:val="single"/>
              </w:rPr>
              <w:t>0.28</w:t>
            </w:r>
            <w:r>
              <w:rPr>
                <w:i/>
                <w:iCs/>
                <w:sz w:val="24"/>
                <w:u w:val="single"/>
              </w:rPr>
              <w:t>m³/d（</w:t>
            </w:r>
            <w:r>
              <w:rPr>
                <w:rFonts w:hint="eastAsia"/>
                <w:i/>
                <w:iCs/>
                <w:sz w:val="24"/>
                <w:u w:val="single"/>
              </w:rPr>
              <w:t>84</w:t>
            </w:r>
            <w:r>
              <w:rPr>
                <w:i/>
                <w:iCs/>
                <w:sz w:val="24"/>
                <w:u w:val="single"/>
              </w:rPr>
              <w:t>m</w:t>
            </w:r>
            <w:r>
              <w:rPr>
                <w:i/>
                <w:iCs/>
                <w:sz w:val="24"/>
                <w:u w:val="single"/>
                <w:vertAlign w:val="superscript"/>
              </w:rPr>
              <w:t>3</w:t>
            </w:r>
            <w:r>
              <w:rPr>
                <w:i/>
                <w:iCs/>
                <w:sz w:val="24"/>
                <w:u w:val="single"/>
              </w:rPr>
              <w:t>/a），生活污水的排放量按用水量的80%计算，约为</w:t>
            </w:r>
            <w:r>
              <w:rPr>
                <w:rFonts w:hint="eastAsia"/>
                <w:i/>
                <w:iCs/>
                <w:sz w:val="24"/>
                <w:u w:val="single"/>
              </w:rPr>
              <w:t>0.224</w:t>
            </w:r>
            <w:r>
              <w:rPr>
                <w:i/>
                <w:iCs/>
                <w:sz w:val="24"/>
                <w:u w:val="single"/>
              </w:rPr>
              <w:t>m³/d（</w:t>
            </w:r>
            <w:r>
              <w:rPr>
                <w:rFonts w:hint="eastAsia"/>
                <w:i/>
                <w:iCs/>
                <w:sz w:val="24"/>
                <w:u w:val="single"/>
              </w:rPr>
              <w:t>67.2</w:t>
            </w:r>
            <w:r>
              <w:rPr>
                <w:i/>
                <w:iCs/>
                <w:sz w:val="24"/>
                <w:u w:val="single"/>
              </w:rPr>
              <w:t>m</w:t>
            </w:r>
            <w:r>
              <w:rPr>
                <w:i/>
                <w:iCs/>
                <w:sz w:val="24"/>
                <w:u w:val="single"/>
                <w:vertAlign w:val="superscript"/>
              </w:rPr>
              <w:t>3</w:t>
            </w:r>
            <w:r>
              <w:rPr>
                <w:i/>
                <w:iCs/>
                <w:sz w:val="24"/>
                <w:u w:val="single"/>
              </w:rPr>
              <w:t>/a）</w:t>
            </w:r>
            <w:r>
              <w:rPr>
                <w:rFonts w:hint="eastAsia" w:hAnsi="宋体"/>
                <w:i/>
                <w:iCs/>
                <w:sz w:val="24"/>
                <w:u w:val="single"/>
              </w:rPr>
              <w:t>。</w:t>
            </w:r>
          </w:p>
          <w:p w14:paraId="78987865">
            <w:pPr>
              <w:tabs>
                <w:tab w:val="left" w:pos="1350"/>
                <w:tab w:val="left" w:pos="1560"/>
              </w:tabs>
              <w:spacing w:line="360" w:lineRule="auto"/>
              <w:ind w:firstLine="468" w:firstLineChars="195"/>
              <w:rPr>
                <w:rFonts w:hint="eastAsia"/>
                <w:i/>
                <w:iCs/>
                <w:sz w:val="24"/>
                <w:u w:val="single"/>
              </w:rPr>
            </w:pPr>
            <w:r>
              <w:rPr>
                <w:rFonts w:hint="eastAsia"/>
                <w:i/>
                <w:iCs/>
                <w:sz w:val="24"/>
                <w:u w:val="single"/>
              </w:rPr>
              <w:t>②</w:t>
            </w:r>
            <w:r>
              <w:rPr>
                <w:rFonts w:hint="eastAsia"/>
                <w:i/>
                <w:iCs/>
                <w:sz w:val="24"/>
                <w:highlight w:val="none"/>
                <w:u w:val="single"/>
              </w:rPr>
              <w:t>实验设备清洗用水：</w:t>
            </w:r>
            <w:r>
              <w:rPr>
                <w:rFonts w:hint="eastAsia"/>
                <w:i/>
                <w:iCs/>
                <w:sz w:val="24"/>
                <w:highlight w:val="none"/>
                <w:u w:val="single"/>
                <w:lang w:eastAsia="zh-CN"/>
              </w:rPr>
              <w:t>主要包括</w:t>
            </w:r>
            <w:r>
              <w:rPr>
                <w:rFonts w:hint="eastAsia"/>
                <w:i/>
                <w:iCs/>
                <w:sz w:val="24"/>
                <w:highlight w:val="none"/>
                <w:u w:val="single"/>
              </w:rPr>
              <w:t>实验</w:t>
            </w:r>
            <w:r>
              <w:rPr>
                <w:rFonts w:hint="eastAsia"/>
                <w:i/>
                <w:iCs/>
                <w:sz w:val="24"/>
                <w:highlight w:val="none"/>
                <w:u w:val="single"/>
                <w:lang w:eastAsia="zh-CN"/>
              </w:rPr>
              <w:t>用搅拌罐、实验喷枪、研磨机等其他性能测试实验</w:t>
            </w:r>
            <w:r>
              <w:rPr>
                <w:rFonts w:hint="eastAsia"/>
                <w:i/>
                <w:iCs/>
                <w:sz w:val="24"/>
                <w:highlight w:val="none"/>
                <w:u w:val="single"/>
              </w:rPr>
              <w:t>设备</w:t>
            </w:r>
            <w:r>
              <w:rPr>
                <w:rFonts w:hint="eastAsia"/>
                <w:i/>
                <w:iCs/>
                <w:sz w:val="24"/>
                <w:highlight w:val="none"/>
                <w:u w:val="single"/>
                <w:lang w:eastAsia="zh-CN"/>
              </w:rPr>
              <w:t>清洗用水，</w:t>
            </w:r>
            <w:r>
              <w:rPr>
                <w:rFonts w:hint="eastAsia"/>
                <w:i/>
                <w:iCs/>
                <w:sz w:val="24"/>
                <w:highlight w:val="none"/>
                <w:u w:val="single"/>
              </w:rPr>
              <w:t>每日清洗1次，单次用水量约为0.05</w:t>
            </w:r>
            <w:r>
              <w:rPr>
                <w:i/>
                <w:iCs/>
                <w:sz w:val="24"/>
                <w:highlight w:val="none"/>
                <w:u w:val="single"/>
              </w:rPr>
              <w:t>m</w:t>
            </w:r>
            <w:r>
              <w:rPr>
                <w:i/>
                <w:iCs/>
                <w:sz w:val="24"/>
                <w:highlight w:val="none"/>
                <w:u w:val="single"/>
                <w:vertAlign w:val="superscript"/>
              </w:rPr>
              <w:t>3</w:t>
            </w:r>
            <w:r>
              <w:rPr>
                <w:rFonts w:hint="eastAsia"/>
                <w:i/>
                <w:iCs/>
                <w:sz w:val="24"/>
                <w:highlight w:val="none"/>
                <w:u w:val="single"/>
              </w:rPr>
              <w:t>，</w:t>
            </w:r>
            <w:r>
              <w:rPr>
                <w:rFonts w:hint="eastAsia"/>
                <w:i/>
                <w:iCs/>
                <w:sz w:val="24"/>
                <w:u w:val="single"/>
              </w:rPr>
              <w:t>新鲜水用水量0.05</w:t>
            </w:r>
            <w:r>
              <w:rPr>
                <w:i/>
                <w:iCs/>
                <w:sz w:val="24"/>
                <w:u w:val="single"/>
              </w:rPr>
              <w:t>m</w:t>
            </w:r>
            <w:r>
              <w:rPr>
                <w:i/>
                <w:iCs/>
                <w:sz w:val="24"/>
                <w:u w:val="single"/>
                <w:vertAlign w:val="superscript"/>
              </w:rPr>
              <w:t>3</w:t>
            </w:r>
            <w:r>
              <w:rPr>
                <w:rFonts w:hint="eastAsia"/>
                <w:i/>
                <w:iCs/>
                <w:sz w:val="24"/>
                <w:u w:val="single"/>
              </w:rPr>
              <w:t>/d（15</w:t>
            </w:r>
            <w:r>
              <w:rPr>
                <w:i/>
                <w:iCs/>
                <w:sz w:val="24"/>
                <w:u w:val="single"/>
              </w:rPr>
              <w:t>m</w:t>
            </w:r>
            <w:r>
              <w:rPr>
                <w:i/>
                <w:iCs/>
                <w:sz w:val="24"/>
                <w:u w:val="single"/>
                <w:vertAlign w:val="superscript"/>
              </w:rPr>
              <w:t>3</w:t>
            </w:r>
            <w:r>
              <w:rPr>
                <w:rFonts w:hint="eastAsia"/>
                <w:i/>
                <w:iCs/>
                <w:sz w:val="24"/>
                <w:u w:val="single"/>
              </w:rPr>
              <w:t>/a），废水</w:t>
            </w:r>
            <w:r>
              <w:rPr>
                <w:i/>
                <w:iCs/>
                <w:sz w:val="24"/>
                <w:u w:val="single"/>
              </w:rPr>
              <w:t>产生量按用水量的</w:t>
            </w:r>
            <w:r>
              <w:rPr>
                <w:rFonts w:hint="eastAsia"/>
                <w:i/>
                <w:iCs/>
                <w:sz w:val="24"/>
                <w:u w:val="single"/>
              </w:rPr>
              <w:t>9</w:t>
            </w:r>
            <w:r>
              <w:rPr>
                <w:i/>
                <w:iCs/>
                <w:sz w:val="24"/>
                <w:u w:val="single"/>
              </w:rPr>
              <w:t>0%计，</w:t>
            </w:r>
            <w:r>
              <w:rPr>
                <w:rFonts w:hint="eastAsia"/>
                <w:i/>
                <w:iCs/>
                <w:sz w:val="24"/>
                <w:u w:val="single"/>
              </w:rPr>
              <w:t>废水产生量0.045</w:t>
            </w:r>
            <w:r>
              <w:rPr>
                <w:i/>
                <w:iCs/>
                <w:sz w:val="24"/>
                <w:u w:val="single"/>
              </w:rPr>
              <w:t>m</w:t>
            </w:r>
            <w:r>
              <w:rPr>
                <w:i/>
                <w:iCs/>
                <w:sz w:val="24"/>
                <w:u w:val="single"/>
                <w:vertAlign w:val="superscript"/>
              </w:rPr>
              <w:t>3</w:t>
            </w:r>
            <w:r>
              <w:rPr>
                <w:rFonts w:hint="eastAsia"/>
                <w:i/>
                <w:iCs/>
                <w:sz w:val="24"/>
                <w:u w:val="single"/>
              </w:rPr>
              <w:t>/d（13.5</w:t>
            </w:r>
            <w:r>
              <w:rPr>
                <w:i/>
                <w:iCs/>
                <w:sz w:val="24"/>
                <w:u w:val="single"/>
              </w:rPr>
              <w:t>m</w:t>
            </w:r>
            <w:r>
              <w:rPr>
                <w:i/>
                <w:iCs/>
                <w:sz w:val="24"/>
                <w:u w:val="single"/>
                <w:vertAlign w:val="superscript"/>
              </w:rPr>
              <w:t>3</w:t>
            </w:r>
            <w:r>
              <w:rPr>
                <w:rFonts w:hint="eastAsia"/>
                <w:i/>
                <w:iCs/>
                <w:sz w:val="24"/>
                <w:u w:val="single"/>
              </w:rPr>
              <w:t>/a），废水可能会沾染实验漆料，桶装收集后交有资质单位处理。</w:t>
            </w:r>
          </w:p>
          <w:p w14:paraId="528A2324">
            <w:pPr>
              <w:tabs>
                <w:tab w:val="left" w:pos="1350"/>
                <w:tab w:val="left" w:pos="1560"/>
              </w:tabs>
              <w:spacing w:line="360" w:lineRule="auto"/>
              <w:ind w:firstLine="468" w:firstLineChars="195"/>
              <w:rPr>
                <w:rFonts w:hint="eastAsia"/>
                <w:i/>
                <w:iCs/>
                <w:sz w:val="24"/>
                <w:u w:val="single"/>
              </w:rPr>
            </w:pPr>
            <w:r>
              <w:rPr>
                <w:rFonts w:hint="eastAsia"/>
                <w:i/>
                <w:iCs/>
                <w:sz w:val="24"/>
                <w:u w:val="single"/>
              </w:rPr>
              <w:t>②</w:t>
            </w:r>
            <w:r>
              <w:rPr>
                <w:rFonts w:hint="eastAsia"/>
                <w:i/>
                <w:iCs/>
                <w:sz w:val="24"/>
                <w:highlight w:val="none"/>
                <w:u w:val="single"/>
              </w:rPr>
              <w:t>实验</w:t>
            </w:r>
            <w:r>
              <w:rPr>
                <w:rFonts w:hint="eastAsia"/>
                <w:i/>
                <w:iCs/>
                <w:sz w:val="24"/>
                <w:highlight w:val="none"/>
                <w:u w:val="single"/>
                <w:lang w:eastAsia="zh-CN"/>
              </w:rPr>
              <w:t>室地面清洗</w:t>
            </w:r>
            <w:r>
              <w:rPr>
                <w:rFonts w:hint="eastAsia"/>
                <w:i/>
                <w:iCs/>
                <w:sz w:val="24"/>
                <w:highlight w:val="none"/>
                <w:u w:val="single"/>
              </w:rPr>
              <w:t>用水：实验</w:t>
            </w:r>
            <w:r>
              <w:rPr>
                <w:rFonts w:hint="eastAsia"/>
                <w:i/>
                <w:iCs/>
                <w:sz w:val="24"/>
                <w:highlight w:val="none"/>
                <w:u w:val="single"/>
                <w:lang w:eastAsia="zh-CN"/>
              </w:rPr>
              <w:t>室地面</w:t>
            </w:r>
            <w:r>
              <w:rPr>
                <w:rFonts w:hint="eastAsia"/>
                <w:i/>
                <w:iCs/>
                <w:sz w:val="24"/>
                <w:highlight w:val="none"/>
                <w:u w:val="single"/>
              </w:rPr>
              <w:t>每日</w:t>
            </w:r>
            <w:r>
              <w:rPr>
                <w:rFonts w:hint="eastAsia"/>
                <w:i/>
                <w:iCs/>
                <w:sz w:val="24"/>
                <w:highlight w:val="none"/>
                <w:u w:val="single"/>
                <w:lang w:eastAsia="zh-CN"/>
              </w:rPr>
              <w:t>擦拭</w:t>
            </w:r>
            <w:r>
              <w:rPr>
                <w:rFonts w:hint="eastAsia"/>
                <w:i/>
                <w:iCs/>
                <w:sz w:val="24"/>
                <w:highlight w:val="none"/>
                <w:u w:val="single"/>
              </w:rPr>
              <w:t>1次，单次用水量约为0.0</w:t>
            </w:r>
            <w:r>
              <w:rPr>
                <w:rFonts w:hint="eastAsia"/>
                <w:i/>
                <w:iCs/>
                <w:sz w:val="24"/>
                <w:highlight w:val="none"/>
                <w:u w:val="single"/>
                <w:lang w:val="en-US" w:eastAsia="zh-CN"/>
              </w:rPr>
              <w:t>6</w:t>
            </w:r>
            <w:r>
              <w:rPr>
                <w:i/>
                <w:iCs/>
                <w:sz w:val="24"/>
                <w:highlight w:val="none"/>
                <w:u w:val="single"/>
              </w:rPr>
              <w:t>m</w:t>
            </w:r>
            <w:r>
              <w:rPr>
                <w:i/>
                <w:iCs/>
                <w:sz w:val="24"/>
                <w:highlight w:val="none"/>
                <w:u w:val="single"/>
                <w:vertAlign w:val="superscript"/>
              </w:rPr>
              <w:t>3</w:t>
            </w:r>
            <w:r>
              <w:rPr>
                <w:rFonts w:hint="eastAsia"/>
                <w:i/>
                <w:iCs/>
                <w:sz w:val="24"/>
                <w:highlight w:val="none"/>
                <w:u w:val="single"/>
              </w:rPr>
              <w:t>，</w:t>
            </w:r>
            <w:r>
              <w:rPr>
                <w:rFonts w:hint="eastAsia"/>
                <w:i/>
                <w:iCs/>
                <w:sz w:val="24"/>
                <w:u w:val="single"/>
              </w:rPr>
              <w:t>新鲜水用水量0.0</w:t>
            </w:r>
            <w:r>
              <w:rPr>
                <w:rFonts w:hint="eastAsia"/>
                <w:i/>
                <w:iCs/>
                <w:sz w:val="24"/>
                <w:u w:val="single"/>
                <w:lang w:val="en-US" w:eastAsia="zh-CN"/>
              </w:rPr>
              <w:t>6</w:t>
            </w:r>
            <w:r>
              <w:rPr>
                <w:i/>
                <w:iCs/>
                <w:sz w:val="24"/>
                <w:u w:val="single"/>
              </w:rPr>
              <w:t>m</w:t>
            </w:r>
            <w:r>
              <w:rPr>
                <w:i/>
                <w:iCs/>
                <w:sz w:val="24"/>
                <w:u w:val="single"/>
                <w:vertAlign w:val="superscript"/>
              </w:rPr>
              <w:t>3</w:t>
            </w:r>
            <w:r>
              <w:rPr>
                <w:rFonts w:hint="eastAsia"/>
                <w:i/>
                <w:iCs/>
                <w:sz w:val="24"/>
                <w:u w:val="single"/>
              </w:rPr>
              <w:t>/d（</w:t>
            </w:r>
            <w:r>
              <w:rPr>
                <w:rFonts w:hint="eastAsia"/>
                <w:i/>
                <w:iCs/>
                <w:sz w:val="24"/>
                <w:u w:val="single"/>
                <w:lang w:val="en-US" w:eastAsia="zh-CN"/>
              </w:rPr>
              <w:t>18</w:t>
            </w:r>
            <w:r>
              <w:rPr>
                <w:i/>
                <w:iCs/>
                <w:sz w:val="24"/>
                <w:u w:val="single"/>
              </w:rPr>
              <w:t>m</w:t>
            </w:r>
            <w:r>
              <w:rPr>
                <w:i/>
                <w:iCs/>
                <w:sz w:val="24"/>
                <w:u w:val="single"/>
                <w:vertAlign w:val="superscript"/>
              </w:rPr>
              <w:t>3</w:t>
            </w:r>
            <w:r>
              <w:rPr>
                <w:rFonts w:hint="eastAsia"/>
                <w:i/>
                <w:iCs/>
                <w:sz w:val="24"/>
                <w:u w:val="single"/>
              </w:rPr>
              <w:t>/a），废水</w:t>
            </w:r>
            <w:r>
              <w:rPr>
                <w:i/>
                <w:iCs/>
                <w:sz w:val="24"/>
                <w:u w:val="single"/>
              </w:rPr>
              <w:t>产生量按用水量的</w:t>
            </w:r>
            <w:r>
              <w:rPr>
                <w:rFonts w:hint="eastAsia"/>
                <w:i/>
                <w:iCs/>
                <w:sz w:val="24"/>
                <w:u w:val="single"/>
              </w:rPr>
              <w:t>9</w:t>
            </w:r>
            <w:r>
              <w:rPr>
                <w:i/>
                <w:iCs/>
                <w:sz w:val="24"/>
                <w:u w:val="single"/>
              </w:rPr>
              <w:t>0%计，</w:t>
            </w:r>
            <w:r>
              <w:rPr>
                <w:rFonts w:hint="eastAsia"/>
                <w:i/>
                <w:iCs/>
                <w:sz w:val="24"/>
                <w:u w:val="single"/>
              </w:rPr>
              <w:t>废水产生量0.0</w:t>
            </w:r>
            <w:r>
              <w:rPr>
                <w:rFonts w:hint="eastAsia"/>
                <w:i/>
                <w:iCs/>
                <w:sz w:val="24"/>
                <w:u w:val="single"/>
                <w:lang w:val="en-US" w:eastAsia="zh-CN"/>
              </w:rPr>
              <w:t>54</w:t>
            </w:r>
            <w:r>
              <w:rPr>
                <w:i/>
                <w:iCs/>
                <w:sz w:val="24"/>
                <w:u w:val="single"/>
              </w:rPr>
              <w:t>m</w:t>
            </w:r>
            <w:r>
              <w:rPr>
                <w:i/>
                <w:iCs/>
                <w:sz w:val="24"/>
                <w:u w:val="single"/>
                <w:vertAlign w:val="superscript"/>
              </w:rPr>
              <w:t>3</w:t>
            </w:r>
            <w:r>
              <w:rPr>
                <w:rFonts w:hint="eastAsia"/>
                <w:i/>
                <w:iCs/>
                <w:sz w:val="24"/>
                <w:u w:val="single"/>
              </w:rPr>
              <w:t>/d（</w:t>
            </w:r>
            <w:r>
              <w:rPr>
                <w:rFonts w:hint="eastAsia"/>
                <w:i/>
                <w:iCs/>
                <w:sz w:val="24"/>
                <w:u w:val="single"/>
                <w:lang w:val="en-US" w:eastAsia="zh-CN"/>
              </w:rPr>
              <w:t>16.2</w:t>
            </w:r>
            <w:r>
              <w:rPr>
                <w:i/>
                <w:iCs/>
                <w:sz w:val="24"/>
                <w:u w:val="single"/>
              </w:rPr>
              <w:t>m</w:t>
            </w:r>
            <w:r>
              <w:rPr>
                <w:i/>
                <w:iCs/>
                <w:sz w:val="24"/>
                <w:u w:val="single"/>
                <w:vertAlign w:val="superscript"/>
              </w:rPr>
              <w:t>3</w:t>
            </w:r>
            <w:r>
              <w:rPr>
                <w:rFonts w:hint="eastAsia"/>
                <w:i/>
                <w:iCs/>
                <w:sz w:val="24"/>
                <w:u w:val="single"/>
              </w:rPr>
              <w:t>/a），</w:t>
            </w:r>
            <w:r>
              <w:rPr>
                <w:rFonts w:hint="eastAsia"/>
                <w:i/>
                <w:iCs/>
                <w:sz w:val="24"/>
                <w:u w:val="single"/>
                <w:lang w:eastAsia="zh-CN"/>
              </w:rPr>
              <w:t>地面擦拭采用专用拖布，擦拭后在</w:t>
            </w:r>
            <w:r>
              <w:rPr>
                <w:rFonts w:hint="eastAsia"/>
                <w:i/>
                <w:iCs/>
                <w:sz w:val="24"/>
                <w:u w:val="single"/>
              </w:rPr>
              <w:t>桶</w:t>
            </w:r>
            <w:r>
              <w:rPr>
                <w:rFonts w:hint="eastAsia"/>
                <w:i/>
                <w:iCs/>
                <w:sz w:val="24"/>
                <w:u w:val="single"/>
                <w:lang w:eastAsia="zh-CN"/>
              </w:rPr>
              <w:t>内投洗，桶内</w:t>
            </w:r>
            <w:r>
              <w:rPr>
                <w:rFonts w:hint="eastAsia"/>
                <w:i/>
                <w:iCs/>
                <w:sz w:val="24"/>
                <w:u w:val="single"/>
              </w:rPr>
              <w:t>废水可能会沾染实验漆料</w:t>
            </w:r>
            <w:r>
              <w:rPr>
                <w:rFonts w:hint="eastAsia"/>
                <w:i/>
                <w:iCs/>
                <w:sz w:val="24"/>
                <w:u w:val="single"/>
                <w:lang w:eastAsia="zh-CN"/>
              </w:rPr>
              <w:t>，桶装暂存于危废贮存库</w:t>
            </w:r>
            <w:r>
              <w:rPr>
                <w:rFonts w:hint="eastAsia"/>
                <w:i/>
                <w:iCs/>
                <w:sz w:val="24"/>
                <w:u w:val="single"/>
              </w:rPr>
              <w:t>交有资质单位处理。</w:t>
            </w:r>
          </w:p>
          <w:p w14:paraId="5FA24595">
            <w:pPr>
              <w:tabs>
                <w:tab w:val="left" w:pos="1350"/>
                <w:tab w:val="left" w:pos="1560"/>
              </w:tabs>
              <w:spacing w:line="360" w:lineRule="auto"/>
              <w:ind w:firstLine="468" w:firstLineChars="195"/>
              <w:rPr>
                <w:rFonts w:hint="eastAsia"/>
                <w:i/>
                <w:iCs/>
                <w:sz w:val="24"/>
                <w:u w:val="single"/>
              </w:rPr>
            </w:pPr>
            <w:r>
              <w:rPr>
                <w:rFonts w:hint="eastAsia"/>
                <w:i/>
                <w:iCs/>
                <w:sz w:val="24"/>
                <w:u w:val="single"/>
              </w:rPr>
              <w:t>③研磨机冷却水：研磨机运行过程需要用水冷却，冷却循环系统在使用过程中需要定期补水，补水按照3%的循环水量进行补水，</w:t>
            </w:r>
            <w:r>
              <w:rPr>
                <w:rFonts w:hint="eastAsia"/>
                <w:i/>
                <w:iCs/>
                <w:sz w:val="24"/>
                <w:highlight w:val="none"/>
                <w:u w:val="single"/>
              </w:rPr>
              <w:t>单套循环系统冷却水箱有效容积为0.01</w:t>
            </w:r>
            <w:r>
              <w:rPr>
                <w:i/>
                <w:iCs/>
                <w:sz w:val="24"/>
                <w:highlight w:val="none"/>
                <w:u w:val="single"/>
              </w:rPr>
              <w:t>m</w:t>
            </w:r>
            <w:r>
              <w:rPr>
                <w:i/>
                <w:iCs/>
                <w:sz w:val="24"/>
                <w:highlight w:val="none"/>
                <w:u w:val="single"/>
                <w:vertAlign w:val="superscript"/>
              </w:rPr>
              <w:t>3</w:t>
            </w:r>
            <w:r>
              <w:rPr>
                <w:rFonts w:hint="eastAsia"/>
                <w:i/>
                <w:iCs/>
                <w:sz w:val="24"/>
                <w:highlight w:val="none"/>
                <w:u w:val="single"/>
              </w:rPr>
              <w:t>，4套循环水系统补水量约为0.0</w:t>
            </w:r>
            <w:r>
              <w:rPr>
                <w:rFonts w:hint="eastAsia"/>
                <w:i/>
                <w:iCs/>
                <w:sz w:val="24"/>
                <w:highlight w:val="none"/>
                <w:u w:val="single"/>
                <w:lang w:val="en-US" w:eastAsia="zh-CN"/>
              </w:rPr>
              <w:t>0</w:t>
            </w:r>
            <w:r>
              <w:rPr>
                <w:rFonts w:hint="eastAsia"/>
                <w:i/>
                <w:iCs/>
                <w:sz w:val="24"/>
                <w:highlight w:val="none"/>
                <w:u w:val="single"/>
              </w:rPr>
              <w:t>12</w:t>
            </w:r>
            <w:r>
              <w:rPr>
                <w:i/>
                <w:iCs/>
                <w:sz w:val="24"/>
                <w:highlight w:val="none"/>
                <w:u w:val="single"/>
              </w:rPr>
              <w:t>m</w:t>
            </w:r>
            <w:r>
              <w:rPr>
                <w:i/>
                <w:iCs/>
                <w:sz w:val="24"/>
                <w:highlight w:val="none"/>
                <w:u w:val="single"/>
                <w:vertAlign w:val="superscript"/>
              </w:rPr>
              <w:t>3</w:t>
            </w:r>
            <w:r>
              <w:rPr>
                <w:rFonts w:hint="eastAsia"/>
                <w:i/>
                <w:iCs/>
                <w:sz w:val="24"/>
                <w:highlight w:val="none"/>
                <w:u w:val="single"/>
              </w:rPr>
              <w:t>/d（</w:t>
            </w:r>
            <w:r>
              <w:rPr>
                <w:rFonts w:hint="eastAsia"/>
                <w:i/>
                <w:iCs/>
                <w:sz w:val="24"/>
                <w:highlight w:val="none"/>
                <w:u w:val="single"/>
                <w:lang w:val="en-US" w:eastAsia="zh-CN"/>
              </w:rPr>
              <w:t>0.36</w:t>
            </w:r>
            <w:r>
              <w:rPr>
                <w:i/>
                <w:iCs/>
                <w:sz w:val="24"/>
                <w:highlight w:val="none"/>
                <w:u w:val="single"/>
              </w:rPr>
              <w:t>m</w:t>
            </w:r>
            <w:r>
              <w:rPr>
                <w:i/>
                <w:iCs/>
                <w:sz w:val="24"/>
                <w:highlight w:val="none"/>
                <w:u w:val="single"/>
                <w:vertAlign w:val="superscript"/>
              </w:rPr>
              <w:t>3</w:t>
            </w:r>
            <w:r>
              <w:rPr>
                <w:rFonts w:hint="eastAsia"/>
                <w:i/>
                <w:iCs/>
                <w:sz w:val="24"/>
                <w:highlight w:val="none"/>
                <w:u w:val="single"/>
              </w:rPr>
              <w:t>/a）</w:t>
            </w:r>
            <w:r>
              <w:rPr>
                <w:rFonts w:hint="eastAsia"/>
                <w:i/>
                <w:iCs/>
                <w:sz w:val="24"/>
                <w:u w:val="single"/>
              </w:rPr>
              <w:t>。</w:t>
            </w:r>
          </w:p>
          <w:p w14:paraId="15B0F6E6">
            <w:pPr>
              <w:tabs>
                <w:tab w:val="left" w:pos="1350"/>
                <w:tab w:val="left" w:pos="1560"/>
              </w:tabs>
              <w:spacing w:line="360" w:lineRule="auto"/>
              <w:ind w:firstLine="468" w:firstLineChars="195"/>
              <w:rPr>
                <w:rFonts w:hint="eastAsia" w:eastAsia="宋体"/>
                <w:lang w:eastAsia="zh-CN"/>
              </w:rPr>
            </w:pPr>
            <w:r>
              <w:rPr>
                <w:rFonts w:hint="eastAsia"/>
                <w:i/>
                <w:iCs/>
                <w:sz w:val="24"/>
                <w:u w:val="single"/>
              </w:rPr>
              <w:t>本项目总用水量为0.3</w:t>
            </w:r>
            <w:r>
              <w:rPr>
                <w:rFonts w:hint="eastAsia"/>
                <w:i/>
                <w:iCs/>
                <w:sz w:val="24"/>
                <w:u w:val="single"/>
                <w:lang w:val="en-US" w:eastAsia="zh-CN"/>
              </w:rPr>
              <w:t>912</w:t>
            </w:r>
            <w:r>
              <w:rPr>
                <w:i/>
                <w:iCs/>
                <w:sz w:val="24"/>
                <w:u w:val="single"/>
              </w:rPr>
              <w:t>m</w:t>
            </w:r>
            <w:r>
              <w:rPr>
                <w:i/>
                <w:iCs/>
                <w:sz w:val="24"/>
                <w:u w:val="single"/>
                <w:vertAlign w:val="superscript"/>
              </w:rPr>
              <w:t>3</w:t>
            </w:r>
            <w:r>
              <w:rPr>
                <w:rFonts w:hint="eastAsia"/>
                <w:i/>
                <w:iCs/>
                <w:sz w:val="24"/>
                <w:u w:val="single"/>
              </w:rPr>
              <w:t>/d（</w:t>
            </w:r>
            <w:r>
              <w:rPr>
                <w:rFonts w:hint="eastAsia"/>
                <w:i/>
                <w:iCs/>
                <w:sz w:val="24"/>
                <w:u w:val="single"/>
                <w:lang w:val="en-US" w:eastAsia="zh-CN"/>
              </w:rPr>
              <w:t>117.36</w:t>
            </w:r>
            <w:r>
              <w:rPr>
                <w:i/>
                <w:iCs/>
                <w:sz w:val="24"/>
                <w:u w:val="single"/>
              </w:rPr>
              <w:t>m</w:t>
            </w:r>
            <w:r>
              <w:rPr>
                <w:i/>
                <w:iCs/>
                <w:sz w:val="24"/>
                <w:u w:val="single"/>
                <w:vertAlign w:val="superscript"/>
              </w:rPr>
              <w:t>3</w:t>
            </w:r>
            <w:r>
              <w:rPr>
                <w:rFonts w:hint="eastAsia"/>
                <w:i/>
                <w:iCs/>
                <w:sz w:val="24"/>
                <w:u w:val="single"/>
              </w:rPr>
              <w:t>/a），排水量为0.</w:t>
            </w:r>
            <w:r>
              <w:rPr>
                <w:rFonts w:hint="eastAsia"/>
                <w:i/>
                <w:iCs/>
                <w:sz w:val="24"/>
                <w:u w:val="single"/>
                <w:lang w:val="en-US" w:eastAsia="zh-CN"/>
              </w:rPr>
              <w:t xml:space="preserve">3284 </w:t>
            </w:r>
            <w:r>
              <w:rPr>
                <w:i/>
                <w:iCs/>
                <w:sz w:val="24"/>
                <w:u w:val="single"/>
              </w:rPr>
              <w:t>m</w:t>
            </w:r>
            <w:r>
              <w:rPr>
                <w:i/>
                <w:iCs/>
                <w:sz w:val="24"/>
                <w:u w:val="single"/>
                <w:vertAlign w:val="superscript"/>
              </w:rPr>
              <w:t>3</w:t>
            </w:r>
            <w:r>
              <w:rPr>
                <w:rFonts w:hint="eastAsia"/>
                <w:i/>
                <w:iCs/>
                <w:sz w:val="24"/>
                <w:u w:val="single"/>
              </w:rPr>
              <w:t>/d（</w:t>
            </w:r>
            <w:r>
              <w:rPr>
                <w:rFonts w:hint="eastAsia"/>
                <w:i/>
                <w:iCs/>
                <w:sz w:val="24"/>
                <w:u w:val="single"/>
                <w:lang w:val="en-US" w:eastAsia="zh-CN"/>
              </w:rPr>
              <w:t>98.52</w:t>
            </w:r>
            <w:r>
              <w:rPr>
                <w:i/>
                <w:iCs/>
                <w:sz w:val="24"/>
                <w:u w:val="single"/>
              </w:rPr>
              <w:t>m</w:t>
            </w:r>
            <w:r>
              <w:rPr>
                <w:i/>
                <w:iCs/>
                <w:sz w:val="24"/>
                <w:u w:val="single"/>
                <w:vertAlign w:val="superscript"/>
              </w:rPr>
              <w:t>3</w:t>
            </w:r>
            <w:r>
              <w:rPr>
                <w:rFonts w:hint="eastAsia"/>
                <w:i/>
                <w:iCs/>
                <w:sz w:val="24"/>
                <w:u w:val="single"/>
              </w:rPr>
              <w:t>/a）</w:t>
            </w:r>
            <w:r>
              <w:rPr>
                <w:rFonts w:hint="eastAsia"/>
                <w:sz w:val="24"/>
                <w:lang w:eastAsia="zh-CN"/>
              </w:rPr>
              <w:t>。</w:t>
            </w:r>
          </w:p>
          <w:p w14:paraId="11D5B9B9">
            <w:pPr>
              <w:pStyle w:val="60"/>
              <w:spacing w:before="120" w:beforeLines="50" w:after="120" w:afterLines="50" w:line="240" w:lineRule="auto"/>
              <w:ind w:firstLine="0" w:firstLineChars="0"/>
              <w:jc w:val="center"/>
              <w:rPr>
                <w:rFonts w:hint="eastAsia" w:ascii="Times New Roman" w:hAnsi="Times New Roman" w:eastAsia="宋体" w:cs="Times New Roman"/>
                <w:b/>
                <w:bCs/>
                <w:lang w:eastAsia="zh-CN"/>
              </w:rPr>
            </w:pPr>
            <w:r>
              <w:rPr>
                <w:rFonts w:hint="eastAsia" w:ascii="Times New Roman" w:hAnsi="Times New Roman" w:eastAsia="宋体" w:cs="Times New Roman"/>
                <w:b/>
                <w:bCs/>
                <w:lang w:eastAsia="zh-CN"/>
              </w:rPr>
              <w:drawing>
                <wp:inline distT="0" distB="0" distL="114300" distR="114300">
                  <wp:extent cx="4277360" cy="3633470"/>
                  <wp:effectExtent l="0" t="0" r="0" b="0"/>
                  <wp:docPr id="4" name="ECB019B1-382A-4266-B25C-5B523AA43C14-1" descr="C:/Users/Administrator/AppData/Local/Temp/wps.ryHjUy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CB019B1-382A-4266-B25C-5B523AA43C14-1" descr="C:/Users/Administrator/AppData/Local/Temp/wps.ryHjUywps"/>
                          <pic:cNvPicPr>
                            <a:picLocks noChangeAspect="1"/>
                          </pic:cNvPicPr>
                        </pic:nvPicPr>
                        <pic:blipFill>
                          <a:blip r:embed="rId7"/>
                          <a:stretch>
                            <a:fillRect/>
                          </a:stretch>
                        </pic:blipFill>
                        <pic:spPr>
                          <a:xfrm>
                            <a:off x="0" y="0"/>
                            <a:ext cx="4277360" cy="3633470"/>
                          </a:xfrm>
                          <a:prstGeom prst="rect">
                            <a:avLst/>
                          </a:prstGeom>
                          <a:noFill/>
                          <a:ln>
                            <a:noFill/>
                          </a:ln>
                        </pic:spPr>
                      </pic:pic>
                    </a:graphicData>
                  </a:graphic>
                </wp:inline>
              </w:drawing>
            </w:r>
          </w:p>
          <w:p w14:paraId="5C04068F">
            <w:pPr>
              <w:pStyle w:val="60"/>
              <w:spacing w:before="120" w:beforeLines="50" w:after="120" w:afterLines="50" w:line="240" w:lineRule="auto"/>
              <w:ind w:firstLine="0" w:firstLineChars="0"/>
              <w:jc w:val="center"/>
              <w:rPr>
                <w:rFonts w:hint="eastAsia"/>
              </w:rPr>
            </w:pPr>
            <w:r>
              <w:rPr>
                <w:rFonts w:ascii="Times New Roman" w:hAnsi="Times New Roman" w:cs="Times New Roman"/>
                <w:b/>
                <w:bCs/>
              </w:rPr>
              <w:t>图</w:t>
            </w:r>
            <w:r>
              <w:rPr>
                <w:rFonts w:hint="eastAsia" w:ascii="Times New Roman" w:hAnsi="Times New Roman" w:cs="Times New Roman"/>
                <w:b/>
                <w:bCs/>
              </w:rPr>
              <w:t>2-1</w:t>
            </w:r>
            <w:r>
              <w:rPr>
                <w:rFonts w:ascii="Times New Roman" w:hAnsi="Times New Roman" w:cs="Times New Roman"/>
                <w:b/>
                <w:bCs/>
              </w:rPr>
              <w:t xml:space="preserve">   </w:t>
            </w:r>
            <w:r>
              <w:rPr>
                <w:rFonts w:hint="eastAsia" w:ascii="Times New Roman" w:hAnsi="Times New Roman" w:cs="Times New Roman"/>
                <w:b/>
                <w:bCs/>
              </w:rPr>
              <w:t>本</w:t>
            </w:r>
            <w:r>
              <w:rPr>
                <w:rFonts w:ascii="Times New Roman" w:hAnsi="Times New Roman" w:cs="Times New Roman"/>
                <w:b/>
                <w:bCs/>
              </w:rPr>
              <w:t>项目给排水平衡图        单位：m³/</w:t>
            </w:r>
            <w:r>
              <w:rPr>
                <w:rFonts w:hint="eastAsia" w:ascii="Times New Roman" w:hAnsi="Times New Roman" w:cs="Times New Roman"/>
                <w:b/>
                <w:bCs/>
              </w:rPr>
              <w:t>d</w:t>
            </w:r>
          </w:p>
          <w:p w14:paraId="44306927">
            <w:pPr>
              <w:tabs>
                <w:tab w:val="left" w:pos="1350"/>
                <w:tab w:val="left" w:pos="1560"/>
              </w:tabs>
              <w:spacing w:line="360" w:lineRule="auto"/>
              <w:ind w:firstLine="480" w:firstLineChars="200"/>
              <w:rPr>
                <w:rFonts w:hint="eastAsia"/>
                <w:bCs/>
                <w:sz w:val="24"/>
              </w:rPr>
            </w:pPr>
            <w:r>
              <w:rPr>
                <w:rFonts w:hint="eastAsia"/>
                <w:bCs/>
                <w:sz w:val="24"/>
              </w:rPr>
              <w:t>（3）供电：本项目供电由当地电网统一供给，能够满足其用电要求。</w:t>
            </w:r>
          </w:p>
          <w:p w14:paraId="7C22D663">
            <w:pPr>
              <w:tabs>
                <w:tab w:val="left" w:pos="1350"/>
                <w:tab w:val="left" w:pos="1560"/>
              </w:tabs>
              <w:spacing w:line="360" w:lineRule="auto"/>
              <w:ind w:firstLine="480" w:firstLineChars="200"/>
              <w:rPr>
                <w:rFonts w:hint="eastAsia"/>
                <w:bCs/>
                <w:sz w:val="24"/>
              </w:rPr>
            </w:pPr>
            <w:r>
              <w:rPr>
                <w:rFonts w:hint="eastAsia"/>
                <w:bCs/>
                <w:sz w:val="24"/>
              </w:rPr>
              <w:t>（4）供热：生活供暖依托园区内现有地源热泵，</w:t>
            </w:r>
            <w:r>
              <w:rPr>
                <w:rFonts w:hint="eastAsia"/>
                <w:bCs/>
                <w:sz w:val="24"/>
                <w:highlight w:val="none"/>
                <w:lang w:eastAsia="zh-CN"/>
              </w:rPr>
              <w:t>烘干</w:t>
            </w:r>
            <w:r>
              <w:rPr>
                <w:rFonts w:hint="eastAsia"/>
                <w:bCs/>
                <w:sz w:val="24"/>
                <w:highlight w:val="none"/>
              </w:rPr>
              <w:t>用热采用电加热</w:t>
            </w:r>
            <w:r>
              <w:rPr>
                <w:rFonts w:hint="eastAsia"/>
                <w:bCs/>
                <w:sz w:val="24"/>
              </w:rPr>
              <w:t>。</w:t>
            </w:r>
          </w:p>
          <w:p w14:paraId="6CF96FA9">
            <w:pPr>
              <w:tabs>
                <w:tab w:val="left" w:pos="1350"/>
                <w:tab w:val="left" w:pos="1560"/>
              </w:tabs>
              <w:spacing w:line="360" w:lineRule="auto"/>
              <w:ind w:firstLine="482" w:firstLineChars="200"/>
              <w:rPr>
                <w:rFonts w:eastAsia="Calibri"/>
                <w:b/>
                <w:sz w:val="24"/>
              </w:rPr>
            </w:pPr>
            <w:r>
              <w:rPr>
                <w:rFonts w:hint="eastAsia"/>
                <w:b/>
                <w:sz w:val="24"/>
              </w:rPr>
              <w:t>8、</w:t>
            </w:r>
            <w:r>
              <w:rPr>
                <w:rFonts w:eastAsia="Calibri"/>
                <w:b/>
                <w:sz w:val="24"/>
              </w:rPr>
              <w:t>劳动定员及工作制度</w:t>
            </w:r>
          </w:p>
          <w:p w14:paraId="33F02557">
            <w:pPr>
              <w:tabs>
                <w:tab w:val="left" w:pos="1350"/>
                <w:tab w:val="left" w:pos="1560"/>
              </w:tabs>
              <w:spacing w:line="360" w:lineRule="auto"/>
              <w:ind w:firstLine="470" w:firstLineChars="196"/>
              <w:rPr>
                <w:rFonts w:eastAsia="Calibri"/>
                <w:i/>
                <w:iCs/>
                <w:sz w:val="24"/>
                <w:u w:val="single"/>
              </w:rPr>
            </w:pPr>
            <w:r>
              <w:rPr>
                <w:rFonts w:eastAsia="Calibri"/>
                <w:sz w:val="24"/>
              </w:rPr>
              <w:t>本项目</w:t>
            </w:r>
            <w:r>
              <w:rPr>
                <w:rFonts w:hint="eastAsia"/>
                <w:sz w:val="24"/>
              </w:rPr>
              <w:t>实验人员7</w:t>
            </w:r>
            <w:r>
              <w:rPr>
                <w:rFonts w:eastAsia="Calibri"/>
                <w:sz w:val="24"/>
              </w:rPr>
              <w:t>人，</w:t>
            </w:r>
            <w:r>
              <w:rPr>
                <w:rFonts w:hint="eastAsia"/>
                <w:sz w:val="24"/>
              </w:rPr>
              <w:t>每天一班，</w:t>
            </w:r>
            <w:r>
              <w:rPr>
                <w:rFonts w:eastAsia="Calibri"/>
                <w:sz w:val="24"/>
              </w:rPr>
              <w:t>每班工作</w:t>
            </w:r>
            <w:r>
              <w:rPr>
                <w:rFonts w:hint="eastAsia"/>
                <w:sz w:val="24"/>
              </w:rPr>
              <w:t>8</w:t>
            </w:r>
            <w:r>
              <w:rPr>
                <w:rFonts w:eastAsia="Calibri"/>
                <w:sz w:val="24"/>
              </w:rPr>
              <w:t>h，全年工作</w:t>
            </w:r>
            <w:r>
              <w:rPr>
                <w:rFonts w:hint="eastAsia"/>
                <w:sz w:val="24"/>
              </w:rPr>
              <w:t>300</w:t>
            </w:r>
            <w:r>
              <w:rPr>
                <w:rFonts w:eastAsia="Calibri"/>
                <w:sz w:val="24"/>
              </w:rPr>
              <w:t>d</w:t>
            </w:r>
            <w:r>
              <w:rPr>
                <w:rFonts w:hint="eastAsia" w:eastAsia="宋体"/>
                <w:sz w:val="24"/>
                <w:lang w:eastAsia="zh-CN"/>
              </w:rPr>
              <w:t>，</w:t>
            </w:r>
            <w:r>
              <w:rPr>
                <w:rFonts w:hint="eastAsia" w:eastAsia="宋体"/>
                <w:i/>
                <w:iCs/>
                <w:sz w:val="24"/>
                <w:u w:val="single"/>
                <w:lang w:eastAsia="zh-CN"/>
              </w:rPr>
              <w:t>实验室不设置食宿，员工就餐依托园区内食堂</w:t>
            </w:r>
            <w:r>
              <w:rPr>
                <w:rFonts w:eastAsia="Calibri"/>
                <w:i/>
                <w:iCs/>
                <w:sz w:val="24"/>
                <w:u w:val="single"/>
              </w:rPr>
              <w:t>。</w:t>
            </w:r>
          </w:p>
          <w:p w14:paraId="2CD4ECC9">
            <w:pPr>
              <w:spacing w:line="360" w:lineRule="auto"/>
              <w:ind w:firstLine="482" w:firstLineChars="200"/>
              <w:rPr>
                <w:rFonts w:hint="eastAsia"/>
                <w:b/>
                <w:sz w:val="24"/>
              </w:rPr>
            </w:pPr>
            <w:r>
              <w:rPr>
                <w:rFonts w:hint="eastAsia"/>
                <w:b/>
                <w:sz w:val="24"/>
              </w:rPr>
              <w:t>9、项目投资及资金来源</w:t>
            </w:r>
          </w:p>
          <w:p w14:paraId="714E9208">
            <w:pPr>
              <w:spacing w:line="360" w:lineRule="auto"/>
              <w:ind w:firstLine="480" w:firstLineChars="200"/>
              <w:rPr>
                <w:rFonts w:hint="eastAsia"/>
                <w:bCs/>
                <w:sz w:val="24"/>
              </w:rPr>
            </w:pPr>
            <w:r>
              <w:rPr>
                <w:rFonts w:hint="eastAsia"/>
                <w:bCs/>
                <w:i/>
                <w:iCs/>
                <w:sz w:val="24"/>
                <w:u w:val="single"/>
              </w:rPr>
              <w:t>本项目总投资为300万元，全部来源于政府补助。</w:t>
            </w:r>
          </w:p>
        </w:tc>
      </w:tr>
      <w:tr w14:paraId="33F977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15" w:hRule="atLeast"/>
          <w:jc w:val="center"/>
        </w:trPr>
        <w:tc>
          <w:tcPr>
            <w:tcW w:w="257" w:type="pct"/>
            <w:noWrap w:val="0"/>
            <w:vAlign w:val="center"/>
          </w:tcPr>
          <w:p w14:paraId="5564C797">
            <w:pPr>
              <w:pStyle w:val="23"/>
              <w:adjustRightInd w:val="0"/>
              <w:snapToGrid w:val="0"/>
              <w:spacing w:before="0" w:beforeAutospacing="0" w:after="0" w:afterAutospacing="0"/>
              <w:jc w:val="center"/>
              <w:rPr>
                <w:rFonts w:ascii="Times New Roman" w:hAnsi="Times New Roman"/>
                <w:szCs w:val="24"/>
              </w:rPr>
            </w:pPr>
            <w:r>
              <w:rPr>
                <w:rFonts w:ascii="Times New Roman" w:hAnsi="Times New Roman"/>
                <w:szCs w:val="24"/>
              </w:rPr>
              <w:t>工艺流程和产排污环节</w:t>
            </w:r>
          </w:p>
        </w:tc>
        <w:tc>
          <w:tcPr>
            <w:tcW w:w="4742" w:type="pct"/>
            <w:noWrap w:val="0"/>
            <w:vAlign w:val="top"/>
          </w:tcPr>
          <w:p w14:paraId="23DFD108">
            <w:pPr>
              <w:pStyle w:val="16"/>
              <w:spacing w:line="360" w:lineRule="auto"/>
              <w:ind w:firstLine="482" w:firstLineChars="200"/>
              <w:rPr>
                <w:rFonts w:cs="宋体"/>
                <w:b/>
                <w:bCs/>
                <w:color w:val="000000"/>
                <w:sz w:val="24"/>
              </w:rPr>
            </w:pPr>
            <w:r>
              <w:rPr>
                <w:rFonts w:hint="eastAsia" w:cs="宋体"/>
                <w:b/>
                <w:color w:val="000000"/>
                <w:sz w:val="24"/>
              </w:rPr>
              <w:t>1、</w:t>
            </w:r>
            <w:r>
              <w:rPr>
                <w:b/>
                <w:color w:val="000000"/>
                <w:sz w:val="24"/>
              </w:rPr>
              <w:t>施工期</w:t>
            </w:r>
            <w:r>
              <w:rPr>
                <w:rFonts w:cs="宋体"/>
                <w:b/>
                <w:bCs/>
                <w:color w:val="000000"/>
                <w:sz w:val="24"/>
              </w:rPr>
              <w:t>工艺流程及产污环节分析</w:t>
            </w:r>
          </w:p>
          <w:p w14:paraId="4F150F97">
            <w:pPr>
              <w:pStyle w:val="16"/>
              <w:spacing w:line="360" w:lineRule="auto"/>
              <w:ind w:firstLine="480" w:firstLineChars="200"/>
              <w:rPr>
                <w:bCs/>
                <w:sz w:val="24"/>
                <w:szCs w:val="24"/>
              </w:rPr>
            </w:pPr>
            <w:r>
              <w:rPr>
                <w:rFonts w:hint="eastAsia"/>
                <w:sz w:val="24"/>
                <w:szCs w:val="24"/>
              </w:rPr>
              <w:t>本项目施工期主要是</w:t>
            </w:r>
            <w:r>
              <w:rPr>
                <w:rFonts w:hint="eastAsia"/>
                <w:sz w:val="24"/>
                <w:szCs w:val="24"/>
                <w:lang w:eastAsia="zh-CN"/>
              </w:rPr>
              <w:t>在</w:t>
            </w:r>
            <w:r>
              <w:rPr>
                <w:rFonts w:hint="eastAsia"/>
                <w:sz w:val="24"/>
                <w:szCs w:val="24"/>
              </w:rPr>
              <w:t>现有空厂房内</w:t>
            </w:r>
            <w:r>
              <w:rPr>
                <w:rFonts w:hint="eastAsia"/>
                <w:sz w:val="24"/>
                <w:szCs w:val="24"/>
                <w:lang w:eastAsia="zh-CN"/>
              </w:rPr>
              <w:t>进行</w:t>
            </w:r>
            <w:r>
              <w:rPr>
                <w:rFonts w:hint="eastAsia"/>
                <w:sz w:val="24"/>
                <w:szCs w:val="24"/>
              </w:rPr>
              <w:t>设备安装和室内装修，工艺流程详见</w:t>
            </w:r>
            <w:r>
              <w:rPr>
                <w:rFonts w:hint="eastAsia"/>
                <w:sz w:val="24"/>
                <w:szCs w:val="24"/>
                <w:lang w:eastAsia="zh-CN"/>
              </w:rPr>
              <w:t>下图</w:t>
            </w:r>
            <w:r>
              <w:rPr>
                <w:rFonts w:hint="eastAsia"/>
                <w:sz w:val="24"/>
                <w:szCs w:val="24"/>
              </w:rPr>
              <w:t>。</w:t>
            </w:r>
          </w:p>
          <w:p w14:paraId="31C7FF26">
            <w:pPr>
              <w:pStyle w:val="16"/>
              <w:spacing w:line="360" w:lineRule="auto"/>
              <w:jc w:val="center"/>
              <w:rPr>
                <w:rFonts w:hint="eastAsia"/>
                <w:b/>
                <w:bCs/>
                <w:sz w:val="24"/>
                <w:szCs w:val="24"/>
              </w:rPr>
            </w:pPr>
            <w:r>
              <w:rPr>
                <w:rFonts w:hint="eastAsia"/>
                <w:b/>
                <w:bCs/>
                <w:sz w:val="24"/>
                <w:szCs w:val="24"/>
              </w:rPr>
              <w:drawing>
                <wp:inline distT="0" distB="0" distL="114300" distR="114300">
                  <wp:extent cx="4443095" cy="1665605"/>
                  <wp:effectExtent l="0" t="0" r="0" b="0"/>
                  <wp:docPr id="2" name="ECB019B1-382A-4266-B25C-5B523AA43C14-2" descr="C:/Users/Administrator/AppData/Local/Temp/wps.RxQyVV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B019B1-382A-4266-B25C-5B523AA43C14-2" descr="C:/Users/Administrator/AppData/Local/Temp/wps.RxQyVVwps"/>
                          <pic:cNvPicPr>
                            <a:picLocks noChangeAspect="1"/>
                          </pic:cNvPicPr>
                        </pic:nvPicPr>
                        <pic:blipFill>
                          <a:blip r:embed="rId8"/>
                          <a:stretch>
                            <a:fillRect/>
                          </a:stretch>
                        </pic:blipFill>
                        <pic:spPr>
                          <a:xfrm>
                            <a:off x="0" y="0"/>
                            <a:ext cx="4443095" cy="1665605"/>
                          </a:xfrm>
                          <a:prstGeom prst="rect">
                            <a:avLst/>
                          </a:prstGeom>
                          <a:noFill/>
                          <a:ln>
                            <a:noFill/>
                          </a:ln>
                        </pic:spPr>
                      </pic:pic>
                    </a:graphicData>
                  </a:graphic>
                </wp:inline>
              </w:drawing>
            </w:r>
          </w:p>
          <w:p w14:paraId="080830AC">
            <w:pPr>
              <w:jc w:val="center"/>
              <w:rPr>
                <w:rFonts w:hint="eastAsia"/>
                <w:b/>
                <w:bCs/>
                <w:sz w:val="24"/>
              </w:rPr>
            </w:pPr>
            <w:r>
              <w:rPr>
                <w:b/>
                <w:bCs/>
                <w:sz w:val="24"/>
                <w:szCs w:val="32"/>
              </w:rPr>
              <w:t>图</w:t>
            </w:r>
            <w:r>
              <w:rPr>
                <w:rFonts w:hint="eastAsia"/>
                <w:b/>
                <w:bCs/>
                <w:sz w:val="24"/>
                <w:szCs w:val="32"/>
              </w:rPr>
              <w:t>2-2</w:t>
            </w:r>
            <w:r>
              <w:rPr>
                <w:b/>
                <w:bCs/>
                <w:sz w:val="24"/>
                <w:szCs w:val="32"/>
              </w:rPr>
              <w:t xml:space="preserve">   </w:t>
            </w:r>
            <w:r>
              <w:rPr>
                <w:rFonts w:hint="eastAsia"/>
                <w:b/>
                <w:bCs/>
                <w:sz w:val="24"/>
                <w:szCs w:val="32"/>
              </w:rPr>
              <w:t>施工期</w:t>
            </w:r>
            <w:r>
              <w:rPr>
                <w:b/>
                <w:bCs/>
                <w:sz w:val="24"/>
                <w:szCs w:val="32"/>
              </w:rPr>
              <w:t>工艺流程及产污环节示意图</w:t>
            </w:r>
          </w:p>
          <w:p w14:paraId="380F827F">
            <w:pPr>
              <w:adjustRightInd w:val="0"/>
              <w:snapToGrid w:val="0"/>
              <w:spacing w:line="360" w:lineRule="auto"/>
              <w:ind w:firstLine="482" w:firstLineChars="200"/>
              <w:rPr>
                <w:bCs/>
                <w:color w:val="000000"/>
                <w:sz w:val="24"/>
              </w:rPr>
            </w:pPr>
            <w:r>
              <w:rPr>
                <w:b/>
                <w:bCs/>
                <w:color w:val="000000"/>
                <w:sz w:val="24"/>
              </w:rPr>
              <w:t>工艺流程说明：</w:t>
            </w:r>
          </w:p>
          <w:p w14:paraId="2C83AFAE">
            <w:pPr>
              <w:adjustRightInd w:val="0"/>
              <w:snapToGrid w:val="0"/>
              <w:spacing w:line="360" w:lineRule="auto"/>
              <w:ind w:firstLine="480" w:firstLineChars="200"/>
              <w:rPr>
                <w:bCs/>
                <w:color w:val="000000"/>
                <w:sz w:val="24"/>
              </w:rPr>
            </w:pPr>
            <w:r>
              <w:rPr>
                <w:bCs/>
                <w:color w:val="000000"/>
                <w:sz w:val="24"/>
              </w:rPr>
              <w:t>（</w:t>
            </w:r>
            <w:r>
              <w:rPr>
                <w:rFonts w:hint="eastAsia"/>
                <w:bCs/>
                <w:color w:val="000000"/>
                <w:sz w:val="24"/>
              </w:rPr>
              <w:t>1</w:t>
            </w:r>
            <w:r>
              <w:rPr>
                <w:bCs/>
                <w:color w:val="000000"/>
                <w:sz w:val="24"/>
              </w:rPr>
              <w:t>）设备安装</w:t>
            </w:r>
          </w:p>
          <w:p w14:paraId="026597CD">
            <w:pPr>
              <w:adjustRightInd w:val="0"/>
              <w:snapToGrid w:val="0"/>
              <w:spacing w:line="360" w:lineRule="auto"/>
              <w:ind w:firstLine="480" w:firstLineChars="200"/>
              <w:rPr>
                <w:rFonts w:hint="eastAsia"/>
                <w:bCs/>
                <w:color w:val="000000"/>
                <w:sz w:val="24"/>
              </w:rPr>
            </w:pPr>
            <w:r>
              <w:rPr>
                <w:bCs/>
                <w:color w:val="000000"/>
                <w:sz w:val="24"/>
              </w:rPr>
              <w:t>主要污染物是</w:t>
            </w:r>
            <w:r>
              <w:rPr>
                <w:rFonts w:hint="eastAsia"/>
                <w:bCs/>
                <w:color w:val="000000"/>
                <w:sz w:val="24"/>
              </w:rPr>
              <w:t>设备安装时</w:t>
            </w:r>
            <w:r>
              <w:rPr>
                <w:bCs/>
                <w:color w:val="000000"/>
                <w:sz w:val="24"/>
              </w:rPr>
              <w:t>产生的噪声、</w:t>
            </w:r>
            <w:r>
              <w:rPr>
                <w:rFonts w:hint="eastAsia"/>
                <w:bCs/>
                <w:color w:val="000000"/>
                <w:sz w:val="24"/>
              </w:rPr>
              <w:t>粉尘</w:t>
            </w:r>
            <w:r>
              <w:rPr>
                <w:bCs/>
                <w:color w:val="000000"/>
                <w:sz w:val="24"/>
              </w:rPr>
              <w:t>等。</w:t>
            </w:r>
          </w:p>
          <w:p w14:paraId="655CF152">
            <w:pPr>
              <w:adjustRightInd w:val="0"/>
              <w:snapToGrid w:val="0"/>
              <w:spacing w:line="360" w:lineRule="auto"/>
              <w:ind w:firstLine="480" w:firstLineChars="200"/>
              <w:rPr>
                <w:rFonts w:hint="eastAsia"/>
                <w:bCs/>
                <w:color w:val="000000"/>
                <w:sz w:val="24"/>
              </w:rPr>
            </w:pPr>
            <w:r>
              <w:rPr>
                <w:bCs/>
                <w:color w:val="000000"/>
                <w:sz w:val="24"/>
              </w:rPr>
              <w:t>（</w:t>
            </w:r>
            <w:r>
              <w:rPr>
                <w:rFonts w:hint="eastAsia"/>
                <w:bCs/>
                <w:color w:val="000000"/>
                <w:sz w:val="24"/>
              </w:rPr>
              <w:t>2</w:t>
            </w:r>
            <w:r>
              <w:rPr>
                <w:bCs/>
                <w:color w:val="000000"/>
                <w:sz w:val="24"/>
              </w:rPr>
              <w:t>）</w:t>
            </w:r>
            <w:r>
              <w:rPr>
                <w:rFonts w:hint="eastAsia"/>
                <w:bCs/>
                <w:color w:val="000000"/>
                <w:sz w:val="24"/>
              </w:rPr>
              <w:t>室内装修</w:t>
            </w:r>
          </w:p>
          <w:p w14:paraId="17955318">
            <w:pPr>
              <w:adjustRightInd w:val="0"/>
              <w:snapToGrid w:val="0"/>
              <w:spacing w:line="360" w:lineRule="auto"/>
              <w:ind w:firstLine="480" w:firstLineChars="200"/>
              <w:rPr>
                <w:bCs/>
                <w:color w:val="000000"/>
                <w:sz w:val="24"/>
              </w:rPr>
            </w:pPr>
            <w:r>
              <w:rPr>
                <w:bCs/>
                <w:color w:val="000000"/>
                <w:sz w:val="24"/>
              </w:rPr>
              <w:t>利用各种加工机械对木材</w:t>
            </w:r>
            <w:r>
              <w:rPr>
                <w:rFonts w:hint="eastAsia"/>
                <w:bCs/>
                <w:color w:val="000000"/>
                <w:sz w:val="24"/>
              </w:rPr>
              <w:t>、玻璃</w:t>
            </w:r>
            <w:r>
              <w:rPr>
                <w:bCs/>
                <w:color w:val="000000"/>
                <w:sz w:val="24"/>
              </w:rPr>
              <w:t>、塑钢等按图进行加工，同时进行屋面制作，然后采用浅色环保型高级涂料和浅灰色仿石涂料喷刷，最后对外露的铁件进行油漆施工，本工段时间较短，且使用的涂料和油漆量较少，有少量的有机废气挥发。</w:t>
            </w:r>
          </w:p>
          <w:p w14:paraId="63CB4B3C">
            <w:pPr>
              <w:autoSpaceDE w:val="0"/>
              <w:autoSpaceDN w:val="0"/>
              <w:adjustRightInd w:val="0"/>
              <w:snapToGrid w:val="0"/>
              <w:spacing w:line="360" w:lineRule="auto"/>
              <w:ind w:firstLine="482" w:firstLineChars="200"/>
              <w:jc w:val="left"/>
              <w:rPr>
                <w:rFonts w:hint="eastAsia"/>
                <w:color w:val="000000"/>
                <w:sz w:val="24"/>
              </w:rPr>
            </w:pPr>
            <w:r>
              <w:rPr>
                <w:rFonts w:hint="eastAsia" w:cs="宋体"/>
                <w:b/>
                <w:color w:val="000000"/>
                <w:kern w:val="0"/>
                <w:sz w:val="24"/>
              </w:rPr>
              <w:t>2、实验</w:t>
            </w:r>
            <w:r>
              <w:rPr>
                <w:rFonts w:cs="宋体"/>
                <w:b/>
                <w:bCs/>
                <w:color w:val="000000"/>
                <w:kern w:val="0"/>
                <w:sz w:val="24"/>
              </w:rPr>
              <w:t>流程及产污环节分析</w:t>
            </w:r>
          </w:p>
          <w:p w14:paraId="61F0793A">
            <w:pPr>
              <w:pStyle w:val="16"/>
              <w:spacing w:line="360" w:lineRule="auto"/>
              <w:ind w:firstLine="480" w:firstLineChars="200"/>
              <w:rPr>
                <w:rFonts w:hint="eastAsia"/>
                <w:bCs/>
                <w:sz w:val="24"/>
                <w:szCs w:val="24"/>
              </w:rPr>
            </w:pPr>
            <w:r>
              <w:rPr>
                <w:rFonts w:hint="eastAsia"/>
                <w:bCs/>
                <w:sz w:val="24"/>
                <w:szCs w:val="24"/>
              </w:rPr>
              <w:t>本项目</w:t>
            </w:r>
            <w:r>
              <w:rPr>
                <w:rFonts w:hint="eastAsia"/>
                <w:bCs/>
                <w:sz w:val="24"/>
                <w:szCs w:val="24"/>
                <w:lang w:eastAsia="zh-CN"/>
              </w:rPr>
              <w:t>制备实验及喷涂实验</w:t>
            </w:r>
            <w:r>
              <w:rPr>
                <w:rFonts w:hint="eastAsia"/>
                <w:bCs/>
                <w:sz w:val="24"/>
                <w:szCs w:val="24"/>
              </w:rPr>
              <w:t>其工艺流程如下：</w:t>
            </w:r>
          </w:p>
          <w:p w14:paraId="1D887387">
            <w:pPr>
              <w:pStyle w:val="16"/>
              <w:spacing w:line="360" w:lineRule="auto"/>
              <w:ind w:firstLine="480" w:firstLineChars="200"/>
              <w:rPr>
                <w:rFonts w:hint="eastAsia"/>
                <w:bCs/>
                <w:sz w:val="24"/>
                <w:szCs w:val="24"/>
              </w:rPr>
            </w:pPr>
            <w:r>
              <w:rPr>
                <w:rFonts w:hint="eastAsia"/>
                <w:bCs/>
                <w:sz w:val="24"/>
                <w:szCs w:val="24"/>
              </w:rPr>
              <w:drawing>
                <wp:inline distT="0" distB="0" distL="114300" distR="114300">
                  <wp:extent cx="4946650" cy="5930900"/>
                  <wp:effectExtent l="0" t="0" r="0" b="0"/>
                  <wp:docPr id="3" name="ECB019B1-382A-4266-B25C-5B523AA43C14-3" descr="C:/Users/Administrator/AppData/Local/Temp/wps.SNOUUl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B019B1-382A-4266-B25C-5B523AA43C14-3" descr="C:/Users/Administrator/AppData/Local/Temp/wps.SNOUUlwps"/>
                          <pic:cNvPicPr>
                            <a:picLocks noChangeAspect="1"/>
                          </pic:cNvPicPr>
                        </pic:nvPicPr>
                        <pic:blipFill>
                          <a:blip r:embed="rId9"/>
                          <a:stretch>
                            <a:fillRect/>
                          </a:stretch>
                        </pic:blipFill>
                        <pic:spPr>
                          <a:xfrm>
                            <a:off x="0" y="0"/>
                            <a:ext cx="4946650" cy="5930900"/>
                          </a:xfrm>
                          <a:prstGeom prst="rect">
                            <a:avLst/>
                          </a:prstGeom>
                          <a:noFill/>
                          <a:ln>
                            <a:noFill/>
                          </a:ln>
                        </pic:spPr>
                      </pic:pic>
                    </a:graphicData>
                  </a:graphic>
                </wp:inline>
              </w:drawing>
            </w:r>
          </w:p>
          <w:p w14:paraId="60CBB65E">
            <w:pPr>
              <w:jc w:val="center"/>
              <w:rPr>
                <w:b/>
                <w:bCs/>
                <w:i/>
                <w:iCs/>
                <w:kern w:val="0"/>
                <w:sz w:val="24"/>
                <w:u w:val="single"/>
              </w:rPr>
            </w:pPr>
            <w:r>
              <w:rPr>
                <w:b/>
                <w:bCs/>
                <w:i/>
                <w:iCs/>
                <w:sz w:val="24"/>
                <w:szCs w:val="32"/>
                <w:u w:val="single"/>
              </w:rPr>
              <w:t>图</w:t>
            </w:r>
            <w:r>
              <w:rPr>
                <w:rFonts w:hint="eastAsia"/>
                <w:b/>
                <w:bCs/>
                <w:i/>
                <w:iCs/>
                <w:sz w:val="24"/>
                <w:szCs w:val="32"/>
                <w:u w:val="single"/>
              </w:rPr>
              <w:t>2-3</w:t>
            </w:r>
            <w:r>
              <w:rPr>
                <w:b/>
                <w:bCs/>
                <w:i/>
                <w:iCs/>
                <w:sz w:val="24"/>
                <w:szCs w:val="32"/>
                <w:u w:val="single"/>
              </w:rPr>
              <w:t xml:space="preserve">   </w:t>
            </w:r>
            <w:r>
              <w:rPr>
                <w:rFonts w:hint="eastAsia"/>
                <w:b/>
                <w:bCs/>
                <w:i/>
                <w:iCs/>
                <w:sz w:val="24"/>
                <w:szCs w:val="32"/>
                <w:u w:val="single"/>
              </w:rPr>
              <w:t>实验</w:t>
            </w:r>
            <w:r>
              <w:rPr>
                <w:b/>
                <w:bCs/>
                <w:i/>
                <w:iCs/>
                <w:sz w:val="24"/>
                <w:szCs w:val="32"/>
                <w:u w:val="single"/>
              </w:rPr>
              <w:t>流程及产污环节示意图</w:t>
            </w:r>
          </w:p>
          <w:p w14:paraId="40046273">
            <w:pPr>
              <w:adjustRightInd w:val="0"/>
              <w:snapToGrid w:val="0"/>
              <w:spacing w:line="360" w:lineRule="auto"/>
              <w:ind w:firstLine="482" w:firstLineChars="200"/>
              <w:rPr>
                <w:b/>
                <w:bCs/>
                <w:kern w:val="0"/>
                <w:sz w:val="24"/>
              </w:rPr>
            </w:pPr>
            <w:r>
              <w:rPr>
                <w:rFonts w:hint="eastAsia"/>
                <w:b/>
                <w:bCs/>
                <w:kern w:val="0"/>
                <w:sz w:val="24"/>
                <w:highlight w:val="none"/>
              </w:rPr>
              <w:t>实验</w:t>
            </w:r>
            <w:r>
              <w:rPr>
                <w:b/>
                <w:bCs/>
                <w:kern w:val="0"/>
                <w:sz w:val="24"/>
                <w:highlight w:val="none"/>
              </w:rPr>
              <w:t>流程简述</w:t>
            </w:r>
            <w:r>
              <w:rPr>
                <w:b/>
                <w:bCs/>
                <w:kern w:val="0"/>
                <w:sz w:val="24"/>
              </w:rPr>
              <w:t>：</w:t>
            </w:r>
          </w:p>
          <w:p w14:paraId="5F203C1B">
            <w:pPr>
              <w:adjustRightInd w:val="0"/>
              <w:snapToGrid w:val="0"/>
              <w:spacing w:line="360" w:lineRule="auto"/>
              <w:ind w:firstLine="480" w:firstLineChars="200"/>
              <w:rPr>
                <w:rFonts w:hint="eastAsia"/>
                <w:kern w:val="0"/>
                <w:sz w:val="24"/>
              </w:rPr>
            </w:pPr>
            <w:r>
              <w:rPr>
                <w:rFonts w:hint="eastAsia"/>
                <w:kern w:val="0"/>
                <w:sz w:val="24"/>
              </w:rPr>
              <w:t>（1）高速搅拌：搅拌前需要对外购的原辅材料根据确定不同的配比，</w:t>
            </w:r>
            <w:r>
              <w:rPr>
                <w:rFonts w:hint="eastAsia"/>
                <w:kern w:val="0"/>
                <w:sz w:val="24"/>
                <w:lang w:eastAsia="zh-CN"/>
              </w:rPr>
              <w:t>确定</w:t>
            </w:r>
            <w:r>
              <w:rPr>
                <w:rFonts w:hint="eastAsia"/>
                <w:kern w:val="0"/>
                <w:sz w:val="24"/>
              </w:rPr>
              <w:t>配比</w:t>
            </w:r>
            <w:r>
              <w:rPr>
                <w:rFonts w:hint="eastAsia"/>
                <w:kern w:val="0"/>
                <w:sz w:val="24"/>
                <w:lang w:eastAsia="zh-CN"/>
              </w:rPr>
              <w:t>方案后，将</w:t>
            </w:r>
            <w:r>
              <w:rPr>
                <w:rFonts w:hint="eastAsia"/>
                <w:kern w:val="0"/>
                <w:sz w:val="24"/>
              </w:rPr>
              <w:t>实验原料人工投入到搅拌罐中，</w:t>
            </w:r>
            <w:r>
              <w:rPr>
                <w:rFonts w:hint="eastAsia"/>
                <w:kern w:val="0"/>
                <w:sz w:val="24"/>
                <w:lang w:eastAsia="zh-CN"/>
              </w:rPr>
              <w:t>树脂及颜填料均为粉末状，</w:t>
            </w:r>
            <w:r>
              <w:rPr>
                <w:rFonts w:hint="eastAsia"/>
                <w:kern w:val="0"/>
                <w:sz w:val="24"/>
              </w:rPr>
              <w:t>助剂及混合溶剂均为液态</w:t>
            </w:r>
            <w:r>
              <w:rPr>
                <w:rFonts w:hint="eastAsia"/>
                <w:kern w:val="0"/>
                <w:sz w:val="24"/>
                <w:lang w:eastAsia="zh-CN"/>
              </w:rPr>
              <w:t>因此投料过程无</w:t>
            </w:r>
            <w:r>
              <w:rPr>
                <w:rFonts w:hint="eastAsia"/>
                <w:kern w:val="0"/>
                <w:sz w:val="24"/>
              </w:rPr>
              <w:t>投料粉尘产生，</w:t>
            </w:r>
            <w:r>
              <w:rPr>
                <w:rFonts w:hint="eastAsia"/>
                <w:i/>
                <w:iCs/>
                <w:kern w:val="0"/>
                <w:sz w:val="24"/>
                <w:u w:val="single"/>
                <w:lang w:eastAsia="zh-CN"/>
              </w:rPr>
              <w:t>投料过程持续时间极短，且投加后，搅拌罐立即密闭。投加溶剂时产生的极少数投料有机废气</w:t>
            </w:r>
            <w:r>
              <w:rPr>
                <w:rFonts w:hint="eastAsia"/>
                <w:i/>
                <w:iCs/>
                <w:kern w:val="0"/>
                <w:sz w:val="24"/>
                <w:u w:val="single"/>
                <w:lang w:val="en-US" w:eastAsia="zh-CN"/>
              </w:rPr>
              <w:t>G1</w:t>
            </w:r>
            <w:r>
              <w:rPr>
                <w:rFonts w:hint="eastAsia"/>
                <w:i/>
                <w:iCs/>
                <w:kern w:val="0"/>
                <w:sz w:val="24"/>
                <w:u w:val="single"/>
                <w:lang w:eastAsia="zh-CN"/>
              </w:rPr>
              <w:t>，</w:t>
            </w:r>
            <w:r>
              <w:rPr>
                <w:rFonts w:hint="eastAsia"/>
                <w:kern w:val="0"/>
                <w:sz w:val="24"/>
              </w:rPr>
              <w:t>搅拌机内</w:t>
            </w:r>
            <w:r>
              <w:rPr>
                <w:rFonts w:hint="eastAsia"/>
                <w:kern w:val="0"/>
                <w:sz w:val="24"/>
                <w:lang w:eastAsia="zh-CN"/>
              </w:rPr>
              <w:t>置于</w:t>
            </w:r>
            <w:r>
              <w:rPr>
                <w:rFonts w:hint="eastAsia"/>
                <w:kern w:val="0"/>
                <w:sz w:val="24"/>
              </w:rPr>
              <w:t>搅拌罐中，搅拌时搅拌罐为密封状态，无挥发性气体产生，</w:t>
            </w:r>
            <w:r>
              <w:rPr>
                <w:rFonts w:hint="eastAsia"/>
                <w:kern w:val="0"/>
                <w:sz w:val="24"/>
                <w:lang w:eastAsia="zh-CN"/>
              </w:rPr>
              <w:t>搅拌时间约为</w:t>
            </w:r>
            <w:r>
              <w:rPr>
                <w:rFonts w:hint="eastAsia"/>
                <w:kern w:val="0"/>
                <w:sz w:val="24"/>
                <w:lang w:val="en-US" w:eastAsia="zh-CN"/>
              </w:rPr>
              <w:t>2h/d，</w:t>
            </w:r>
            <w:r>
              <w:rPr>
                <w:rFonts w:hint="eastAsia"/>
                <w:kern w:val="0"/>
                <w:sz w:val="24"/>
              </w:rPr>
              <w:t>此过程仅有搅拌机运行时噪声N1。</w:t>
            </w:r>
          </w:p>
          <w:p w14:paraId="18C2241A">
            <w:pPr>
              <w:adjustRightInd w:val="0"/>
              <w:snapToGrid w:val="0"/>
              <w:spacing w:line="360" w:lineRule="auto"/>
              <w:ind w:firstLine="480" w:firstLineChars="200"/>
              <w:rPr>
                <w:rFonts w:hint="eastAsia"/>
                <w:kern w:val="0"/>
                <w:sz w:val="24"/>
              </w:rPr>
            </w:pPr>
            <w:r>
              <w:rPr>
                <w:rFonts w:hint="eastAsia"/>
                <w:kern w:val="0"/>
                <w:sz w:val="24"/>
              </w:rPr>
              <w:t>（2）研磨：使用研磨机将搅拌均匀的漆料反复研磨，研磨机工作时为密闭状态，无挥发性气体产生，</w:t>
            </w:r>
            <w:r>
              <w:rPr>
                <w:rFonts w:hint="eastAsia"/>
                <w:kern w:val="0"/>
                <w:sz w:val="24"/>
                <w:lang w:eastAsia="zh-CN"/>
              </w:rPr>
              <w:t>研磨时间约为</w:t>
            </w:r>
            <w:r>
              <w:rPr>
                <w:rFonts w:hint="eastAsia"/>
                <w:kern w:val="0"/>
                <w:sz w:val="24"/>
                <w:lang w:val="en-US" w:eastAsia="zh-CN"/>
              </w:rPr>
              <w:t>2h/d，</w:t>
            </w:r>
            <w:r>
              <w:rPr>
                <w:rFonts w:hint="eastAsia"/>
                <w:kern w:val="0"/>
                <w:sz w:val="24"/>
              </w:rPr>
              <w:t>此过程仅有研磨机运行时噪声N2。</w:t>
            </w:r>
          </w:p>
          <w:p w14:paraId="04B99ED1">
            <w:pPr>
              <w:adjustRightInd w:val="0"/>
              <w:snapToGrid w:val="0"/>
              <w:spacing w:line="360" w:lineRule="auto"/>
              <w:ind w:firstLine="480" w:firstLineChars="200"/>
              <w:rPr>
                <w:rFonts w:hint="eastAsia"/>
                <w:kern w:val="0"/>
                <w:sz w:val="24"/>
              </w:rPr>
            </w:pPr>
            <w:r>
              <w:rPr>
                <w:rFonts w:hint="eastAsia"/>
                <w:kern w:val="0"/>
                <w:sz w:val="24"/>
              </w:rPr>
              <w:t>（3）检验细度：取少部分研磨漆料通过细度测量分析仪进行测量，测量该批次漆料粒径是否达到40</w:t>
            </w:r>
            <w:r>
              <w:rPr>
                <w:kern w:val="0"/>
                <w:sz w:val="24"/>
              </w:rPr>
              <w:t>μm</w:t>
            </w:r>
            <w:r>
              <w:rPr>
                <w:rFonts w:hint="eastAsia"/>
                <w:kern w:val="0"/>
                <w:sz w:val="24"/>
              </w:rPr>
              <w:t>以下，如未达到则继续研磨，如粒径达到40</w:t>
            </w:r>
            <w:r>
              <w:rPr>
                <w:kern w:val="0"/>
                <w:sz w:val="24"/>
              </w:rPr>
              <w:t>μm</w:t>
            </w:r>
            <w:r>
              <w:rPr>
                <w:rFonts w:hint="eastAsia"/>
                <w:kern w:val="0"/>
                <w:sz w:val="24"/>
              </w:rPr>
              <w:t>要求则该批次漆料进入调粘工序</w:t>
            </w:r>
          </w:p>
          <w:p w14:paraId="22B0FA4F">
            <w:pPr>
              <w:adjustRightInd w:val="0"/>
              <w:snapToGrid w:val="0"/>
              <w:spacing w:line="360" w:lineRule="auto"/>
              <w:ind w:firstLine="480" w:firstLineChars="200"/>
              <w:rPr>
                <w:rFonts w:hint="eastAsia" w:eastAsia="宋体"/>
                <w:kern w:val="0"/>
                <w:sz w:val="24"/>
                <w:lang w:eastAsia="zh-CN"/>
              </w:rPr>
            </w:pPr>
            <w:r>
              <w:rPr>
                <w:rFonts w:hint="eastAsia"/>
                <w:kern w:val="0"/>
                <w:sz w:val="24"/>
              </w:rPr>
              <w:t>（4）调粘：在搅拌状态下补加</w:t>
            </w:r>
            <w:r>
              <w:rPr>
                <w:rFonts w:hint="eastAsia"/>
                <w:kern w:val="0"/>
                <w:sz w:val="24"/>
                <w:lang w:eastAsia="zh-CN"/>
              </w:rPr>
              <w:t>混合</w:t>
            </w:r>
            <w:r>
              <w:rPr>
                <w:rFonts w:hint="eastAsia"/>
                <w:kern w:val="0"/>
                <w:sz w:val="24"/>
              </w:rPr>
              <w:t>溶剂，测试粘度，符合喷涂粘度后，将漆料通过滤网过滤掉</w:t>
            </w:r>
            <w:r>
              <w:rPr>
                <w:rFonts w:hint="eastAsia"/>
                <w:kern w:val="0"/>
                <w:sz w:val="24"/>
                <w:highlight w:val="none"/>
              </w:rPr>
              <w:t>灰尘杂质</w:t>
            </w:r>
            <w:r>
              <w:rPr>
                <w:rFonts w:hint="eastAsia"/>
                <w:kern w:val="0"/>
                <w:sz w:val="24"/>
                <w:highlight w:val="none"/>
                <w:lang w:val="en-US" w:eastAsia="zh-CN"/>
              </w:rPr>
              <w:t>S1</w:t>
            </w:r>
            <w:r>
              <w:rPr>
                <w:rFonts w:hint="eastAsia"/>
                <w:kern w:val="0"/>
                <w:sz w:val="24"/>
              </w:rPr>
              <w:t>，</w:t>
            </w:r>
            <w:r>
              <w:rPr>
                <w:rFonts w:hint="eastAsia"/>
                <w:i/>
                <w:iCs/>
                <w:kern w:val="0"/>
                <w:sz w:val="24"/>
                <w:u w:val="single"/>
                <w:lang w:eastAsia="zh-CN"/>
              </w:rPr>
              <w:t>出料时产生少部分出料有机废气</w:t>
            </w:r>
            <w:r>
              <w:rPr>
                <w:rFonts w:hint="eastAsia"/>
                <w:i/>
                <w:iCs/>
                <w:kern w:val="0"/>
                <w:sz w:val="24"/>
                <w:u w:val="single"/>
                <w:lang w:val="en-US" w:eastAsia="zh-CN"/>
              </w:rPr>
              <w:t>G2</w:t>
            </w:r>
            <w:r>
              <w:rPr>
                <w:rFonts w:hint="eastAsia"/>
                <w:kern w:val="0"/>
                <w:sz w:val="24"/>
                <w:lang w:eastAsia="zh-CN"/>
              </w:rPr>
              <w:t>，</w:t>
            </w:r>
            <w:r>
              <w:rPr>
                <w:rFonts w:hint="eastAsia"/>
                <w:kern w:val="0"/>
                <w:sz w:val="24"/>
              </w:rPr>
              <w:t>过滤后的漆料</w:t>
            </w:r>
            <w:r>
              <w:rPr>
                <w:rFonts w:hint="eastAsia"/>
                <w:kern w:val="0"/>
                <w:sz w:val="24"/>
                <w:lang w:eastAsia="zh-CN"/>
              </w:rPr>
              <w:t>装入封闭桶内移至喷涂实验室内，之后装入喷枪中</w:t>
            </w:r>
            <w:r>
              <w:rPr>
                <w:rFonts w:hint="eastAsia"/>
                <w:kern w:val="0"/>
                <w:sz w:val="24"/>
              </w:rPr>
              <w:t>进行喷涂实验。</w:t>
            </w:r>
          </w:p>
          <w:p w14:paraId="3B055BD2">
            <w:pPr>
              <w:adjustRightInd w:val="0"/>
              <w:snapToGrid w:val="0"/>
              <w:spacing w:line="360" w:lineRule="auto"/>
              <w:ind w:firstLine="480" w:firstLineChars="200"/>
              <w:rPr>
                <w:kern w:val="0"/>
                <w:sz w:val="24"/>
              </w:rPr>
            </w:pPr>
            <w:r>
              <w:rPr>
                <w:rFonts w:hint="eastAsia"/>
                <w:kern w:val="0"/>
                <w:sz w:val="24"/>
              </w:rPr>
              <w:t>（5）喷砂：外购的实验基材</w:t>
            </w:r>
            <w:r>
              <w:rPr>
                <w:rFonts w:hint="eastAsia"/>
                <w:kern w:val="0"/>
                <w:sz w:val="24"/>
                <w:lang w:eastAsia="zh-CN"/>
              </w:rPr>
              <w:t>进行喷砂处理，无其他表面处理工序，</w:t>
            </w:r>
            <w:r>
              <w:rPr>
                <w:rFonts w:hint="eastAsia"/>
                <w:kern w:val="0"/>
                <w:sz w:val="24"/>
              </w:rPr>
              <w:t>喷砂机</w:t>
            </w:r>
            <w:r>
              <w:rPr>
                <w:rFonts w:hint="eastAsia"/>
                <w:kern w:val="0"/>
                <w:sz w:val="24"/>
                <w:lang w:eastAsia="zh-CN"/>
              </w:rPr>
              <w:t>喷射的高速钢砂冲击来清洁基材表面</w:t>
            </w:r>
            <w:r>
              <w:rPr>
                <w:rFonts w:hint="eastAsia"/>
                <w:kern w:val="0"/>
                <w:sz w:val="24"/>
              </w:rPr>
              <w:t>，来获得表面更加平整光滑的实验基材，以获得更好的实验效果。此过程产生喷砂废气G</w:t>
            </w:r>
            <w:r>
              <w:rPr>
                <w:rFonts w:hint="eastAsia"/>
                <w:kern w:val="0"/>
                <w:sz w:val="24"/>
                <w:lang w:val="en-US" w:eastAsia="zh-CN"/>
              </w:rPr>
              <w:t>3</w:t>
            </w:r>
            <w:r>
              <w:rPr>
                <w:rFonts w:hint="eastAsia"/>
                <w:kern w:val="0"/>
                <w:sz w:val="24"/>
              </w:rPr>
              <w:t>、废磨料S</w:t>
            </w:r>
            <w:r>
              <w:rPr>
                <w:rFonts w:hint="eastAsia"/>
                <w:kern w:val="0"/>
                <w:sz w:val="24"/>
                <w:lang w:val="en-US" w:eastAsia="zh-CN"/>
              </w:rPr>
              <w:t>2</w:t>
            </w:r>
            <w:r>
              <w:rPr>
                <w:rFonts w:hint="eastAsia"/>
                <w:kern w:val="0"/>
                <w:sz w:val="24"/>
              </w:rPr>
              <w:t>及喷砂机噪声N3。</w:t>
            </w:r>
          </w:p>
          <w:p w14:paraId="02FA114F">
            <w:pPr>
              <w:adjustRightInd w:val="0"/>
              <w:snapToGrid w:val="0"/>
              <w:spacing w:line="360" w:lineRule="auto"/>
              <w:ind w:firstLine="480" w:firstLineChars="200"/>
              <w:rPr>
                <w:kern w:val="0"/>
                <w:sz w:val="24"/>
              </w:rPr>
            </w:pPr>
            <w:r>
              <w:rPr>
                <w:rFonts w:hint="eastAsia"/>
                <w:kern w:val="0"/>
                <w:sz w:val="24"/>
              </w:rPr>
              <w:t>（6）喷涂：漆料通过喷枪均匀喷涂在基材上，实验喷涂厚度约为80</w:t>
            </w:r>
            <w:r>
              <w:rPr>
                <w:kern w:val="0"/>
                <w:sz w:val="24"/>
              </w:rPr>
              <w:t>μm</w:t>
            </w:r>
            <w:r>
              <w:rPr>
                <w:rFonts w:hint="eastAsia"/>
                <w:kern w:val="0"/>
                <w:sz w:val="24"/>
              </w:rPr>
              <w:t>，</w:t>
            </w:r>
            <w:r>
              <w:rPr>
                <w:rFonts w:hint="eastAsia"/>
                <w:kern w:val="0"/>
                <w:sz w:val="24"/>
                <w:lang w:eastAsia="zh-CN"/>
              </w:rPr>
              <w:t>实验漆料制备实验中已经复加混合溶剂调粘，喷涂时无需再次加入稀释剂稀释（成品大批量生产时出厂时已经调好粘度，使用时无需加入稀释剂稀释），</w:t>
            </w:r>
            <w:r>
              <w:rPr>
                <w:rFonts w:hint="eastAsia"/>
                <w:kern w:val="0"/>
                <w:sz w:val="24"/>
              </w:rPr>
              <w:t>整个喷涂实验</w:t>
            </w:r>
            <w:r>
              <w:rPr>
                <w:rFonts w:hint="eastAsia"/>
                <w:sz w:val="24"/>
              </w:rPr>
              <w:t>在封闭的涂装实验室内进行，</w:t>
            </w:r>
            <w:r>
              <w:rPr>
                <w:rFonts w:hint="eastAsia"/>
                <w:sz w:val="24"/>
                <w:lang w:eastAsia="zh-CN"/>
              </w:rPr>
              <w:t>喷涂时间约为</w:t>
            </w:r>
            <w:r>
              <w:rPr>
                <w:rFonts w:hint="eastAsia"/>
                <w:sz w:val="24"/>
                <w:lang w:val="en-US" w:eastAsia="zh-CN"/>
              </w:rPr>
              <w:t>0.5h/d，</w:t>
            </w:r>
            <w:r>
              <w:rPr>
                <w:rFonts w:hint="eastAsia"/>
                <w:sz w:val="24"/>
              </w:rPr>
              <w:t>喷漆后送入电烘箱进行烘干处理，</w:t>
            </w:r>
            <w:r>
              <w:rPr>
                <w:rFonts w:hint="eastAsia"/>
                <w:sz w:val="24"/>
                <w:lang w:eastAsia="zh-CN"/>
              </w:rPr>
              <w:t>烘干时间约为</w:t>
            </w:r>
            <w:r>
              <w:rPr>
                <w:rFonts w:hint="eastAsia"/>
                <w:sz w:val="24"/>
                <w:lang w:val="en-US" w:eastAsia="zh-CN"/>
              </w:rPr>
              <w:t>1.5h/d，</w:t>
            </w:r>
            <w:r>
              <w:rPr>
                <w:rFonts w:hint="eastAsia"/>
                <w:sz w:val="24"/>
              </w:rPr>
              <w:t>整个</w:t>
            </w:r>
            <w:r>
              <w:rPr>
                <w:rFonts w:hint="eastAsia"/>
                <w:sz w:val="24"/>
                <w:lang w:eastAsia="zh-CN"/>
              </w:rPr>
              <w:t>喷涂实验</w:t>
            </w:r>
            <w:r>
              <w:rPr>
                <w:rFonts w:hint="eastAsia"/>
                <w:sz w:val="24"/>
              </w:rPr>
              <w:t>过程产生</w:t>
            </w:r>
            <w:r>
              <w:rPr>
                <w:rFonts w:hint="eastAsia"/>
                <w:sz w:val="24"/>
                <w:lang w:eastAsia="zh-CN"/>
              </w:rPr>
              <w:t>喷涂</w:t>
            </w:r>
            <w:r>
              <w:rPr>
                <w:rFonts w:hint="eastAsia"/>
                <w:sz w:val="24"/>
              </w:rPr>
              <w:t>废气G</w:t>
            </w:r>
            <w:r>
              <w:rPr>
                <w:rFonts w:hint="eastAsia"/>
                <w:sz w:val="24"/>
                <w:lang w:val="en-US" w:eastAsia="zh-CN"/>
              </w:rPr>
              <w:t>4</w:t>
            </w:r>
            <w:r>
              <w:rPr>
                <w:rFonts w:hint="eastAsia"/>
                <w:sz w:val="24"/>
              </w:rPr>
              <w:t>、漆渣S</w:t>
            </w:r>
            <w:r>
              <w:rPr>
                <w:rFonts w:hint="eastAsia"/>
                <w:sz w:val="24"/>
                <w:lang w:val="en-US" w:eastAsia="zh-CN"/>
              </w:rPr>
              <w:t>3</w:t>
            </w:r>
            <w:r>
              <w:rPr>
                <w:rFonts w:hint="eastAsia"/>
                <w:sz w:val="24"/>
              </w:rPr>
              <w:t>及噪声N4</w:t>
            </w:r>
            <w:r>
              <w:rPr>
                <w:kern w:val="0"/>
                <w:sz w:val="24"/>
              </w:rPr>
              <w:t>。</w:t>
            </w:r>
          </w:p>
          <w:p w14:paraId="40C6734D">
            <w:pPr>
              <w:adjustRightInd w:val="0"/>
              <w:snapToGrid w:val="0"/>
              <w:spacing w:line="360" w:lineRule="auto"/>
              <w:ind w:firstLine="480" w:firstLineChars="200"/>
              <w:rPr>
                <w:rFonts w:hint="eastAsia"/>
                <w:kern w:val="0"/>
                <w:sz w:val="24"/>
                <w:lang w:eastAsia="zh-CN"/>
              </w:rPr>
            </w:pPr>
            <w:r>
              <w:rPr>
                <w:rFonts w:hint="eastAsia"/>
                <w:kern w:val="0"/>
                <w:sz w:val="24"/>
              </w:rPr>
              <w:t>（7）性能测试：</w:t>
            </w:r>
            <w:r>
              <w:rPr>
                <w:rFonts w:hint="eastAsia"/>
                <w:kern w:val="0"/>
                <w:sz w:val="24"/>
                <w:lang w:eastAsia="zh-CN"/>
              </w:rPr>
              <w:t>实验漆料经烘干后，已经固化在实验基材上，已无挥发性有机物产生。</w:t>
            </w:r>
            <w:r>
              <w:rPr>
                <w:rFonts w:hint="eastAsia"/>
                <w:kern w:val="0"/>
                <w:sz w:val="24"/>
                <w:highlight w:val="none"/>
              </w:rPr>
              <w:t>通过漆膜光泽仪</w:t>
            </w:r>
            <w:r>
              <w:rPr>
                <w:rFonts w:hint="eastAsia"/>
                <w:kern w:val="0"/>
                <w:sz w:val="24"/>
                <w:highlight w:val="none"/>
                <w:lang w:eastAsia="zh-CN"/>
              </w:rPr>
              <w:t>、</w:t>
            </w:r>
            <w:r>
              <w:rPr>
                <w:rFonts w:hint="eastAsia"/>
                <w:kern w:val="0"/>
                <w:sz w:val="24"/>
                <w:highlight w:val="none"/>
              </w:rPr>
              <w:t>漆膜附着器</w:t>
            </w:r>
            <w:r>
              <w:rPr>
                <w:rFonts w:hint="eastAsia"/>
                <w:kern w:val="0"/>
                <w:sz w:val="24"/>
                <w:highlight w:val="none"/>
                <w:lang w:eastAsia="zh-CN"/>
              </w:rPr>
              <w:t>以及</w:t>
            </w:r>
            <w:r>
              <w:rPr>
                <w:rFonts w:hint="eastAsia"/>
                <w:kern w:val="0"/>
                <w:sz w:val="24"/>
                <w:highlight w:val="none"/>
              </w:rPr>
              <w:t>漆膜冲击器</w:t>
            </w:r>
            <w:r>
              <w:rPr>
                <w:rFonts w:hint="eastAsia"/>
                <w:kern w:val="0"/>
                <w:sz w:val="24"/>
                <w:highlight w:val="none"/>
                <w:lang w:eastAsia="zh-CN"/>
              </w:rPr>
              <w:t>等设备</w:t>
            </w:r>
            <w:r>
              <w:rPr>
                <w:rFonts w:hint="eastAsia"/>
                <w:kern w:val="0"/>
                <w:sz w:val="24"/>
                <w:highlight w:val="none"/>
              </w:rPr>
              <w:t>对漆膜的光泽、附着力、冲击</w:t>
            </w:r>
            <w:r>
              <w:rPr>
                <w:rFonts w:hint="eastAsia"/>
                <w:kern w:val="0"/>
                <w:sz w:val="24"/>
                <w:highlight w:val="none"/>
                <w:lang w:eastAsia="zh-CN"/>
              </w:rPr>
              <w:t>力</w:t>
            </w:r>
            <w:r>
              <w:rPr>
                <w:rFonts w:hint="eastAsia"/>
                <w:kern w:val="0"/>
                <w:sz w:val="24"/>
                <w:highlight w:val="none"/>
              </w:rPr>
              <w:t>等</w:t>
            </w:r>
            <w:r>
              <w:rPr>
                <w:rFonts w:hint="eastAsia"/>
                <w:kern w:val="0"/>
                <w:sz w:val="24"/>
                <w:highlight w:val="none"/>
                <w:lang w:eastAsia="zh-CN"/>
              </w:rPr>
              <w:t>一系列性能进行</w:t>
            </w:r>
            <w:r>
              <w:rPr>
                <w:rFonts w:hint="eastAsia"/>
                <w:kern w:val="0"/>
                <w:sz w:val="24"/>
                <w:highlight w:val="none"/>
              </w:rPr>
              <w:t>实验，</w:t>
            </w:r>
            <w:r>
              <w:rPr>
                <w:rFonts w:hint="eastAsia"/>
                <w:kern w:val="0"/>
                <w:sz w:val="24"/>
              </w:rPr>
              <w:t>如效果达到实验预期，则结合实验过程优化参数，实验性能优异的实验品外送展览，如未达到实验预期或实验效果不佳，则重新优化配比方案，再次进行实验</w:t>
            </w:r>
            <w:r>
              <w:rPr>
                <w:kern w:val="0"/>
                <w:sz w:val="24"/>
              </w:rPr>
              <w:t>。</w:t>
            </w:r>
            <w:r>
              <w:rPr>
                <w:rFonts w:hint="eastAsia"/>
                <w:kern w:val="0"/>
                <w:sz w:val="24"/>
              </w:rPr>
              <w:t>此过程产生不合格实验产品S</w:t>
            </w:r>
            <w:r>
              <w:rPr>
                <w:rFonts w:hint="eastAsia"/>
                <w:kern w:val="0"/>
                <w:sz w:val="24"/>
                <w:lang w:val="en-US" w:eastAsia="zh-CN"/>
              </w:rPr>
              <w:t>4</w:t>
            </w:r>
            <w:r>
              <w:rPr>
                <w:rFonts w:hint="eastAsia"/>
                <w:kern w:val="0"/>
                <w:sz w:val="24"/>
                <w:lang w:eastAsia="zh-CN"/>
              </w:rPr>
              <w:t>。</w:t>
            </w:r>
          </w:p>
          <w:p w14:paraId="73F05190">
            <w:pPr>
              <w:adjustRightInd w:val="0"/>
              <w:snapToGrid w:val="0"/>
              <w:spacing w:line="360" w:lineRule="auto"/>
              <w:ind w:firstLine="480" w:firstLineChars="200"/>
              <w:rPr>
                <w:rFonts w:hint="eastAsia" w:eastAsia="宋体"/>
                <w:i/>
                <w:iCs/>
                <w:kern w:val="0"/>
                <w:sz w:val="24"/>
                <w:u w:val="single"/>
                <w:lang w:eastAsia="zh-CN"/>
              </w:rPr>
            </w:pPr>
            <w:r>
              <w:rPr>
                <w:rFonts w:hint="eastAsia"/>
                <w:i/>
                <w:iCs/>
                <w:kern w:val="0"/>
                <w:sz w:val="24"/>
                <w:u w:val="single"/>
                <w:lang w:eastAsia="zh-CN"/>
              </w:rPr>
              <w:t>实验结束后对实验器材进行清洗，主要包括，</w:t>
            </w:r>
            <w:r>
              <w:rPr>
                <w:rFonts w:hint="eastAsia"/>
                <w:i/>
                <w:iCs/>
                <w:sz w:val="24"/>
                <w:highlight w:val="none"/>
                <w:u w:val="single"/>
                <w:lang w:eastAsia="zh-CN"/>
              </w:rPr>
              <w:t>主要包括</w:t>
            </w:r>
            <w:r>
              <w:rPr>
                <w:rFonts w:hint="eastAsia"/>
                <w:i/>
                <w:iCs/>
                <w:sz w:val="24"/>
                <w:highlight w:val="none"/>
                <w:u w:val="single"/>
              </w:rPr>
              <w:t>实验</w:t>
            </w:r>
            <w:r>
              <w:rPr>
                <w:rFonts w:hint="eastAsia"/>
                <w:i/>
                <w:iCs/>
                <w:sz w:val="24"/>
                <w:highlight w:val="none"/>
                <w:u w:val="single"/>
                <w:lang w:eastAsia="zh-CN"/>
              </w:rPr>
              <w:t>用搅拌罐、实验喷枪、研磨机等其他性能测试实验</w:t>
            </w:r>
            <w:r>
              <w:rPr>
                <w:rFonts w:hint="eastAsia"/>
                <w:i/>
                <w:iCs/>
                <w:sz w:val="24"/>
                <w:highlight w:val="none"/>
                <w:u w:val="single"/>
              </w:rPr>
              <w:t>设备</w:t>
            </w:r>
            <w:r>
              <w:rPr>
                <w:rFonts w:hint="eastAsia"/>
                <w:i/>
                <w:iCs/>
                <w:sz w:val="24"/>
                <w:highlight w:val="none"/>
                <w:u w:val="single"/>
                <w:lang w:eastAsia="zh-CN"/>
              </w:rPr>
              <w:t>，此过程产生清洗废水。</w:t>
            </w:r>
          </w:p>
          <w:p w14:paraId="40C0FC9A">
            <w:pPr>
              <w:spacing w:line="360" w:lineRule="auto"/>
              <w:ind w:firstLine="482" w:firstLineChars="200"/>
              <w:rPr>
                <w:b/>
                <w:sz w:val="24"/>
              </w:rPr>
            </w:pPr>
            <w:r>
              <w:rPr>
                <w:rFonts w:hint="eastAsia"/>
                <w:b/>
                <w:sz w:val="24"/>
              </w:rPr>
              <w:t>3、</w:t>
            </w:r>
            <w:r>
              <w:rPr>
                <w:b/>
                <w:sz w:val="24"/>
              </w:rPr>
              <w:t>产排污环节分析</w:t>
            </w:r>
          </w:p>
          <w:p w14:paraId="23F3D168">
            <w:pPr>
              <w:spacing w:line="360" w:lineRule="auto"/>
              <w:ind w:firstLine="482" w:firstLineChars="200"/>
              <w:rPr>
                <w:b/>
                <w:sz w:val="24"/>
              </w:rPr>
            </w:pPr>
            <w:r>
              <w:rPr>
                <w:rFonts w:hint="eastAsia"/>
                <w:b/>
                <w:sz w:val="24"/>
              </w:rPr>
              <w:t>3</w:t>
            </w:r>
            <w:r>
              <w:rPr>
                <w:b/>
                <w:sz w:val="24"/>
              </w:rPr>
              <w:t>.1施工期：</w:t>
            </w:r>
          </w:p>
          <w:p w14:paraId="3603CA83">
            <w:pPr>
              <w:adjustRightInd w:val="0"/>
              <w:snapToGrid w:val="0"/>
              <w:spacing w:line="360" w:lineRule="auto"/>
              <w:ind w:firstLine="480" w:firstLineChars="200"/>
              <w:rPr>
                <w:bCs/>
                <w:color w:val="000000"/>
                <w:sz w:val="24"/>
              </w:rPr>
            </w:pPr>
            <w:r>
              <w:rPr>
                <w:sz w:val="24"/>
              </w:rPr>
              <w:t>本项目</w:t>
            </w:r>
            <w:r>
              <w:rPr>
                <w:rFonts w:hint="eastAsia"/>
                <w:sz w:val="24"/>
              </w:rPr>
              <w:t>租用现有厂房，施工期不涉及土建施工，</w:t>
            </w:r>
            <w:r>
              <w:rPr>
                <w:bCs/>
                <w:color w:val="000000"/>
                <w:sz w:val="24"/>
              </w:rPr>
              <w:t>主要污染物是</w:t>
            </w:r>
            <w:r>
              <w:rPr>
                <w:rFonts w:hint="eastAsia"/>
                <w:bCs/>
                <w:color w:val="000000"/>
                <w:sz w:val="24"/>
              </w:rPr>
              <w:t>设备安装时</w:t>
            </w:r>
            <w:r>
              <w:rPr>
                <w:bCs/>
                <w:color w:val="000000"/>
                <w:sz w:val="24"/>
              </w:rPr>
              <w:t>产生的噪声、</w:t>
            </w:r>
            <w:r>
              <w:rPr>
                <w:rFonts w:hint="eastAsia"/>
                <w:bCs/>
                <w:color w:val="000000"/>
                <w:sz w:val="24"/>
              </w:rPr>
              <w:t>粉尘及室内装修</w:t>
            </w:r>
            <w:r>
              <w:rPr>
                <w:bCs/>
                <w:color w:val="000000"/>
                <w:sz w:val="24"/>
              </w:rPr>
              <w:t>有少量的有机废气挥发。</w:t>
            </w:r>
          </w:p>
          <w:p w14:paraId="66E5D781">
            <w:pPr>
              <w:pStyle w:val="11"/>
              <w:spacing w:line="360" w:lineRule="auto"/>
              <w:ind w:firstLine="482" w:firstLineChars="200"/>
              <w:rPr>
                <w:rFonts w:ascii="仿宋_GB2312" w:hAnsi="仿宋_GB2312"/>
                <w:sz w:val="24"/>
              </w:rPr>
            </w:pPr>
            <w:r>
              <w:rPr>
                <w:rFonts w:hint="eastAsia" w:ascii="Times New Roman" w:hAnsi="Times New Roman"/>
                <w:b/>
                <w:bCs/>
                <w:sz w:val="24"/>
              </w:rPr>
              <w:t>3</w:t>
            </w:r>
            <w:r>
              <w:rPr>
                <w:rFonts w:ascii="Times New Roman" w:hAnsi="Times New Roman"/>
                <w:b/>
                <w:bCs/>
                <w:sz w:val="24"/>
              </w:rPr>
              <w:t>.2运营期</w:t>
            </w:r>
          </w:p>
          <w:p w14:paraId="1E3EF60D">
            <w:pPr>
              <w:pStyle w:val="9"/>
              <w:spacing w:before="0" w:after="0" w:line="360" w:lineRule="auto"/>
              <w:ind w:right="0" w:firstLine="480" w:firstLineChars="200"/>
              <w:rPr>
                <w:rFonts w:hint="eastAsia"/>
                <w:sz w:val="24"/>
                <w:szCs w:val="24"/>
              </w:rPr>
            </w:pPr>
            <w:r>
              <w:rPr>
                <w:rFonts w:hint="eastAsia"/>
                <w:sz w:val="24"/>
                <w:szCs w:val="24"/>
              </w:rPr>
              <w:t>本项目产排污情况详见下表所示。</w:t>
            </w:r>
          </w:p>
          <w:p w14:paraId="1526BC30">
            <w:pPr>
              <w:pStyle w:val="9"/>
              <w:spacing w:before="0" w:after="0" w:line="240" w:lineRule="auto"/>
              <w:ind w:right="0"/>
              <w:jc w:val="center"/>
              <w:rPr>
                <w:i/>
                <w:iCs/>
                <w:u w:val="single"/>
                <w:lang w:val="zh-CN"/>
              </w:rPr>
            </w:pPr>
            <w:r>
              <w:rPr>
                <w:rFonts w:hint="eastAsia" w:ascii="宋体" w:hAnsi="宋体" w:cs="宋体"/>
                <w:b/>
                <w:bCs/>
                <w:i/>
                <w:iCs/>
                <w:sz w:val="24"/>
                <w:szCs w:val="24"/>
                <w:u w:val="single"/>
                <w:lang w:val="zh-CN"/>
              </w:rPr>
              <w:t>表</w:t>
            </w:r>
            <w:r>
              <w:rPr>
                <w:b/>
                <w:bCs/>
                <w:i/>
                <w:iCs/>
                <w:sz w:val="24"/>
                <w:szCs w:val="24"/>
                <w:u w:val="single"/>
              </w:rPr>
              <w:t>2-</w:t>
            </w:r>
            <w:r>
              <w:rPr>
                <w:rFonts w:hint="eastAsia"/>
                <w:b/>
                <w:bCs/>
                <w:i/>
                <w:iCs/>
                <w:sz w:val="24"/>
                <w:szCs w:val="24"/>
                <w:u w:val="single"/>
                <w:lang w:val="en-US" w:eastAsia="zh-CN"/>
              </w:rPr>
              <w:t>7</w:t>
            </w:r>
            <w:r>
              <w:rPr>
                <w:rFonts w:hint="eastAsia" w:ascii="宋体" w:hAnsi="宋体" w:cs="宋体"/>
                <w:b/>
                <w:bCs/>
                <w:i/>
                <w:iCs/>
                <w:sz w:val="24"/>
                <w:szCs w:val="24"/>
                <w:u w:val="single"/>
              </w:rPr>
              <w:t xml:space="preserve">  本项目</w:t>
            </w:r>
            <w:r>
              <w:rPr>
                <w:rFonts w:hint="eastAsia" w:ascii="宋体" w:hAnsi="宋体" w:cs="宋体"/>
                <w:b/>
                <w:bCs/>
                <w:i/>
                <w:iCs/>
                <w:sz w:val="24"/>
                <w:szCs w:val="24"/>
                <w:u w:val="single"/>
                <w:lang w:val="zh-CN"/>
              </w:rPr>
              <w:t>运营期产污环节一览表</w:t>
            </w:r>
          </w:p>
          <w:tbl>
            <w:tblPr>
              <w:tblStyle w:val="27"/>
              <w:tblW w:w="4940" w:type="pct"/>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autofit"/>
              <w:tblCellMar>
                <w:top w:w="0" w:type="dxa"/>
                <w:left w:w="108" w:type="dxa"/>
                <w:bottom w:w="0" w:type="dxa"/>
                <w:right w:w="108" w:type="dxa"/>
              </w:tblCellMar>
            </w:tblPr>
            <w:tblGrid>
              <w:gridCol w:w="1478"/>
              <w:gridCol w:w="1296"/>
              <w:gridCol w:w="1839"/>
              <w:gridCol w:w="3114"/>
              <w:gridCol w:w="1295"/>
            </w:tblGrid>
            <w:tr w14:paraId="7BD9009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819" w:type="pct"/>
                  <w:tcBorders>
                    <w:top w:val="single" w:color="auto" w:sz="12" w:space="0"/>
                    <w:left w:val="nil"/>
                  </w:tcBorders>
                  <w:noWrap w:val="0"/>
                  <w:vAlign w:val="center"/>
                </w:tcPr>
                <w:p w14:paraId="43ED2819">
                  <w:pPr>
                    <w:adjustRightInd w:val="0"/>
                    <w:jc w:val="center"/>
                    <w:rPr>
                      <w:b/>
                      <w:i/>
                      <w:iCs/>
                      <w:color w:val="000000"/>
                      <w:szCs w:val="21"/>
                      <w:u w:val="single"/>
                    </w:rPr>
                  </w:pPr>
                  <w:r>
                    <w:rPr>
                      <w:b/>
                      <w:i/>
                      <w:iCs/>
                      <w:color w:val="000000"/>
                      <w:szCs w:val="21"/>
                      <w:u w:val="single"/>
                    </w:rPr>
                    <w:t>污染类别</w:t>
                  </w:r>
                </w:p>
              </w:tc>
              <w:tc>
                <w:tcPr>
                  <w:tcW w:w="718" w:type="pct"/>
                  <w:tcBorders>
                    <w:top w:val="single" w:color="auto" w:sz="12" w:space="0"/>
                  </w:tcBorders>
                  <w:noWrap w:val="0"/>
                  <w:vAlign w:val="center"/>
                </w:tcPr>
                <w:p w14:paraId="42938D52">
                  <w:pPr>
                    <w:adjustRightInd w:val="0"/>
                    <w:jc w:val="center"/>
                    <w:rPr>
                      <w:b/>
                      <w:i/>
                      <w:iCs/>
                      <w:color w:val="000000"/>
                      <w:szCs w:val="21"/>
                      <w:u w:val="single"/>
                    </w:rPr>
                  </w:pPr>
                  <w:r>
                    <w:rPr>
                      <w:b/>
                      <w:i/>
                      <w:iCs/>
                      <w:color w:val="000000"/>
                      <w:szCs w:val="21"/>
                      <w:u w:val="single"/>
                    </w:rPr>
                    <w:t>污染源编号</w:t>
                  </w:r>
                </w:p>
              </w:tc>
              <w:tc>
                <w:tcPr>
                  <w:tcW w:w="1019" w:type="pct"/>
                  <w:tcBorders>
                    <w:top w:val="single" w:color="auto" w:sz="12" w:space="0"/>
                  </w:tcBorders>
                  <w:noWrap w:val="0"/>
                  <w:vAlign w:val="center"/>
                </w:tcPr>
                <w:p w14:paraId="4C677248">
                  <w:pPr>
                    <w:adjustRightInd w:val="0"/>
                    <w:jc w:val="center"/>
                    <w:rPr>
                      <w:b/>
                      <w:i/>
                      <w:iCs/>
                      <w:color w:val="000000"/>
                      <w:szCs w:val="21"/>
                      <w:u w:val="single"/>
                    </w:rPr>
                  </w:pPr>
                  <w:r>
                    <w:rPr>
                      <w:b/>
                      <w:i/>
                      <w:iCs/>
                      <w:color w:val="000000"/>
                      <w:szCs w:val="21"/>
                      <w:u w:val="single"/>
                    </w:rPr>
                    <w:t>产生工序</w:t>
                  </w:r>
                </w:p>
              </w:tc>
              <w:tc>
                <w:tcPr>
                  <w:tcW w:w="1725" w:type="pct"/>
                  <w:tcBorders>
                    <w:top w:val="single" w:color="auto" w:sz="12" w:space="0"/>
                    <w:right w:val="single" w:color="auto" w:sz="4" w:space="0"/>
                  </w:tcBorders>
                  <w:noWrap w:val="0"/>
                  <w:vAlign w:val="center"/>
                </w:tcPr>
                <w:p w14:paraId="180C05AB">
                  <w:pPr>
                    <w:adjustRightInd w:val="0"/>
                    <w:jc w:val="center"/>
                    <w:rPr>
                      <w:b/>
                      <w:i/>
                      <w:iCs/>
                      <w:color w:val="000000"/>
                      <w:szCs w:val="21"/>
                      <w:u w:val="single"/>
                    </w:rPr>
                  </w:pPr>
                  <w:r>
                    <w:rPr>
                      <w:b/>
                      <w:i/>
                      <w:iCs/>
                      <w:color w:val="000000"/>
                      <w:szCs w:val="21"/>
                      <w:u w:val="single"/>
                    </w:rPr>
                    <w:t>主要污染因子</w:t>
                  </w:r>
                </w:p>
              </w:tc>
              <w:tc>
                <w:tcPr>
                  <w:tcW w:w="717" w:type="pct"/>
                  <w:tcBorders>
                    <w:top w:val="single" w:color="auto" w:sz="12" w:space="0"/>
                    <w:left w:val="single" w:color="auto" w:sz="4" w:space="0"/>
                    <w:right w:val="nil"/>
                  </w:tcBorders>
                  <w:noWrap w:val="0"/>
                  <w:vAlign w:val="center"/>
                </w:tcPr>
                <w:p w14:paraId="7BB182A5">
                  <w:pPr>
                    <w:adjustRightInd w:val="0"/>
                    <w:jc w:val="center"/>
                    <w:rPr>
                      <w:b/>
                      <w:i/>
                      <w:iCs/>
                      <w:color w:val="000000"/>
                      <w:szCs w:val="21"/>
                      <w:u w:val="single"/>
                    </w:rPr>
                  </w:pPr>
                  <w:r>
                    <w:rPr>
                      <w:b/>
                      <w:i/>
                      <w:iCs/>
                      <w:color w:val="000000"/>
                      <w:szCs w:val="21"/>
                      <w:u w:val="single"/>
                    </w:rPr>
                    <w:t>排放方式</w:t>
                  </w:r>
                </w:p>
              </w:tc>
            </w:tr>
            <w:tr w14:paraId="663C9B1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819" w:type="pct"/>
                  <w:vMerge w:val="restart"/>
                  <w:tcBorders>
                    <w:left w:val="nil"/>
                  </w:tcBorders>
                  <w:noWrap w:val="0"/>
                  <w:vAlign w:val="center"/>
                </w:tcPr>
                <w:p w14:paraId="705828AC">
                  <w:pPr>
                    <w:adjustRightInd w:val="0"/>
                    <w:jc w:val="center"/>
                    <w:rPr>
                      <w:rFonts w:cs="宋体"/>
                      <w:i/>
                      <w:iCs/>
                      <w:color w:val="000000"/>
                      <w:szCs w:val="21"/>
                      <w:u w:val="single"/>
                    </w:rPr>
                  </w:pPr>
                  <w:r>
                    <w:rPr>
                      <w:rFonts w:cs="宋体"/>
                      <w:i/>
                      <w:iCs/>
                      <w:color w:val="000000"/>
                      <w:szCs w:val="21"/>
                      <w:highlight w:val="none"/>
                      <w:u w:val="single"/>
                    </w:rPr>
                    <w:t>废气</w:t>
                  </w:r>
                </w:p>
              </w:tc>
              <w:tc>
                <w:tcPr>
                  <w:tcW w:w="718" w:type="pct"/>
                  <w:noWrap w:val="0"/>
                  <w:vAlign w:val="center"/>
                </w:tcPr>
                <w:p w14:paraId="4396DCFE">
                  <w:pPr>
                    <w:adjustRightInd w:val="0"/>
                    <w:jc w:val="center"/>
                    <w:rPr>
                      <w:rFonts w:hint="eastAsia" w:cs="宋体"/>
                      <w:i/>
                      <w:iCs/>
                      <w:color w:val="000000"/>
                      <w:szCs w:val="21"/>
                      <w:u w:val="single"/>
                    </w:rPr>
                  </w:pPr>
                  <w:r>
                    <w:rPr>
                      <w:rFonts w:hint="eastAsia" w:cs="宋体"/>
                      <w:i/>
                      <w:iCs/>
                      <w:color w:val="000000"/>
                      <w:szCs w:val="21"/>
                      <w:u w:val="single"/>
                    </w:rPr>
                    <w:t>G1</w:t>
                  </w:r>
                </w:p>
              </w:tc>
              <w:tc>
                <w:tcPr>
                  <w:tcW w:w="1019" w:type="pct"/>
                  <w:noWrap w:val="0"/>
                  <w:vAlign w:val="center"/>
                </w:tcPr>
                <w:p w14:paraId="64C91A4C">
                  <w:pPr>
                    <w:adjustRightInd w:val="0"/>
                    <w:jc w:val="center"/>
                    <w:rPr>
                      <w:rFonts w:hint="eastAsia" w:eastAsia="宋体" w:cs="宋体"/>
                      <w:i/>
                      <w:iCs/>
                      <w:color w:val="000000"/>
                      <w:szCs w:val="21"/>
                      <w:u w:val="single"/>
                      <w:lang w:eastAsia="zh-CN"/>
                    </w:rPr>
                  </w:pPr>
                  <w:r>
                    <w:rPr>
                      <w:rFonts w:hint="eastAsia" w:cs="宋体"/>
                      <w:i/>
                      <w:iCs/>
                      <w:color w:val="000000"/>
                      <w:szCs w:val="21"/>
                      <w:u w:val="single"/>
                      <w:lang w:eastAsia="zh-CN"/>
                    </w:rPr>
                    <w:t>投料有机废气</w:t>
                  </w:r>
                </w:p>
              </w:tc>
              <w:tc>
                <w:tcPr>
                  <w:tcW w:w="1725" w:type="pct"/>
                  <w:tcBorders>
                    <w:right w:val="single" w:color="auto" w:sz="4" w:space="0"/>
                  </w:tcBorders>
                  <w:noWrap w:val="0"/>
                  <w:vAlign w:val="center"/>
                </w:tcPr>
                <w:p w14:paraId="2062B826">
                  <w:pPr>
                    <w:adjustRightInd w:val="0"/>
                    <w:jc w:val="center"/>
                    <w:rPr>
                      <w:rFonts w:cs="宋体"/>
                      <w:i/>
                      <w:iCs/>
                      <w:color w:val="000000"/>
                      <w:szCs w:val="21"/>
                      <w:u w:val="single"/>
                    </w:rPr>
                  </w:pPr>
                  <w:r>
                    <w:rPr>
                      <w:rFonts w:hint="eastAsia" w:cs="宋体"/>
                      <w:i/>
                      <w:iCs/>
                      <w:color w:val="000000"/>
                      <w:szCs w:val="21"/>
                      <w:u w:val="single"/>
                    </w:rPr>
                    <w:t>NHMC、甲苯</w:t>
                  </w:r>
                </w:p>
              </w:tc>
              <w:tc>
                <w:tcPr>
                  <w:tcW w:w="717" w:type="pct"/>
                  <w:tcBorders>
                    <w:left w:val="single" w:color="auto" w:sz="4" w:space="0"/>
                    <w:right w:val="nil"/>
                  </w:tcBorders>
                  <w:noWrap w:val="0"/>
                  <w:vAlign w:val="center"/>
                </w:tcPr>
                <w:p w14:paraId="7EC53F62">
                  <w:pPr>
                    <w:adjustRightInd w:val="0"/>
                    <w:jc w:val="center"/>
                    <w:rPr>
                      <w:rFonts w:hint="eastAsia" w:cs="宋体"/>
                      <w:i/>
                      <w:iCs/>
                      <w:color w:val="000000"/>
                      <w:szCs w:val="21"/>
                      <w:u w:val="single"/>
                    </w:rPr>
                  </w:pPr>
                  <w:r>
                    <w:rPr>
                      <w:rFonts w:hint="eastAsia" w:cs="宋体"/>
                      <w:i/>
                      <w:iCs/>
                      <w:color w:val="000000"/>
                      <w:szCs w:val="21"/>
                      <w:u w:val="single"/>
                    </w:rPr>
                    <w:t>间歇</w:t>
                  </w:r>
                </w:p>
              </w:tc>
            </w:tr>
            <w:tr w14:paraId="7C5EFE40">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819" w:type="pct"/>
                  <w:vMerge w:val="continue"/>
                  <w:tcBorders>
                    <w:left w:val="nil"/>
                  </w:tcBorders>
                  <w:noWrap w:val="0"/>
                  <w:vAlign w:val="center"/>
                </w:tcPr>
                <w:p w14:paraId="5812D396">
                  <w:pPr>
                    <w:adjustRightInd w:val="0"/>
                    <w:jc w:val="center"/>
                    <w:rPr>
                      <w:rFonts w:cs="宋体"/>
                      <w:i/>
                      <w:iCs/>
                      <w:color w:val="000000"/>
                      <w:szCs w:val="21"/>
                      <w:u w:val="single"/>
                    </w:rPr>
                  </w:pPr>
                </w:p>
              </w:tc>
              <w:tc>
                <w:tcPr>
                  <w:tcW w:w="718" w:type="pct"/>
                  <w:noWrap w:val="0"/>
                  <w:vAlign w:val="center"/>
                </w:tcPr>
                <w:p w14:paraId="63DFCC4F">
                  <w:pPr>
                    <w:adjustRightInd w:val="0"/>
                    <w:jc w:val="center"/>
                    <w:rPr>
                      <w:rFonts w:hint="eastAsia" w:cs="宋体"/>
                      <w:i/>
                      <w:iCs/>
                      <w:color w:val="000000"/>
                      <w:szCs w:val="21"/>
                      <w:u w:val="single"/>
                    </w:rPr>
                  </w:pPr>
                  <w:r>
                    <w:rPr>
                      <w:rFonts w:hint="eastAsia" w:cs="宋体"/>
                      <w:i/>
                      <w:iCs/>
                      <w:color w:val="000000"/>
                      <w:szCs w:val="21"/>
                      <w:u w:val="single"/>
                    </w:rPr>
                    <w:t>G2</w:t>
                  </w:r>
                </w:p>
              </w:tc>
              <w:tc>
                <w:tcPr>
                  <w:tcW w:w="1019" w:type="pct"/>
                  <w:noWrap w:val="0"/>
                  <w:vAlign w:val="center"/>
                </w:tcPr>
                <w:p w14:paraId="1405BFC7">
                  <w:pPr>
                    <w:adjustRightInd w:val="0"/>
                    <w:jc w:val="center"/>
                    <w:rPr>
                      <w:rFonts w:hint="eastAsia" w:eastAsia="宋体" w:cs="宋体"/>
                      <w:i/>
                      <w:iCs/>
                      <w:color w:val="000000"/>
                      <w:szCs w:val="21"/>
                      <w:u w:val="single"/>
                      <w:lang w:eastAsia="zh-CN"/>
                    </w:rPr>
                  </w:pPr>
                  <w:r>
                    <w:rPr>
                      <w:rFonts w:hint="eastAsia" w:cs="宋体"/>
                      <w:i/>
                      <w:iCs/>
                      <w:color w:val="000000"/>
                      <w:szCs w:val="21"/>
                      <w:u w:val="single"/>
                      <w:lang w:eastAsia="zh-CN"/>
                    </w:rPr>
                    <w:t>出料有机废气</w:t>
                  </w:r>
                </w:p>
              </w:tc>
              <w:tc>
                <w:tcPr>
                  <w:tcW w:w="1725" w:type="pct"/>
                  <w:tcBorders>
                    <w:right w:val="single" w:color="auto" w:sz="4" w:space="0"/>
                  </w:tcBorders>
                  <w:noWrap w:val="0"/>
                  <w:vAlign w:val="center"/>
                </w:tcPr>
                <w:p w14:paraId="338CF6F2">
                  <w:pPr>
                    <w:adjustRightInd w:val="0"/>
                    <w:jc w:val="center"/>
                    <w:rPr>
                      <w:rFonts w:cs="宋体"/>
                      <w:i/>
                      <w:iCs/>
                      <w:color w:val="000000"/>
                      <w:szCs w:val="21"/>
                      <w:u w:val="single"/>
                    </w:rPr>
                  </w:pPr>
                  <w:r>
                    <w:rPr>
                      <w:rFonts w:hint="eastAsia" w:cs="宋体"/>
                      <w:i/>
                      <w:iCs/>
                      <w:color w:val="000000"/>
                      <w:szCs w:val="21"/>
                      <w:u w:val="single"/>
                    </w:rPr>
                    <w:t>NHMC、甲苯</w:t>
                  </w:r>
                </w:p>
              </w:tc>
              <w:tc>
                <w:tcPr>
                  <w:tcW w:w="717" w:type="pct"/>
                  <w:tcBorders>
                    <w:left w:val="single" w:color="auto" w:sz="4" w:space="0"/>
                    <w:right w:val="nil"/>
                  </w:tcBorders>
                  <w:noWrap w:val="0"/>
                  <w:vAlign w:val="center"/>
                </w:tcPr>
                <w:p w14:paraId="72E94A75">
                  <w:pPr>
                    <w:adjustRightInd w:val="0"/>
                    <w:jc w:val="center"/>
                    <w:rPr>
                      <w:rFonts w:hint="eastAsia" w:cs="宋体"/>
                      <w:i/>
                      <w:iCs/>
                      <w:color w:val="000000"/>
                      <w:szCs w:val="21"/>
                      <w:u w:val="single"/>
                    </w:rPr>
                  </w:pPr>
                  <w:r>
                    <w:rPr>
                      <w:rFonts w:hint="eastAsia" w:cs="宋体"/>
                      <w:i/>
                      <w:iCs/>
                      <w:color w:val="000000"/>
                      <w:szCs w:val="21"/>
                      <w:u w:val="single"/>
                    </w:rPr>
                    <w:t>间歇</w:t>
                  </w:r>
                </w:p>
              </w:tc>
            </w:tr>
            <w:tr w14:paraId="4DA5275B">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819" w:type="pct"/>
                  <w:vMerge w:val="continue"/>
                  <w:tcBorders>
                    <w:left w:val="nil"/>
                  </w:tcBorders>
                  <w:noWrap w:val="0"/>
                  <w:vAlign w:val="center"/>
                </w:tcPr>
                <w:p w14:paraId="4B3A2FE0">
                  <w:pPr>
                    <w:adjustRightInd w:val="0"/>
                    <w:jc w:val="center"/>
                    <w:rPr>
                      <w:rFonts w:cs="宋体"/>
                      <w:i/>
                      <w:iCs/>
                      <w:color w:val="000000"/>
                      <w:szCs w:val="21"/>
                      <w:u w:val="single"/>
                    </w:rPr>
                  </w:pPr>
                </w:p>
              </w:tc>
              <w:tc>
                <w:tcPr>
                  <w:tcW w:w="718" w:type="pct"/>
                  <w:noWrap w:val="0"/>
                  <w:vAlign w:val="center"/>
                </w:tcPr>
                <w:p w14:paraId="1805DEAF">
                  <w:pPr>
                    <w:adjustRightInd w:val="0"/>
                    <w:jc w:val="center"/>
                    <w:rPr>
                      <w:rFonts w:hint="default" w:eastAsia="宋体" w:cs="宋体"/>
                      <w:i/>
                      <w:iCs/>
                      <w:color w:val="000000"/>
                      <w:szCs w:val="21"/>
                      <w:u w:val="single"/>
                      <w:lang w:val="en-US" w:eastAsia="zh-CN"/>
                    </w:rPr>
                  </w:pPr>
                  <w:r>
                    <w:rPr>
                      <w:rFonts w:hint="eastAsia" w:cs="宋体"/>
                      <w:i/>
                      <w:iCs/>
                      <w:color w:val="000000"/>
                      <w:szCs w:val="21"/>
                      <w:u w:val="single"/>
                      <w:lang w:val="en-US" w:eastAsia="zh-CN"/>
                    </w:rPr>
                    <w:t>G3</w:t>
                  </w:r>
                </w:p>
              </w:tc>
              <w:tc>
                <w:tcPr>
                  <w:tcW w:w="1019" w:type="pct"/>
                  <w:noWrap w:val="0"/>
                  <w:vAlign w:val="center"/>
                </w:tcPr>
                <w:p w14:paraId="3025FF02">
                  <w:pPr>
                    <w:adjustRightInd w:val="0"/>
                    <w:jc w:val="center"/>
                    <w:rPr>
                      <w:rFonts w:hint="eastAsia" w:cs="宋体"/>
                      <w:i/>
                      <w:iCs/>
                      <w:color w:val="000000"/>
                      <w:kern w:val="2"/>
                      <w:sz w:val="21"/>
                      <w:szCs w:val="21"/>
                      <w:u w:val="single"/>
                      <w:lang w:val="en-US" w:eastAsia="zh-CN" w:bidi="ar-SA"/>
                    </w:rPr>
                  </w:pPr>
                  <w:r>
                    <w:rPr>
                      <w:rFonts w:hint="eastAsia" w:cs="宋体"/>
                      <w:i/>
                      <w:iCs/>
                      <w:color w:val="000000"/>
                      <w:szCs w:val="21"/>
                      <w:u w:val="single"/>
                    </w:rPr>
                    <w:t>喷砂</w:t>
                  </w:r>
                </w:p>
              </w:tc>
              <w:tc>
                <w:tcPr>
                  <w:tcW w:w="1725" w:type="pct"/>
                  <w:tcBorders>
                    <w:right w:val="single" w:color="auto" w:sz="4" w:space="0"/>
                  </w:tcBorders>
                  <w:noWrap w:val="0"/>
                  <w:vAlign w:val="center"/>
                </w:tcPr>
                <w:p w14:paraId="49ECBAAE">
                  <w:pPr>
                    <w:adjustRightInd w:val="0"/>
                    <w:jc w:val="center"/>
                    <w:rPr>
                      <w:rFonts w:hint="eastAsia" w:cs="宋体"/>
                      <w:i/>
                      <w:iCs/>
                      <w:color w:val="000000"/>
                      <w:kern w:val="2"/>
                      <w:sz w:val="21"/>
                      <w:szCs w:val="21"/>
                      <w:u w:val="single"/>
                      <w:lang w:val="en-US" w:eastAsia="zh-CN" w:bidi="ar-SA"/>
                    </w:rPr>
                  </w:pPr>
                  <w:r>
                    <w:rPr>
                      <w:rFonts w:hint="eastAsia" w:cs="宋体"/>
                      <w:i/>
                      <w:iCs/>
                      <w:color w:val="000000"/>
                      <w:szCs w:val="21"/>
                      <w:u w:val="single"/>
                    </w:rPr>
                    <w:t>颗粒物</w:t>
                  </w:r>
                </w:p>
              </w:tc>
              <w:tc>
                <w:tcPr>
                  <w:tcW w:w="717" w:type="pct"/>
                  <w:tcBorders>
                    <w:left w:val="single" w:color="auto" w:sz="4" w:space="0"/>
                    <w:right w:val="nil"/>
                  </w:tcBorders>
                  <w:noWrap w:val="0"/>
                  <w:vAlign w:val="center"/>
                </w:tcPr>
                <w:p w14:paraId="4B2512EA">
                  <w:pPr>
                    <w:adjustRightInd w:val="0"/>
                    <w:jc w:val="center"/>
                    <w:rPr>
                      <w:rFonts w:hint="eastAsia" w:cs="宋体"/>
                      <w:i/>
                      <w:iCs/>
                      <w:color w:val="000000"/>
                      <w:szCs w:val="21"/>
                      <w:u w:val="single"/>
                    </w:rPr>
                  </w:pPr>
                  <w:r>
                    <w:rPr>
                      <w:rFonts w:hint="eastAsia" w:cs="宋体"/>
                      <w:i/>
                      <w:iCs/>
                      <w:color w:val="000000"/>
                      <w:szCs w:val="21"/>
                      <w:u w:val="single"/>
                    </w:rPr>
                    <w:t>间歇</w:t>
                  </w:r>
                </w:p>
              </w:tc>
            </w:tr>
            <w:tr w14:paraId="072D6CC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819" w:type="pct"/>
                  <w:vMerge w:val="continue"/>
                  <w:tcBorders>
                    <w:left w:val="nil"/>
                  </w:tcBorders>
                  <w:noWrap w:val="0"/>
                  <w:vAlign w:val="center"/>
                </w:tcPr>
                <w:p w14:paraId="7268E8B3">
                  <w:pPr>
                    <w:adjustRightInd w:val="0"/>
                    <w:jc w:val="center"/>
                    <w:rPr>
                      <w:rFonts w:cs="宋体"/>
                      <w:i/>
                      <w:iCs/>
                      <w:color w:val="000000"/>
                      <w:szCs w:val="21"/>
                      <w:u w:val="single"/>
                    </w:rPr>
                  </w:pPr>
                </w:p>
              </w:tc>
              <w:tc>
                <w:tcPr>
                  <w:tcW w:w="718" w:type="pct"/>
                  <w:noWrap w:val="0"/>
                  <w:vAlign w:val="center"/>
                </w:tcPr>
                <w:p w14:paraId="6AECABA7">
                  <w:pPr>
                    <w:adjustRightInd w:val="0"/>
                    <w:jc w:val="center"/>
                    <w:rPr>
                      <w:rFonts w:hint="default" w:eastAsia="宋体" w:cs="宋体"/>
                      <w:i/>
                      <w:iCs/>
                      <w:color w:val="000000"/>
                      <w:szCs w:val="21"/>
                      <w:u w:val="single"/>
                      <w:lang w:val="en-US" w:eastAsia="zh-CN"/>
                    </w:rPr>
                  </w:pPr>
                  <w:r>
                    <w:rPr>
                      <w:rFonts w:hint="eastAsia" w:cs="宋体"/>
                      <w:i/>
                      <w:iCs/>
                      <w:color w:val="000000"/>
                      <w:szCs w:val="21"/>
                      <w:u w:val="single"/>
                      <w:lang w:val="en-US" w:eastAsia="zh-CN"/>
                    </w:rPr>
                    <w:t>G4</w:t>
                  </w:r>
                </w:p>
              </w:tc>
              <w:tc>
                <w:tcPr>
                  <w:tcW w:w="1019" w:type="pct"/>
                  <w:noWrap w:val="0"/>
                  <w:vAlign w:val="center"/>
                </w:tcPr>
                <w:p w14:paraId="23666B1D">
                  <w:pPr>
                    <w:adjustRightInd w:val="0"/>
                    <w:jc w:val="center"/>
                    <w:rPr>
                      <w:rFonts w:hint="eastAsia" w:cs="宋体"/>
                      <w:i/>
                      <w:iCs/>
                      <w:color w:val="000000"/>
                      <w:kern w:val="2"/>
                      <w:sz w:val="21"/>
                      <w:szCs w:val="21"/>
                      <w:u w:val="single"/>
                      <w:lang w:val="en-US" w:eastAsia="zh-CN" w:bidi="ar-SA"/>
                    </w:rPr>
                  </w:pPr>
                  <w:r>
                    <w:rPr>
                      <w:rFonts w:hint="eastAsia" w:cs="宋体"/>
                      <w:i/>
                      <w:iCs/>
                      <w:color w:val="000000"/>
                      <w:szCs w:val="21"/>
                      <w:u w:val="single"/>
                    </w:rPr>
                    <w:t>喷涂及烘干</w:t>
                  </w:r>
                </w:p>
              </w:tc>
              <w:tc>
                <w:tcPr>
                  <w:tcW w:w="1725" w:type="pct"/>
                  <w:tcBorders>
                    <w:right w:val="single" w:color="auto" w:sz="4" w:space="0"/>
                  </w:tcBorders>
                  <w:noWrap w:val="0"/>
                  <w:vAlign w:val="center"/>
                </w:tcPr>
                <w:p w14:paraId="27EEB35E">
                  <w:pPr>
                    <w:adjustRightInd w:val="0"/>
                    <w:jc w:val="center"/>
                    <w:rPr>
                      <w:rFonts w:hint="eastAsia" w:cs="宋体"/>
                      <w:i/>
                      <w:iCs/>
                      <w:color w:val="000000"/>
                      <w:kern w:val="2"/>
                      <w:sz w:val="21"/>
                      <w:szCs w:val="21"/>
                      <w:u w:val="single"/>
                      <w:lang w:val="en-US" w:eastAsia="zh-CN" w:bidi="ar-SA"/>
                    </w:rPr>
                  </w:pPr>
                  <w:r>
                    <w:rPr>
                      <w:rFonts w:hint="eastAsia" w:cs="宋体"/>
                      <w:i/>
                      <w:iCs/>
                      <w:color w:val="000000"/>
                      <w:szCs w:val="21"/>
                      <w:u w:val="single"/>
                    </w:rPr>
                    <w:t>NHMC、甲苯</w:t>
                  </w:r>
                </w:p>
              </w:tc>
              <w:tc>
                <w:tcPr>
                  <w:tcW w:w="717" w:type="pct"/>
                  <w:tcBorders>
                    <w:left w:val="single" w:color="auto" w:sz="4" w:space="0"/>
                    <w:right w:val="nil"/>
                  </w:tcBorders>
                  <w:noWrap w:val="0"/>
                  <w:vAlign w:val="center"/>
                </w:tcPr>
                <w:p w14:paraId="7E9543CE">
                  <w:pPr>
                    <w:adjustRightInd w:val="0"/>
                    <w:jc w:val="center"/>
                    <w:rPr>
                      <w:rFonts w:hint="eastAsia" w:cs="宋体"/>
                      <w:i/>
                      <w:iCs/>
                      <w:color w:val="000000"/>
                      <w:szCs w:val="21"/>
                      <w:u w:val="single"/>
                    </w:rPr>
                  </w:pPr>
                  <w:r>
                    <w:rPr>
                      <w:rFonts w:hint="eastAsia" w:cs="宋体"/>
                      <w:i/>
                      <w:iCs/>
                      <w:color w:val="000000"/>
                      <w:szCs w:val="21"/>
                      <w:u w:val="single"/>
                    </w:rPr>
                    <w:t>间歇</w:t>
                  </w:r>
                </w:p>
              </w:tc>
            </w:tr>
            <w:tr w14:paraId="29E8D05D">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819" w:type="pct"/>
                  <w:tcBorders>
                    <w:left w:val="nil"/>
                  </w:tcBorders>
                  <w:noWrap w:val="0"/>
                  <w:vAlign w:val="center"/>
                </w:tcPr>
                <w:p w14:paraId="4EC570A2">
                  <w:pPr>
                    <w:adjustRightInd w:val="0"/>
                    <w:jc w:val="center"/>
                    <w:rPr>
                      <w:rFonts w:cs="宋体"/>
                      <w:i/>
                      <w:iCs/>
                      <w:color w:val="000000"/>
                      <w:szCs w:val="21"/>
                      <w:u w:val="single"/>
                    </w:rPr>
                  </w:pPr>
                  <w:r>
                    <w:rPr>
                      <w:rFonts w:cs="宋体"/>
                      <w:i/>
                      <w:iCs/>
                      <w:color w:val="000000"/>
                      <w:szCs w:val="21"/>
                      <w:u w:val="single"/>
                    </w:rPr>
                    <w:t>废水</w:t>
                  </w:r>
                </w:p>
              </w:tc>
              <w:tc>
                <w:tcPr>
                  <w:tcW w:w="718" w:type="pct"/>
                  <w:noWrap w:val="0"/>
                  <w:vAlign w:val="center"/>
                </w:tcPr>
                <w:p w14:paraId="3BAD2373">
                  <w:pPr>
                    <w:adjustRightInd w:val="0"/>
                    <w:jc w:val="center"/>
                    <w:rPr>
                      <w:rFonts w:hint="eastAsia" w:cs="宋体"/>
                      <w:i/>
                      <w:iCs/>
                      <w:color w:val="000000"/>
                      <w:szCs w:val="21"/>
                      <w:u w:val="single"/>
                    </w:rPr>
                  </w:pPr>
                  <w:r>
                    <w:rPr>
                      <w:rFonts w:hint="eastAsia" w:cs="宋体"/>
                      <w:i/>
                      <w:iCs/>
                      <w:color w:val="000000"/>
                      <w:szCs w:val="21"/>
                      <w:u w:val="single"/>
                    </w:rPr>
                    <w:t>实验人员</w:t>
                  </w:r>
                </w:p>
                <w:p w14:paraId="5A9DC409">
                  <w:pPr>
                    <w:adjustRightInd w:val="0"/>
                    <w:jc w:val="center"/>
                    <w:rPr>
                      <w:rFonts w:cs="宋体"/>
                      <w:i/>
                      <w:iCs/>
                      <w:color w:val="000000"/>
                      <w:szCs w:val="21"/>
                      <w:u w:val="single"/>
                    </w:rPr>
                  </w:pPr>
                  <w:r>
                    <w:rPr>
                      <w:rFonts w:cs="宋体"/>
                      <w:i/>
                      <w:iCs/>
                      <w:color w:val="000000"/>
                      <w:szCs w:val="21"/>
                      <w:u w:val="single"/>
                    </w:rPr>
                    <w:t>生活</w:t>
                  </w:r>
                </w:p>
              </w:tc>
              <w:tc>
                <w:tcPr>
                  <w:tcW w:w="1019" w:type="pct"/>
                  <w:noWrap w:val="0"/>
                  <w:vAlign w:val="center"/>
                </w:tcPr>
                <w:p w14:paraId="77A05586">
                  <w:pPr>
                    <w:adjustRightInd w:val="0"/>
                    <w:jc w:val="center"/>
                    <w:rPr>
                      <w:rFonts w:cs="宋体"/>
                      <w:i/>
                      <w:iCs/>
                      <w:color w:val="000000"/>
                      <w:szCs w:val="21"/>
                      <w:u w:val="single"/>
                    </w:rPr>
                  </w:pPr>
                  <w:r>
                    <w:rPr>
                      <w:rFonts w:cs="宋体"/>
                      <w:i/>
                      <w:iCs/>
                      <w:color w:val="000000"/>
                      <w:szCs w:val="21"/>
                      <w:u w:val="single"/>
                    </w:rPr>
                    <w:t>生活污水</w:t>
                  </w:r>
                </w:p>
              </w:tc>
              <w:tc>
                <w:tcPr>
                  <w:tcW w:w="1725" w:type="pct"/>
                  <w:tcBorders>
                    <w:right w:val="single" w:color="auto" w:sz="4" w:space="0"/>
                  </w:tcBorders>
                  <w:noWrap w:val="0"/>
                  <w:vAlign w:val="center"/>
                </w:tcPr>
                <w:p w14:paraId="394330FA">
                  <w:pPr>
                    <w:adjustRightInd w:val="0"/>
                    <w:jc w:val="center"/>
                    <w:rPr>
                      <w:rFonts w:cs="宋体"/>
                      <w:i/>
                      <w:iCs/>
                      <w:color w:val="000000"/>
                      <w:szCs w:val="21"/>
                      <w:u w:val="single"/>
                    </w:rPr>
                  </w:pPr>
                  <w:r>
                    <w:rPr>
                      <w:rFonts w:hint="eastAsia" w:cs="宋体"/>
                      <w:i/>
                      <w:iCs/>
                      <w:color w:val="000000"/>
                      <w:szCs w:val="21"/>
                      <w:u w:val="single"/>
                    </w:rPr>
                    <w:t>pH、</w:t>
                  </w:r>
                  <w:r>
                    <w:rPr>
                      <w:rFonts w:cs="宋体"/>
                      <w:i/>
                      <w:iCs/>
                      <w:color w:val="000000"/>
                      <w:szCs w:val="21"/>
                      <w:u w:val="single"/>
                    </w:rPr>
                    <w:t>COD、BOD</w:t>
                  </w:r>
                  <w:r>
                    <w:rPr>
                      <w:rFonts w:cs="宋体"/>
                      <w:i/>
                      <w:iCs/>
                      <w:color w:val="000000"/>
                      <w:szCs w:val="21"/>
                      <w:u w:val="single"/>
                      <w:vertAlign w:val="subscript"/>
                    </w:rPr>
                    <w:t>5</w:t>
                  </w:r>
                  <w:r>
                    <w:rPr>
                      <w:rFonts w:cs="宋体"/>
                      <w:i/>
                      <w:iCs/>
                      <w:color w:val="000000"/>
                      <w:szCs w:val="21"/>
                      <w:u w:val="single"/>
                    </w:rPr>
                    <w:t>、氨氮、SS</w:t>
                  </w:r>
                </w:p>
              </w:tc>
              <w:tc>
                <w:tcPr>
                  <w:tcW w:w="717" w:type="pct"/>
                  <w:tcBorders>
                    <w:left w:val="single" w:color="auto" w:sz="4" w:space="0"/>
                    <w:right w:val="nil"/>
                  </w:tcBorders>
                  <w:noWrap w:val="0"/>
                  <w:vAlign w:val="center"/>
                </w:tcPr>
                <w:p w14:paraId="4602B017">
                  <w:pPr>
                    <w:adjustRightInd w:val="0"/>
                    <w:jc w:val="center"/>
                    <w:rPr>
                      <w:rFonts w:cs="宋体"/>
                      <w:i/>
                      <w:iCs/>
                      <w:color w:val="000000"/>
                      <w:szCs w:val="21"/>
                      <w:u w:val="single"/>
                    </w:rPr>
                  </w:pPr>
                  <w:r>
                    <w:rPr>
                      <w:rFonts w:cs="宋体"/>
                      <w:i/>
                      <w:iCs/>
                      <w:color w:val="000000"/>
                      <w:szCs w:val="21"/>
                      <w:u w:val="single"/>
                    </w:rPr>
                    <w:t>间歇</w:t>
                  </w:r>
                </w:p>
              </w:tc>
            </w:tr>
            <w:tr w14:paraId="4D461B9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819" w:type="pct"/>
                  <w:tcBorders>
                    <w:left w:val="nil"/>
                  </w:tcBorders>
                  <w:noWrap w:val="0"/>
                  <w:vAlign w:val="center"/>
                </w:tcPr>
                <w:p w14:paraId="3160FE06">
                  <w:pPr>
                    <w:adjustRightInd w:val="0"/>
                    <w:jc w:val="center"/>
                    <w:rPr>
                      <w:rFonts w:cs="宋体"/>
                      <w:i/>
                      <w:iCs/>
                      <w:color w:val="000000"/>
                      <w:szCs w:val="21"/>
                      <w:u w:val="single"/>
                    </w:rPr>
                  </w:pPr>
                  <w:r>
                    <w:rPr>
                      <w:rFonts w:cs="宋体"/>
                      <w:i/>
                      <w:iCs/>
                      <w:color w:val="000000"/>
                      <w:szCs w:val="21"/>
                      <w:u w:val="single"/>
                    </w:rPr>
                    <w:t>噪声</w:t>
                  </w:r>
                </w:p>
              </w:tc>
              <w:tc>
                <w:tcPr>
                  <w:tcW w:w="718" w:type="pct"/>
                  <w:noWrap w:val="0"/>
                  <w:vAlign w:val="center"/>
                </w:tcPr>
                <w:p w14:paraId="002A2360">
                  <w:pPr>
                    <w:adjustRightInd w:val="0"/>
                    <w:jc w:val="center"/>
                    <w:rPr>
                      <w:rFonts w:cs="宋体"/>
                      <w:i/>
                      <w:iCs/>
                      <w:color w:val="000000"/>
                      <w:szCs w:val="21"/>
                      <w:u w:val="single"/>
                    </w:rPr>
                  </w:pPr>
                  <w:r>
                    <w:rPr>
                      <w:rFonts w:cs="宋体"/>
                      <w:i/>
                      <w:iCs/>
                      <w:color w:val="000000"/>
                      <w:szCs w:val="21"/>
                      <w:u w:val="single"/>
                    </w:rPr>
                    <w:t>设备噪声</w:t>
                  </w:r>
                </w:p>
              </w:tc>
              <w:tc>
                <w:tcPr>
                  <w:tcW w:w="1019" w:type="pct"/>
                  <w:noWrap w:val="0"/>
                  <w:vAlign w:val="center"/>
                </w:tcPr>
                <w:p w14:paraId="5EF3EA4B">
                  <w:pPr>
                    <w:adjustRightInd w:val="0"/>
                    <w:jc w:val="center"/>
                    <w:rPr>
                      <w:rFonts w:cs="宋体"/>
                      <w:i/>
                      <w:iCs/>
                      <w:color w:val="000000"/>
                      <w:szCs w:val="21"/>
                      <w:u w:val="single"/>
                    </w:rPr>
                  </w:pPr>
                  <w:r>
                    <w:rPr>
                      <w:rFonts w:cs="宋体"/>
                      <w:i/>
                      <w:iCs/>
                      <w:color w:val="000000"/>
                      <w:szCs w:val="21"/>
                      <w:u w:val="single"/>
                    </w:rPr>
                    <w:t>生产设备</w:t>
                  </w:r>
                </w:p>
              </w:tc>
              <w:tc>
                <w:tcPr>
                  <w:tcW w:w="1725" w:type="pct"/>
                  <w:tcBorders>
                    <w:right w:val="single" w:color="auto" w:sz="4" w:space="0"/>
                  </w:tcBorders>
                  <w:noWrap w:val="0"/>
                  <w:vAlign w:val="center"/>
                </w:tcPr>
                <w:p w14:paraId="27A7A930">
                  <w:pPr>
                    <w:adjustRightInd w:val="0"/>
                    <w:jc w:val="center"/>
                    <w:rPr>
                      <w:rFonts w:cs="宋体"/>
                      <w:i/>
                      <w:iCs/>
                      <w:color w:val="000000"/>
                      <w:szCs w:val="21"/>
                      <w:u w:val="single"/>
                    </w:rPr>
                  </w:pPr>
                  <w:r>
                    <w:rPr>
                      <w:rFonts w:cs="宋体"/>
                      <w:i/>
                      <w:iCs/>
                      <w:color w:val="000000"/>
                      <w:szCs w:val="21"/>
                      <w:u w:val="single"/>
                    </w:rPr>
                    <w:t>噪声</w:t>
                  </w:r>
                </w:p>
              </w:tc>
              <w:tc>
                <w:tcPr>
                  <w:tcW w:w="717" w:type="pct"/>
                  <w:tcBorders>
                    <w:left w:val="single" w:color="auto" w:sz="4" w:space="0"/>
                    <w:right w:val="nil"/>
                  </w:tcBorders>
                  <w:noWrap w:val="0"/>
                  <w:vAlign w:val="center"/>
                </w:tcPr>
                <w:p w14:paraId="6E073AFB">
                  <w:pPr>
                    <w:adjustRightInd w:val="0"/>
                    <w:jc w:val="center"/>
                    <w:rPr>
                      <w:rFonts w:cs="宋体"/>
                      <w:i/>
                      <w:iCs/>
                      <w:color w:val="000000"/>
                      <w:szCs w:val="21"/>
                      <w:u w:val="single"/>
                    </w:rPr>
                  </w:pPr>
                  <w:r>
                    <w:rPr>
                      <w:rFonts w:cs="宋体"/>
                      <w:i/>
                      <w:iCs/>
                      <w:color w:val="000000"/>
                      <w:szCs w:val="21"/>
                      <w:u w:val="single"/>
                    </w:rPr>
                    <w:t>间歇</w:t>
                  </w:r>
                </w:p>
              </w:tc>
            </w:tr>
            <w:tr w14:paraId="084C4E5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819" w:type="pct"/>
                  <w:vMerge w:val="restart"/>
                  <w:tcBorders>
                    <w:left w:val="nil"/>
                  </w:tcBorders>
                  <w:noWrap w:val="0"/>
                  <w:vAlign w:val="center"/>
                </w:tcPr>
                <w:p w14:paraId="11362E82">
                  <w:pPr>
                    <w:adjustRightInd w:val="0"/>
                    <w:jc w:val="center"/>
                    <w:rPr>
                      <w:rFonts w:cs="宋体"/>
                      <w:i/>
                      <w:iCs/>
                      <w:color w:val="000000"/>
                      <w:szCs w:val="21"/>
                      <w:u w:val="single"/>
                    </w:rPr>
                  </w:pPr>
                  <w:r>
                    <w:rPr>
                      <w:rFonts w:cs="宋体"/>
                      <w:i/>
                      <w:iCs/>
                      <w:color w:val="000000"/>
                      <w:szCs w:val="21"/>
                      <w:u w:val="single"/>
                    </w:rPr>
                    <w:t>固废</w:t>
                  </w:r>
                </w:p>
              </w:tc>
              <w:tc>
                <w:tcPr>
                  <w:tcW w:w="718" w:type="pct"/>
                  <w:noWrap w:val="0"/>
                  <w:vAlign w:val="center"/>
                </w:tcPr>
                <w:p w14:paraId="53C4F389">
                  <w:pPr>
                    <w:adjustRightInd w:val="0"/>
                    <w:jc w:val="center"/>
                    <w:rPr>
                      <w:rFonts w:hint="eastAsia" w:cs="宋体"/>
                      <w:i/>
                      <w:iCs/>
                      <w:color w:val="000000"/>
                      <w:szCs w:val="21"/>
                      <w:u w:val="single"/>
                    </w:rPr>
                  </w:pPr>
                  <w:r>
                    <w:rPr>
                      <w:rFonts w:hint="eastAsia" w:cs="宋体"/>
                      <w:i/>
                      <w:iCs/>
                      <w:color w:val="000000"/>
                      <w:szCs w:val="21"/>
                      <w:u w:val="single"/>
                    </w:rPr>
                    <w:t>S1</w:t>
                  </w:r>
                </w:p>
              </w:tc>
              <w:tc>
                <w:tcPr>
                  <w:tcW w:w="1019" w:type="pct"/>
                  <w:noWrap w:val="0"/>
                  <w:vAlign w:val="center"/>
                </w:tcPr>
                <w:p w14:paraId="0AD95821">
                  <w:pPr>
                    <w:adjustRightInd w:val="0"/>
                    <w:jc w:val="center"/>
                    <w:rPr>
                      <w:rFonts w:hint="eastAsia" w:eastAsia="宋体" w:cs="宋体"/>
                      <w:i/>
                      <w:iCs/>
                      <w:color w:val="000000"/>
                      <w:szCs w:val="21"/>
                      <w:u w:val="single"/>
                      <w:lang w:eastAsia="zh-CN"/>
                    </w:rPr>
                  </w:pPr>
                  <w:r>
                    <w:rPr>
                      <w:rFonts w:hint="eastAsia" w:cs="宋体"/>
                      <w:i/>
                      <w:iCs/>
                      <w:color w:val="000000"/>
                      <w:szCs w:val="21"/>
                      <w:u w:val="single"/>
                      <w:lang w:eastAsia="zh-CN"/>
                    </w:rPr>
                    <w:t>漆料过滤</w:t>
                  </w:r>
                </w:p>
              </w:tc>
              <w:tc>
                <w:tcPr>
                  <w:tcW w:w="1725" w:type="pct"/>
                  <w:tcBorders>
                    <w:right w:val="single" w:color="auto" w:sz="4" w:space="0"/>
                  </w:tcBorders>
                  <w:noWrap w:val="0"/>
                  <w:vAlign w:val="center"/>
                </w:tcPr>
                <w:p w14:paraId="4BA26601">
                  <w:pPr>
                    <w:adjustRightInd w:val="0"/>
                    <w:jc w:val="center"/>
                    <w:rPr>
                      <w:rFonts w:hint="eastAsia" w:eastAsia="宋体" w:cs="宋体"/>
                      <w:i/>
                      <w:iCs/>
                      <w:color w:val="000000"/>
                      <w:szCs w:val="21"/>
                      <w:u w:val="single"/>
                      <w:lang w:eastAsia="zh-CN"/>
                    </w:rPr>
                  </w:pPr>
                  <w:r>
                    <w:rPr>
                      <w:rFonts w:hint="eastAsia" w:cs="宋体"/>
                      <w:i/>
                      <w:iCs/>
                      <w:color w:val="000000"/>
                      <w:szCs w:val="21"/>
                      <w:u w:val="single"/>
                      <w:lang w:eastAsia="zh-CN"/>
                    </w:rPr>
                    <w:t>灰尘杂质</w:t>
                  </w:r>
                </w:p>
              </w:tc>
              <w:tc>
                <w:tcPr>
                  <w:tcW w:w="717" w:type="pct"/>
                  <w:tcBorders>
                    <w:left w:val="single" w:color="auto" w:sz="4" w:space="0"/>
                    <w:right w:val="nil"/>
                  </w:tcBorders>
                  <w:noWrap w:val="0"/>
                  <w:vAlign w:val="center"/>
                </w:tcPr>
                <w:p w14:paraId="3032BC11">
                  <w:pPr>
                    <w:adjustRightInd w:val="0"/>
                    <w:jc w:val="center"/>
                    <w:rPr>
                      <w:rFonts w:cs="宋体"/>
                      <w:i/>
                      <w:iCs/>
                      <w:color w:val="000000"/>
                      <w:szCs w:val="21"/>
                      <w:u w:val="single"/>
                    </w:rPr>
                  </w:pPr>
                  <w:r>
                    <w:rPr>
                      <w:rFonts w:cs="宋体"/>
                      <w:i/>
                      <w:iCs/>
                      <w:color w:val="000000"/>
                      <w:szCs w:val="21"/>
                      <w:u w:val="single"/>
                    </w:rPr>
                    <w:t>间歇</w:t>
                  </w:r>
                </w:p>
              </w:tc>
            </w:tr>
            <w:tr w14:paraId="42BEC81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819" w:type="pct"/>
                  <w:vMerge w:val="continue"/>
                  <w:tcBorders>
                    <w:left w:val="nil"/>
                  </w:tcBorders>
                  <w:noWrap w:val="0"/>
                  <w:vAlign w:val="center"/>
                </w:tcPr>
                <w:p w14:paraId="3D316E2A">
                  <w:pPr>
                    <w:adjustRightInd w:val="0"/>
                    <w:jc w:val="center"/>
                    <w:rPr>
                      <w:rFonts w:cs="宋体"/>
                      <w:i/>
                      <w:iCs/>
                      <w:color w:val="000000"/>
                      <w:szCs w:val="21"/>
                      <w:u w:val="single"/>
                    </w:rPr>
                  </w:pPr>
                </w:p>
              </w:tc>
              <w:tc>
                <w:tcPr>
                  <w:tcW w:w="718" w:type="pct"/>
                  <w:noWrap w:val="0"/>
                  <w:vAlign w:val="center"/>
                </w:tcPr>
                <w:p w14:paraId="5F5BA59B">
                  <w:pPr>
                    <w:adjustRightInd w:val="0"/>
                    <w:jc w:val="center"/>
                    <w:rPr>
                      <w:rFonts w:hint="eastAsia" w:eastAsia="宋体" w:cs="宋体"/>
                      <w:i/>
                      <w:iCs/>
                      <w:color w:val="000000"/>
                      <w:szCs w:val="21"/>
                      <w:u w:val="single"/>
                      <w:lang w:val="en-US" w:eastAsia="zh-CN"/>
                    </w:rPr>
                  </w:pPr>
                  <w:r>
                    <w:rPr>
                      <w:rFonts w:hint="eastAsia" w:cs="宋体"/>
                      <w:i/>
                      <w:iCs/>
                      <w:color w:val="000000"/>
                      <w:szCs w:val="21"/>
                      <w:u w:val="single"/>
                    </w:rPr>
                    <w:t>S</w:t>
                  </w:r>
                  <w:r>
                    <w:rPr>
                      <w:rFonts w:hint="eastAsia" w:cs="宋体"/>
                      <w:i/>
                      <w:iCs/>
                      <w:color w:val="000000"/>
                      <w:szCs w:val="21"/>
                      <w:u w:val="single"/>
                      <w:lang w:val="en-US" w:eastAsia="zh-CN"/>
                    </w:rPr>
                    <w:t>2</w:t>
                  </w:r>
                </w:p>
              </w:tc>
              <w:tc>
                <w:tcPr>
                  <w:tcW w:w="1019" w:type="pct"/>
                  <w:noWrap w:val="0"/>
                  <w:vAlign w:val="center"/>
                </w:tcPr>
                <w:p w14:paraId="0B83F503">
                  <w:pPr>
                    <w:adjustRightInd w:val="0"/>
                    <w:jc w:val="center"/>
                    <w:rPr>
                      <w:rFonts w:cs="宋体"/>
                      <w:i/>
                      <w:iCs/>
                      <w:color w:val="000000"/>
                      <w:szCs w:val="21"/>
                      <w:u w:val="single"/>
                    </w:rPr>
                  </w:pPr>
                  <w:r>
                    <w:rPr>
                      <w:rFonts w:hint="eastAsia" w:cs="宋体"/>
                      <w:i/>
                      <w:iCs/>
                      <w:color w:val="000000"/>
                      <w:szCs w:val="21"/>
                      <w:u w:val="single"/>
                    </w:rPr>
                    <w:t>喷砂</w:t>
                  </w:r>
                </w:p>
              </w:tc>
              <w:tc>
                <w:tcPr>
                  <w:tcW w:w="1725" w:type="pct"/>
                  <w:tcBorders>
                    <w:right w:val="single" w:color="auto" w:sz="4" w:space="0"/>
                  </w:tcBorders>
                  <w:noWrap w:val="0"/>
                  <w:vAlign w:val="center"/>
                </w:tcPr>
                <w:p w14:paraId="1F2BC4BD">
                  <w:pPr>
                    <w:adjustRightInd w:val="0"/>
                    <w:jc w:val="center"/>
                    <w:rPr>
                      <w:rFonts w:cs="宋体"/>
                      <w:i/>
                      <w:iCs/>
                      <w:color w:val="000000"/>
                      <w:szCs w:val="21"/>
                      <w:u w:val="single"/>
                    </w:rPr>
                  </w:pPr>
                  <w:r>
                    <w:rPr>
                      <w:rFonts w:hint="eastAsia" w:cs="宋体"/>
                      <w:i/>
                      <w:iCs/>
                      <w:color w:val="000000"/>
                      <w:szCs w:val="21"/>
                      <w:u w:val="single"/>
                    </w:rPr>
                    <w:t>废磨料</w:t>
                  </w:r>
                </w:p>
              </w:tc>
              <w:tc>
                <w:tcPr>
                  <w:tcW w:w="717" w:type="pct"/>
                  <w:tcBorders>
                    <w:left w:val="single" w:color="auto" w:sz="4" w:space="0"/>
                    <w:right w:val="nil"/>
                  </w:tcBorders>
                  <w:noWrap w:val="0"/>
                  <w:vAlign w:val="center"/>
                </w:tcPr>
                <w:p w14:paraId="7EBB295E">
                  <w:pPr>
                    <w:adjustRightInd w:val="0"/>
                    <w:jc w:val="center"/>
                    <w:rPr>
                      <w:rFonts w:cs="宋体"/>
                      <w:i/>
                      <w:iCs/>
                      <w:color w:val="000000"/>
                      <w:szCs w:val="21"/>
                      <w:u w:val="single"/>
                    </w:rPr>
                  </w:pPr>
                  <w:r>
                    <w:rPr>
                      <w:rFonts w:cs="宋体"/>
                      <w:i/>
                      <w:iCs/>
                      <w:color w:val="000000"/>
                      <w:szCs w:val="21"/>
                      <w:u w:val="single"/>
                    </w:rPr>
                    <w:t>间歇</w:t>
                  </w:r>
                </w:p>
              </w:tc>
            </w:tr>
            <w:tr w14:paraId="0EB0630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819" w:type="pct"/>
                  <w:vMerge w:val="continue"/>
                  <w:tcBorders>
                    <w:left w:val="nil"/>
                  </w:tcBorders>
                  <w:noWrap w:val="0"/>
                  <w:vAlign w:val="center"/>
                </w:tcPr>
                <w:p w14:paraId="12FDBE38">
                  <w:pPr>
                    <w:adjustRightInd w:val="0"/>
                    <w:jc w:val="center"/>
                    <w:rPr>
                      <w:rFonts w:cs="宋体"/>
                      <w:i/>
                      <w:iCs/>
                      <w:color w:val="000000"/>
                      <w:szCs w:val="21"/>
                      <w:u w:val="single"/>
                    </w:rPr>
                  </w:pPr>
                </w:p>
              </w:tc>
              <w:tc>
                <w:tcPr>
                  <w:tcW w:w="718" w:type="pct"/>
                  <w:noWrap w:val="0"/>
                  <w:vAlign w:val="center"/>
                </w:tcPr>
                <w:p w14:paraId="0F09753C">
                  <w:pPr>
                    <w:adjustRightInd w:val="0"/>
                    <w:jc w:val="center"/>
                    <w:rPr>
                      <w:rFonts w:hint="eastAsia" w:eastAsia="宋体" w:cs="宋体"/>
                      <w:i/>
                      <w:iCs/>
                      <w:color w:val="000000"/>
                      <w:szCs w:val="21"/>
                      <w:u w:val="single"/>
                      <w:lang w:val="en-US" w:eastAsia="zh-CN"/>
                    </w:rPr>
                  </w:pPr>
                  <w:r>
                    <w:rPr>
                      <w:rFonts w:hint="eastAsia" w:cs="宋体"/>
                      <w:i/>
                      <w:iCs/>
                      <w:color w:val="000000"/>
                      <w:szCs w:val="21"/>
                      <w:u w:val="single"/>
                    </w:rPr>
                    <w:t>S</w:t>
                  </w:r>
                  <w:r>
                    <w:rPr>
                      <w:rFonts w:hint="eastAsia" w:cs="宋体"/>
                      <w:i/>
                      <w:iCs/>
                      <w:color w:val="000000"/>
                      <w:szCs w:val="21"/>
                      <w:u w:val="single"/>
                      <w:lang w:val="en-US" w:eastAsia="zh-CN"/>
                    </w:rPr>
                    <w:t>3</w:t>
                  </w:r>
                </w:p>
              </w:tc>
              <w:tc>
                <w:tcPr>
                  <w:tcW w:w="1019" w:type="pct"/>
                  <w:noWrap w:val="0"/>
                  <w:vAlign w:val="center"/>
                </w:tcPr>
                <w:p w14:paraId="29A7CFC6">
                  <w:pPr>
                    <w:adjustRightInd w:val="0"/>
                    <w:jc w:val="center"/>
                    <w:rPr>
                      <w:rFonts w:hint="eastAsia" w:cs="宋体"/>
                      <w:i/>
                      <w:iCs/>
                      <w:color w:val="000000"/>
                      <w:szCs w:val="21"/>
                      <w:u w:val="single"/>
                    </w:rPr>
                  </w:pPr>
                  <w:r>
                    <w:rPr>
                      <w:rFonts w:hint="eastAsia" w:cs="宋体"/>
                      <w:i/>
                      <w:iCs/>
                      <w:color w:val="000000"/>
                      <w:szCs w:val="21"/>
                      <w:u w:val="single"/>
                    </w:rPr>
                    <w:t>喷涂</w:t>
                  </w:r>
                </w:p>
              </w:tc>
              <w:tc>
                <w:tcPr>
                  <w:tcW w:w="1725" w:type="pct"/>
                  <w:tcBorders>
                    <w:right w:val="single" w:color="auto" w:sz="4" w:space="0"/>
                  </w:tcBorders>
                  <w:noWrap w:val="0"/>
                  <w:vAlign w:val="center"/>
                </w:tcPr>
                <w:p w14:paraId="241B252D">
                  <w:pPr>
                    <w:adjustRightInd w:val="0"/>
                    <w:jc w:val="center"/>
                    <w:rPr>
                      <w:rFonts w:hint="eastAsia" w:cs="宋体"/>
                      <w:i/>
                      <w:iCs/>
                      <w:color w:val="000000"/>
                      <w:szCs w:val="21"/>
                      <w:u w:val="single"/>
                    </w:rPr>
                  </w:pPr>
                  <w:r>
                    <w:rPr>
                      <w:rFonts w:hint="eastAsia" w:cs="宋体"/>
                      <w:i/>
                      <w:iCs/>
                      <w:color w:val="000000"/>
                      <w:szCs w:val="21"/>
                      <w:u w:val="single"/>
                    </w:rPr>
                    <w:t>漆渣</w:t>
                  </w:r>
                </w:p>
              </w:tc>
              <w:tc>
                <w:tcPr>
                  <w:tcW w:w="717" w:type="pct"/>
                  <w:tcBorders>
                    <w:left w:val="single" w:color="auto" w:sz="4" w:space="0"/>
                    <w:right w:val="nil"/>
                  </w:tcBorders>
                  <w:noWrap w:val="0"/>
                  <w:vAlign w:val="center"/>
                </w:tcPr>
                <w:p w14:paraId="251405B9">
                  <w:pPr>
                    <w:adjustRightInd w:val="0"/>
                    <w:jc w:val="center"/>
                    <w:rPr>
                      <w:rFonts w:cs="宋体"/>
                      <w:i/>
                      <w:iCs/>
                      <w:color w:val="000000"/>
                      <w:szCs w:val="21"/>
                      <w:u w:val="single"/>
                    </w:rPr>
                  </w:pPr>
                  <w:r>
                    <w:rPr>
                      <w:rFonts w:cs="宋体"/>
                      <w:i/>
                      <w:iCs/>
                      <w:color w:val="000000"/>
                      <w:szCs w:val="21"/>
                      <w:u w:val="single"/>
                    </w:rPr>
                    <w:t>间歇</w:t>
                  </w:r>
                </w:p>
              </w:tc>
            </w:tr>
            <w:tr w14:paraId="10407102">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819" w:type="pct"/>
                  <w:vMerge w:val="continue"/>
                  <w:tcBorders>
                    <w:left w:val="nil"/>
                  </w:tcBorders>
                  <w:noWrap w:val="0"/>
                  <w:vAlign w:val="center"/>
                </w:tcPr>
                <w:p w14:paraId="597494D7">
                  <w:pPr>
                    <w:adjustRightInd w:val="0"/>
                    <w:jc w:val="center"/>
                    <w:rPr>
                      <w:rFonts w:cs="宋体"/>
                      <w:i/>
                      <w:iCs/>
                      <w:color w:val="000000"/>
                      <w:szCs w:val="21"/>
                      <w:u w:val="single"/>
                    </w:rPr>
                  </w:pPr>
                </w:p>
              </w:tc>
              <w:tc>
                <w:tcPr>
                  <w:tcW w:w="718" w:type="pct"/>
                  <w:noWrap w:val="0"/>
                  <w:vAlign w:val="center"/>
                </w:tcPr>
                <w:p w14:paraId="2DA8B059">
                  <w:pPr>
                    <w:adjustRightInd w:val="0"/>
                    <w:jc w:val="center"/>
                    <w:rPr>
                      <w:rFonts w:hint="eastAsia" w:eastAsia="宋体" w:cs="宋体"/>
                      <w:i/>
                      <w:iCs/>
                      <w:color w:val="000000"/>
                      <w:szCs w:val="21"/>
                      <w:u w:val="single"/>
                      <w:lang w:val="en-US" w:eastAsia="zh-CN"/>
                    </w:rPr>
                  </w:pPr>
                  <w:r>
                    <w:rPr>
                      <w:rFonts w:hint="eastAsia" w:cs="宋体"/>
                      <w:i/>
                      <w:iCs/>
                      <w:color w:val="000000"/>
                      <w:szCs w:val="21"/>
                      <w:u w:val="single"/>
                    </w:rPr>
                    <w:t>S</w:t>
                  </w:r>
                  <w:r>
                    <w:rPr>
                      <w:rFonts w:hint="eastAsia" w:cs="宋体"/>
                      <w:i/>
                      <w:iCs/>
                      <w:color w:val="000000"/>
                      <w:szCs w:val="21"/>
                      <w:u w:val="single"/>
                      <w:lang w:val="en-US" w:eastAsia="zh-CN"/>
                    </w:rPr>
                    <w:t>4</w:t>
                  </w:r>
                </w:p>
              </w:tc>
              <w:tc>
                <w:tcPr>
                  <w:tcW w:w="1019" w:type="pct"/>
                  <w:noWrap w:val="0"/>
                  <w:vAlign w:val="center"/>
                </w:tcPr>
                <w:p w14:paraId="1C13AD8F">
                  <w:pPr>
                    <w:adjustRightInd w:val="0"/>
                    <w:jc w:val="center"/>
                    <w:rPr>
                      <w:rFonts w:hint="eastAsia" w:cs="宋体"/>
                      <w:i/>
                      <w:iCs/>
                      <w:color w:val="000000"/>
                      <w:szCs w:val="21"/>
                      <w:u w:val="single"/>
                    </w:rPr>
                  </w:pPr>
                  <w:r>
                    <w:rPr>
                      <w:rFonts w:hint="eastAsia" w:cs="宋体"/>
                      <w:i/>
                      <w:iCs/>
                      <w:color w:val="000000"/>
                      <w:szCs w:val="21"/>
                      <w:u w:val="single"/>
                    </w:rPr>
                    <w:t>性能测试</w:t>
                  </w:r>
                </w:p>
              </w:tc>
              <w:tc>
                <w:tcPr>
                  <w:tcW w:w="1725" w:type="pct"/>
                  <w:tcBorders>
                    <w:right w:val="single" w:color="auto" w:sz="4" w:space="0"/>
                  </w:tcBorders>
                  <w:noWrap w:val="0"/>
                  <w:vAlign w:val="center"/>
                </w:tcPr>
                <w:p w14:paraId="307F4B3A">
                  <w:pPr>
                    <w:adjustRightInd w:val="0"/>
                    <w:jc w:val="center"/>
                    <w:rPr>
                      <w:rFonts w:hint="eastAsia" w:cs="宋体"/>
                      <w:i/>
                      <w:iCs/>
                      <w:color w:val="000000"/>
                      <w:szCs w:val="21"/>
                      <w:u w:val="single"/>
                    </w:rPr>
                  </w:pPr>
                  <w:r>
                    <w:rPr>
                      <w:rFonts w:hint="eastAsia" w:cs="宋体"/>
                      <w:i/>
                      <w:iCs/>
                      <w:color w:val="000000"/>
                      <w:szCs w:val="21"/>
                      <w:u w:val="single"/>
                    </w:rPr>
                    <w:t>不合格实验品</w:t>
                  </w:r>
                </w:p>
              </w:tc>
              <w:tc>
                <w:tcPr>
                  <w:tcW w:w="717" w:type="pct"/>
                  <w:tcBorders>
                    <w:left w:val="single" w:color="auto" w:sz="4" w:space="0"/>
                    <w:right w:val="nil"/>
                  </w:tcBorders>
                  <w:noWrap w:val="0"/>
                  <w:vAlign w:val="center"/>
                </w:tcPr>
                <w:p w14:paraId="38BCFAEF">
                  <w:pPr>
                    <w:adjustRightInd w:val="0"/>
                    <w:jc w:val="center"/>
                    <w:rPr>
                      <w:rFonts w:cs="宋体"/>
                      <w:i/>
                      <w:iCs/>
                      <w:color w:val="000000"/>
                      <w:szCs w:val="21"/>
                      <w:u w:val="single"/>
                    </w:rPr>
                  </w:pPr>
                  <w:r>
                    <w:rPr>
                      <w:rFonts w:cs="宋体"/>
                      <w:i/>
                      <w:iCs/>
                      <w:color w:val="000000"/>
                      <w:szCs w:val="21"/>
                      <w:u w:val="single"/>
                    </w:rPr>
                    <w:t>间歇</w:t>
                  </w:r>
                </w:p>
              </w:tc>
            </w:tr>
            <w:tr w14:paraId="6223AEE9">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819" w:type="pct"/>
                  <w:vMerge w:val="continue"/>
                  <w:tcBorders>
                    <w:left w:val="nil"/>
                  </w:tcBorders>
                  <w:noWrap w:val="0"/>
                  <w:vAlign w:val="center"/>
                </w:tcPr>
                <w:p w14:paraId="736ACA05">
                  <w:pPr>
                    <w:adjustRightInd w:val="0"/>
                    <w:jc w:val="center"/>
                    <w:rPr>
                      <w:rFonts w:cs="宋体"/>
                      <w:i/>
                      <w:iCs/>
                      <w:color w:val="000000"/>
                      <w:szCs w:val="21"/>
                      <w:u w:val="single"/>
                    </w:rPr>
                  </w:pPr>
                </w:p>
              </w:tc>
              <w:tc>
                <w:tcPr>
                  <w:tcW w:w="718" w:type="pct"/>
                  <w:noWrap w:val="0"/>
                  <w:vAlign w:val="center"/>
                </w:tcPr>
                <w:p w14:paraId="4D8850CC">
                  <w:pPr>
                    <w:adjustRightInd w:val="0"/>
                    <w:jc w:val="center"/>
                    <w:rPr>
                      <w:rFonts w:hint="eastAsia" w:eastAsia="宋体" w:cs="宋体"/>
                      <w:i/>
                      <w:iCs/>
                      <w:color w:val="000000"/>
                      <w:szCs w:val="21"/>
                      <w:u w:val="single"/>
                      <w:lang w:val="en-US" w:eastAsia="zh-CN"/>
                    </w:rPr>
                  </w:pPr>
                  <w:r>
                    <w:rPr>
                      <w:rFonts w:hint="eastAsia" w:cs="宋体"/>
                      <w:i/>
                      <w:iCs/>
                      <w:color w:val="000000"/>
                      <w:szCs w:val="21"/>
                      <w:u w:val="single"/>
                    </w:rPr>
                    <w:t>S</w:t>
                  </w:r>
                  <w:r>
                    <w:rPr>
                      <w:rFonts w:hint="eastAsia" w:cs="宋体"/>
                      <w:i/>
                      <w:iCs/>
                      <w:color w:val="000000"/>
                      <w:szCs w:val="21"/>
                      <w:u w:val="single"/>
                      <w:lang w:val="en-US" w:eastAsia="zh-CN"/>
                    </w:rPr>
                    <w:t>5</w:t>
                  </w:r>
                </w:p>
              </w:tc>
              <w:tc>
                <w:tcPr>
                  <w:tcW w:w="1019" w:type="pct"/>
                  <w:noWrap w:val="0"/>
                  <w:vAlign w:val="center"/>
                </w:tcPr>
                <w:p w14:paraId="232EFDE3">
                  <w:pPr>
                    <w:adjustRightInd w:val="0"/>
                    <w:jc w:val="center"/>
                    <w:rPr>
                      <w:rFonts w:hint="eastAsia" w:cs="宋体"/>
                      <w:i/>
                      <w:iCs/>
                      <w:color w:val="000000"/>
                      <w:szCs w:val="21"/>
                      <w:u w:val="single"/>
                    </w:rPr>
                  </w:pPr>
                  <w:r>
                    <w:rPr>
                      <w:rFonts w:hint="eastAsia" w:cs="宋体"/>
                      <w:i/>
                      <w:iCs/>
                      <w:color w:val="000000"/>
                      <w:szCs w:val="21"/>
                      <w:u w:val="single"/>
                    </w:rPr>
                    <w:t>废气处理</w:t>
                  </w:r>
                </w:p>
              </w:tc>
              <w:tc>
                <w:tcPr>
                  <w:tcW w:w="1725" w:type="pct"/>
                  <w:tcBorders>
                    <w:right w:val="single" w:color="auto" w:sz="4" w:space="0"/>
                  </w:tcBorders>
                  <w:noWrap w:val="0"/>
                  <w:vAlign w:val="center"/>
                </w:tcPr>
                <w:p w14:paraId="2EAC3186">
                  <w:pPr>
                    <w:adjustRightInd w:val="0"/>
                    <w:jc w:val="center"/>
                    <w:rPr>
                      <w:rFonts w:hint="eastAsia" w:cs="宋体"/>
                      <w:i/>
                      <w:iCs/>
                      <w:color w:val="000000"/>
                      <w:szCs w:val="21"/>
                      <w:highlight w:val="none"/>
                      <w:u w:val="single"/>
                    </w:rPr>
                  </w:pPr>
                  <w:r>
                    <w:rPr>
                      <w:rFonts w:hint="eastAsia" w:cs="宋体"/>
                      <w:i/>
                      <w:iCs/>
                      <w:color w:val="000000"/>
                      <w:szCs w:val="21"/>
                      <w:highlight w:val="none"/>
                      <w:u w:val="single"/>
                    </w:rPr>
                    <w:t>废滤筒</w:t>
                  </w:r>
                </w:p>
              </w:tc>
              <w:tc>
                <w:tcPr>
                  <w:tcW w:w="717" w:type="pct"/>
                  <w:tcBorders>
                    <w:left w:val="single" w:color="auto" w:sz="4" w:space="0"/>
                    <w:right w:val="nil"/>
                  </w:tcBorders>
                  <w:noWrap w:val="0"/>
                  <w:vAlign w:val="center"/>
                </w:tcPr>
                <w:p w14:paraId="1C1FC194">
                  <w:pPr>
                    <w:adjustRightInd w:val="0"/>
                    <w:jc w:val="center"/>
                    <w:rPr>
                      <w:rFonts w:cs="宋体"/>
                      <w:i/>
                      <w:iCs/>
                      <w:color w:val="000000"/>
                      <w:szCs w:val="21"/>
                      <w:u w:val="single"/>
                    </w:rPr>
                  </w:pPr>
                  <w:r>
                    <w:rPr>
                      <w:rFonts w:cs="宋体"/>
                      <w:i/>
                      <w:iCs/>
                      <w:color w:val="000000"/>
                      <w:szCs w:val="21"/>
                      <w:u w:val="single"/>
                    </w:rPr>
                    <w:t>间歇</w:t>
                  </w:r>
                </w:p>
              </w:tc>
            </w:tr>
            <w:tr w14:paraId="63584F2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819" w:type="pct"/>
                  <w:vMerge w:val="continue"/>
                  <w:tcBorders>
                    <w:left w:val="nil"/>
                  </w:tcBorders>
                  <w:noWrap w:val="0"/>
                  <w:vAlign w:val="center"/>
                </w:tcPr>
                <w:p w14:paraId="0B51B69E">
                  <w:pPr>
                    <w:adjustRightInd w:val="0"/>
                    <w:jc w:val="center"/>
                    <w:rPr>
                      <w:rFonts w:cs="宋体"/>
                      <w:i/>
                      <w:iCs/>
                      <w:color w:val="000000"/>
                      <w:szCs w:val="21"/>
                      <w:u w:val="single"/>
                    </w:rPr>
                  </w:pPr>
                </w:p>
              </w:tc>
              <w:tc>
                <w:tcPr>
                  <w:tcW w:w="718" w:type="pct"/>
                  <w:noWrap w:val="0"/>
                  <w:vAlign w:val="center"/>
                </w:tcPr>
                <w:p w14:paraId="2120D66E">
                  <w:pPr>
                    <w:adjustRightInd w:val="0"/>
                    <w:jc w:val="center"/>
                    <w:rPr>
                      <w:rFonts w:hint="eastAsia" w:eastAsia="宋体" w:cs="宋体"/>
                      <w:i/>
                      <w:iCs/>
                      <w:color w:val="000000"/>
                      <w:szCs w:val="21"/>
                      <w:u w:val="single"/>
                      <w:lang w:val="en-US" w:eastAsia="zh-CN"/>
                    </w:rPr>
                  </w:pPr>
                  <w:r>
                    <w:rPr>
                      <w:rFonts w:hint="eastAsia" w:cs="宋体"/>
                      <w:i/>
                      <w:iCs/>
                      <w:color w:val="000000"/>
                      <w:szCs w:val="21"/>
                      <w:u w:val="single"/>
                    </w:rPr>
                    <w:t>S</w:t>
                  </w:r>
                  <w:r>
                    <w:rPr>
                      <w:rFonts w:hint="eastAsia" w:cs="宋体"/>
                      <w:i/>
                      <w:iCs/>
                      <w:color w:val="000000"/>
                      <w:szCs w:val="21"/>
                      <w:u w:val="single"/>
                      <w:lang w:val="en-US" w:eastAsia="zh-CN"/>
                    </w:rPr>
                    <w:t>6</w:t>
                  </w:r>
                </w:p>
              </w:tc>
              <w:tc>
                <w:tcPr>
                  <w:tcW w:w="1019" w:type="pct"/>
                  <w:noWrap w:val="0"/>
                  <w:vAlign w:val="center"/>
                </w:tcPr>
                <w:p w14:paraId="742F1E09">
                  <w:pPr>
                    <w:adjustRightInd w:val="0"/>
                    <w:jc w:val="center"/>
                    <w:rPr>
                      <w:rFonts w:hint="eastAsia" w:cs="宋体"/>
                      <w:i/>
                      <w:iCs/>
                      <w:color w:val="000000"/>
                      <w:szCs w:val="21"/>
                      <w:u w:val="single"/>
                    </w:rPr>
                  </w:pPr>
                  <w:r>
                    <w:rPr>
                      <w:rFonts w:hint="eastAsia" w:cs="宋体"/>
                      <w:i/>
                      <w:iCs/>
                      <w:color w:val="000000"/>
                      <w:szCs w:val="21"/>
                      <w:u w:val="single"/>
                    </w:rPr>
                    <w:t>废气处理</w:t>
                  </w:r>
                </w:p>
              </w:tc>
              <w:tc>
                <w:tcPr>
                  <w:tcW w:w="1725" w:type="pct"/>
                  <w:tcBorders>
                    <w:right w:val="single" w:color="auto" w:sz="4" w:space="0"/>
                  </w:tcBorders>
                  <w:noWrap w:val="0"/>
                  <w:vAlign w:val="center"/>
                </w:tcPr>
                <w:p w14:paraId="0E4C17B2">
                  <w:pPr>
                    <w:adjustRightInd w:val="0"/>
                    <w:jc w:val="center"/>
                    <w:rPr>
                      <w:rFonts w:hint="eastAsia" w:cs="宋体"/>
                      <w:i/>
                      <w:iCs/>
                      <w:color w:val="000000"/>
                      <w:szCs w:val="21"/>
                      <w:highlight w:val="none"/>
                      <w:u w:val="single"/>
                    </w:rPr>
                  </w:pPr>
                  <w:r>
                    <w:rPr>
                      <w:rFonts w:hint="eastAsia" w:cs="宋体"/>
                      <w:i/>
                      <w:iCs/>
                      <w:color w:val="000000"/>
                      <w:szCs w:val="21"/>
                      <w:highlight w:val="none"/>
                      <w:u w:val="single"/>
                    </w:rPr>
                    <w:t>滤筒收集粉尘</w:t>
                  </w:r>
                </w:p>
              </w:tc>
              <w:tc>
                <w:tcPr>
                  <w:tcW w:w="717" w:type="pct"/>
                  <w:tcBorders>
                    <w:left w:val="single" w:color="auto" w:sz="4" w:space="0"/>
                    <w:right w:val="nil"/>
                  </w:tcBorders>
                  <w:noWrap w:val="0"/>
                  <w:vAlign w:val="center"/>
                </w:tcPr>
                <w:p w14:paraId="2C9D9F60">
                  <w:pPr>
                    <w:adjustRightInd w:val="0"/>
                    <w:jc w:val="center"/>
                    <w:rPr>
                      <w:rFonts w:cs="宋体"/>
                      <w:i/>
                      <w:iCs/>
                      <w:color w:val="000000"/>
                      <w:szCs w:val="21"/>
                      <w:u w:val="single"/>
                    </w:rPr>
                  </w:pPr>
                  <w:r>
                    <w:rPr>
                      <w:rFonts w:cs="宋体"/>
                      <w:i/>
                      <w:iCs/>
                      <w:color w:val="000000"/>
                      <w:szCs w:val="21"/>
                      <w:u w:val="single"/>
                    </w:rPr>
                    <w:t>间歇</w:t>
                  </w:r>
                </w:p>
              </w:tc>
            </w:tr>
            <w:tr w14:paraId="45A4323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819" w:type="pct"/>
                  <w:vMerge w:val="continue"/>
                  <w:tcBorders>
                    <w:left w:val="nil"/>
                  </w:tcBorders>
                  <w:noWrap w:val="0"/>
                  <w:vAlign w:val="center"/>
                </w:tcPr>
                <w:p w14:paraId="353AE074">
                  <w:pPr>
                    <w:adjustRightInd w:val="0"/>
                    <w:jc w:val="center"/>
                    <w:rPr>
                      <w:rFonts w:cs="宋体"/>
                      <w:i/>
                      <w:iCs/>
                      <w:color w:val="000000"/>
                      <w:szCs w:val="21"/>
                      <w:u w:val="single"/>
                    </w:rPr>
                  </w:pPr>
                </w:p>
              </w:tc>
              <w:tc>
                <w:tcPr>
                  <w:tcW w:w="718" w:type="pct"/>
                  <w:noWrap w:val="0"/>
                  <w:vAlign w:val="center"/>
                </w:tcPr>
                <w:p w14:paraId="563C157C">
                  <w:pPr>
                    <w:adjustRightInd w:val="0"/>
                    <w:jc w:val="center"/>
                    <w:rPr>
                      <w:rFonts w:hint="eastAsia" w:eastAsia="宋体" w:cs="宋体"/>
                      <w:i/>
                      <w:iCs/>
                      <w:color w:val="000000"/>
                      <w:szCs w:val="21"/>
                      <w:u w:val="single"/>
                      <w:lang w:val="en-US" w:eastAsia="zh-CN"/>
                    </w:rPr>
                  </w:pPr>
                  <w:r>
                    <w:rPr>
                      <w:rFonts w:hint="eastAsia" w:cs="宋体"/>
                      <w:i/>
                      <w:iCs/>
                      <w:color w:val="000000"/>
                      <w:szCs w:val="21"/>
                      <w:u w:val="single"/>
                    </w:rPr>
                    <w:t>S</w:t>
                  </w:r>
                  <w:r>
                    <w:rPr>
                      <w:rFonts w:hint="eastAsia" w:cs="宋体"/>
                      <w:i/>
                      <w:iCs/>
                      <w:color w:val="000000"/>
                      <w:szCs w:val="21"/>
                      <w:u w:val="single"/>
                      <w:lang w:val="en-US" w:eastAsia="zh-CN"/>
                    </w:rPr>
                    <w:t>7</w:t>
                  </w:r>
                </w:p>
              </w:tc>
              <w:tc>
                <w:tcPr>
                  <w:tcW w:w="1019" w:type="pct"/>
                  <w:noWrap w:val="0"/>
                  <w:vAlign w:val="center"/>
                </w:tcPr>
                <w:p w14:paraId="71D65096">
                  <w:pPr>
                    <w:adjustRightInd w:val="0"/>
                    <w:jc w:val="center"/>
                    <w:rPr>
                      <w:rFonts w:cs="宋体"/>
                      <w:i/>
                      <w:iCs/>
                      <w:color w:val="000000"/>
                      <w:szCs w:val="21"/>
                      <w:u w:val="single"/>
                    </w:rPr>
                  </w:pPr>
                  <w:r>
                    <w:rPr>
                      <w:rFonts w:hint="eastAsia" w:cs="宋体"/>
                      <w:i/>
                      <w:iCs/>
                      <w:color w:val="000000"/>
                      <w:szCs w:val="21"/>
                      <w:u w:val="single"/>
                    </w:rPr>
                    <w:t>废气处理</w:t>
                  </w:r>
                </w:p>
              </w:tc>
              <w:tc>
                <w:tcPr>
                  <w:tcW w:w="1725" w:type="pct"/>
                  <w:tcBorders>
                    <w:right w:val="single" w:color="auto" w:sz="4" w:space="0"/>
                  </w:tcBorders>
                  <w:noWrap w:val="0"/>
                  <w:vAlign w:val="center"/>
                </w:tcPr>
                <w:p w14:paraId="5237FA67">
                  <w:pPr>
                    <w:adjustRightInd w:val="0"/>
                    <w:jc w:val="center"/>
                    <w:rPr>
                      <w:rFonts w:hint="eastAsia" w:cs="宋体"/>
                      <w:i/>
                      <w:iCs/>
                      <w:color w:val="000000"/>
                      <w:szCs w:val="21"/>
                      <w:u w:val="single"/>
                    </w:rPr>
                  </w:pPr>
                  <w:r>
                    <w:rPr>
                      <w:rFonts w:hint="eastAsia" w:cs="宋体"/>
                      <w:i/>
                      <w:iCs/>
                      <w:color w:val="000000"/>
                      <w:szCs w:val="21"/>
                      <w:u w:val="single"/>
                    </w:rPr>
                    <w:t>废活性炭及废过滤棉</w:t>
                  </w:r>
                </w:p>
              </w:tc>
              <w:tc>
                <w:tcPr>
                  <w:tcW w:w="717" w:type="pct"/>
                  <w:tcBorders>
                    <w:left w:val="single" w:color="auto" w:sz="4" w:space="0"/>
                    <w:right w:val="nil"/>
                  </w:tcBorders>
                  <w:noWrap w:val="0"/>
                  <w:vAlign w:val="center"/>
                </w:tcPr>
                <w:p w14:paraId="4D4C98E8">
                  <w:pPr>
                    <w:adjustRightInd w:val="0"/>
                    <w:jc w:val="center"/>
                    <w:rPr>
                      <w:rFonts w:cs="宋体"/>
                      <w:i/>
                      <w:iCs/>
                      <w:color w:val="000000"/>
                      <w:szCs w:val="21"/>
                      <w:u w:val="single"/>
                    </w:rPr>
                  </w:pPr>
                  <w:r>
                    <w:rPr>
                      <w:rFonts w:hint="eastAsia" w:cs="宋体"/>
                      <w:i/>
                      <w:iCs/>
                      <w:color w:val="000000"/>
                      <w:szCs w:val="21"/>
                      <w:u w:val="single"/>
                    </w:rPr>
                    <w:t>间歇</w:t>
                  </w:r>
                </w:p>
              </w:tc>
            </w:tr>
            <w:tr w14:paraId="131DA9D3">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819" w:type="pct"/>
                  <w:vMerge w:val="continue"/>
                  <w:tcBorders>
                    <w:left w:val="nil"/>
                  </w:tcBorders>
                  <w:noWrap w:val="0"/>
                  <w:vAlign w:val="center"/>
                </w:tcPr>
                <w:p w14:paraId="1DD9CFAA">
                  <w:pPr>
                    <w:adjustRightInd w:val="0"/>
                    <w:jc w:val="center"/>
                    <w:rPr>
                      <w:rFonts w:cs="宋体"/>
                      <w:i/>
                      <w:iCs/>
                      <w:color w:val="000000"/>
                      <w:szCs w:val="21"/>
                      <w:u w:val="single"/>
                    </w:rPr>
                  </w:pPr>
                </w:p>
              </w:tc>
              <w:tc>
                <w:tcPr>
                  <w:tcW w:w="718" w:type="pct"/>
                  <w:noWrap w:val="0"/>
                  <w:vAlign w:val="center"/>
                </w:tcPr>
                <w:p w14:paraId="5F622305">
                  <w:pPr>
                    <w:adjustRightInd w:val="0"/>
                    <w:jc w:val="center"/>
                    <w:rPr>
                      <w:rFonts w:hint="eastAsia" w:eastAsia="宋体" w:cs="宋体"/>
                      <w:i/>
                      <w:iCs/>
                      <w:color w:val="000000"/>
                      <w:szCs w:val="21"/>
                      <w:u w:val="single"/>
                      <w:lang w:val="en-US" w:eastAsia="zh-CN"/>
                    </w:rPr>
                  </w:pPr>
                  <w:r>
                    <w:rPr>
                      <w:rFonts w:hint="eastAsia" w:cs="宋体"/>
                      <w:i/>
                      <w:iCs/>
                      <w:color w:val="000000"/>
                      <w:szCs w:val="21"/>
                      <w:u w:val="single"/>
                    </w:rPr>
                    <w:t>S</w:t>
                  </w:r>
                  <w:r>
                    <w:rPr>
                      <w:rFonts w:hint="eastAsia" w:cs="宋体"/>
                      <w:i/>
                      <w:iCs/>
                      <w:color w:val="000000"/>
                      <w:szCs w:val="21"/>
                      <w:u w:val="single"/>
                      <w:lang w:val="en-US" w:eastAsia="zh-CN"/>
                    </w:rPr>
                    <w:t>8</w:t>
                  </w:r>
                </w:p>
              </w:tc>
              <w:tc>
                <w:tcPr>
                  <w:tcW w:w="1019" w:type="pct"/>
                  <w:noWrap w:val="0"/>
                  <w:vAlign w:val="center"/>
                </w:tcPr>
                <w:p w14:paraId="569B0226">
                  <w:pPr>
                    <w:adjustRightInd w:val="0"/>
                    <w:jc w:val="center"/>
                    <w:rPr>
                      <w:rFonts w:hint="eastAsia" w:eastAsia="宋体" w:cs="宋体"/>
                      <w:i/>
                      <w:iCs/>
                      <w:color w:val="000000"/>
                      <w:szCs w:val="21"/>
                      <w:u w:val="single"/>
                      <w:lang w:eastAsia="zh-CN"/>
                    </w:rPr>
                  </w:pPr>
                  <w:r>
                    <w:rPr>
                      <w:rFonts w:hint="eastAsia" w:cs="宋体"/>
                      <w:i/>
                      <w:iCs/>
                      <w:color w:val="000000"/>
                      <w:szCs w:val="21"/>
                      <w:u w:val="single"/>
                    </w:rPr>
                    <w:t>实验设备清洗</w:t>
                  </w:r>
                  <w:r>
                    <w:rPr>
                      <w:rFonts w:hint="eastAsia" w:cs="宋体"/>
                      <w:i/>
                      <w:iCs/>
                      <w:color w:val="000000"/>
                      <w:szCs w:val="21"/>
                      <w:u w:val="single"/>
                      <w:lang w:eastAsia="zh-CN"/>
                    </w:rPr>
                    <w:t>、实验室地面清洗</w:t>
                  </w:r>
                </w:p>
              </w:tc>
              <w:tc>
                <w:tcPr>
                  <w:tcW w:w="1725" w:type="pct"/>
                  <w:tcBorders>
                    <w:right w:val="single" w:color="auto" w:sz="4" w:space="0"/>
                  </w:tcBorders>
                  <w:noWrap w:val="0"/>
                  <w:vAlign w:val="center"/>
                </w:tcPr>
                <w:p w14:paraId="2D10BB13">
                  <w:pPr>
                    <w:adjustRightInd w:val="0"/>
                    <w:jc w:val="center"/>
                    <w:rPr>
                      <w:rFonts w:hint="eastAsia" w:cs="宋体"/>
                      <w:i/>
                      <w:iCs/>
                      <w:color w:val="000000"/>
                      <w:szCs w:val="21"/>
                      <w:u w:val="single"/>
                    </w:rPr>
                  </w:pPr>
                  <w:r>
                    <w:rPr>
                      <w:rFonts w:hint="eastAsia" w:cs="宋体"/>
                      <w:i/>
                      <w:iCs/>
                      <w:color w:val="000000"/>
                      <w:szCs w:val="21"/>
                      <w:u w:val="single"/>
                    </w:rPr>
                    <w:t>实验设备</w:t>
                  </w:r>
                  <w:r>
                    <w:rPr>
                      <w:rFonts w:hint="eastAsia" w:cs="宋体"/>
                      <w:i/>
                      <w:iCs/>
                      <w:color w:val="000000"/>
                      <w:szCs w:val="21"/>
                      <w:u w:val="single"/>
                      <w:lang w:eastAsia="zh-CN"/>
                    </w:rPr>
                    <w:t>及实验室地面</w:t>
                  </w:r>
                  <w:r>
                    <w:rPr>
                      <w:rFonts w:hint="eastAsia" w:cs="宋体"/>
                      <w:i/>
                      <w:iCs/>
                      <w:color w:val="000000"/>
                      <w:szCs w:val="21"/>
                      <w:u w:val="single"/>
                    </w:rPr>
                    <w:t>清洗废水</w:t>
                  </w:r>
                </w:p>
              </w:tc>
              <w:tc>
                <w:tcPr>
                  <w:tcW w:w="717" w:type="pct"/>
                  <w:tcBorders>
                    <w:left w:val="single" w:color="auto" w:sz="4" w:space="0"/>
                    <w:right w:val="nil"/>
                  </w:tcBorders>
                  <w:noWrap w:val="0"/>
                  <w:vAlign w:val="center"/>
                </w:tcPr>
                <w:p w14:paraId="3CBCB85C">
                  <w:pPr>
                    <w:adjustRightInd w:val="0"/>
                    <w:jc w:val="center"/>
                    <w:rPr>
                      <w:rFonts w:hint="eastAsia" w:cs="宋体"/>
                      <w:i/>
                      <w:iCs/>
                      <w:color w:val="000000"/>
                      <w:szCs w:val="21"/>
                      <w:u w:val="single"/>
                    </w:rPr>
                  </w:pPr>
                  <w:r>
                    <w:rPr>
                      <w:rFonts w:hint="eastAsia" w:cs="宋体"/>
                      <w:i/>
                      <w:iCs/>
                      <w:color w:val="000000"/>
                      <w:szCs w:val="21"/>
                      <w:u w:val="single"/>
                    </w:rPr>
                    <w:t>间歇</w:t>
                  </w:r>
                </w:p>
              </w:tc>
            </w:tr>
            <w:tr w14:paraId="1EC32F2D">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819" w:type="pct"/>
                  <w:vMerge w:val="continue"/>
                  <w:tcBorders>
                    <w:left w:val="nil"/>
                    <w:bottom w:val="single" w:color="auto" w:sz="12" w:space="0"/>
                  </w:tcBorders>
                  <w:noWrap w:val="0"/>
                  <w:vAlign w:val="center"/>
                </w:tcPr>
                <w:p w14:paraId="11C49271">
                  <w:pPr>
                    <w:adjustRightInd w:val="0"/>
                    <w:jc w:val="center"/>
                    <w:rPr>
                      <w:rFonts w:cs="宋体"/>
                      <w:i/>
                      <w:iCs/>
                      <w:color w:val="000000"/>
                      <w:szCs w:val="21"/>
                      <w:u w:val="single"/>
                    </w:rPr>
                  </w:pPr>
                </w:p>
              </w:tc>
              <w:tc>
                <w:tcPr>
                  <w:tcW w:w="718" w:type="pct"/>
                  <w:tcBorders>
                    <w:bottom w:val="single" w:color="auto" w:sz="12" w:space="0"/>
                  </w:tcBorders>
                  <w:noWrap w:val="0"/>
                  <w:vAlign w:val="center"/>
                </w:tcPr>
                <w:p w14:paraId="7922479D">
                  <w:pPr>
                    <w:adjustRightInd w:val="0"/>
                    <w:jc w:val="center"/>
                    <w:rPr>
                      <w:rFonts w:cs="宋体"/>
                      <w:i/>
                      <w:iCs/>
                      <w:color w:val="000000"/>
                      <w:szCs w:val="21"/>
                      <w:u w:val="single"/>
                    </w:rPr>
                  </w:pPr>
                  <w:r>
                    <w:rPr>
                      <w:rFonts w:hint="eastAsia" w:cs="宋体"/>
                      <w:i/>
                      <w:iCs/>
                      <w:color w:val="000000"/>
                      <w:szCs w:val="21"/>
                      <w:u w:val="single"/>
                    </w:rPr>
                    <w:t>职工生活</w:t>
                  </w:r>
                </w:p>
              </w:tc>
              <w:tc>
                <w:tcPr>
                  <w:tcW w:w="1019" w:type="pct"/>
                  <w:tcBorders>
                    <w:bottom w:val="single" w:color="auto" w:sz="12" w:space="0"/>
                  </w:tcBorders>
                  <w:noWrap w:val="0"/>
                  <w:vAlign w:val="center"/>
                </w:tcPr>
                <w:p w14:paraId="69E42E8E">
                  <w:pPr>
                    <w:adjustRightInd w:val="0"/>
                    <w:jc w:val="center"/>
                    <w:rPr>
                      <w:rFonts w:hint="eastAsia" w:cs="宋体"/>
                      <w:i/>
                      <w:iCs/>
                      <w:color w:val="000000"/>
                      <w:szCs w:val="21"/>
                      <w:u w:val="single"/>
                    </w:rPr>
                  </w:pPr>
                  <w:r>
                    <w:rPr>
                      <w:rFonts w:hint="eastAsia" w:cs="宋体"/>
                      <w:i/>
                      <w:iCs/>
                      <w:color w:val="000000"/>
                      <w:szCs w:val="21"/>
                      <w:u w:val="single"/>
                    </w:rPr>
                    <w:t>职工生活</w:t>
                  </w:r>
                </w:p>
              </w:tc>
              <w:tc>
                <w:tcPr>
                  <w:tcW w:w="1725" w:type="pct"/>
                  <w:tcBorders>
                    <w:bottom w:val="single" w:color="auto" w:sz="12" w:space="0"/>
                    <w:right w:val="single" w:color="auto" w:sz="4" w:space="0"/>
                  </w:tcBorders>
                  <w:noWrap w:val="0"/>
                  <w:vAlign w:val="center"/>
                </w:tcPr>
                <w:p w14:paraId="029FAFED">
                  <w:pPr>
                    <w:adjustRightInd w:val="0"/>
                    <w:jc w:val="center"/>
                    <w:rPr>
                      <w:rFonts w:cs="宋体"/>
                      <w:i/>
                      <w:iCs/>
                      <w:color w:val="000000"/>
                      <w:szCs w:val="21"/>
                      <w:u w:val="single"/>
                    </w:rPr>
                  </w:pPr>
                  <w:r>
                    <w:rPr>
                      <w:rFonts w:cs="宋体"/>
                      <w:i/>
                      <w:iCs/>
                      <w:color w:val="000000"/>
                      <w:szCs w:val="21"/>
                      <w:u w:val="single"/>
                    </w:rPr>
                    <w:t>生活垃圾</w:t>
                  </w:r>
                </w:p>
              </w:tc>
              <w:tc>
                <w:tcPr>
                  <w:tcW w:w="717" w:type="pct"/>
                  <w:tcBorders>
                    <w:left w:val="single" w:color="auto" w:sz="4" w:space="0"/>
                    <w:bottom w:val="single" w:color="auto" w:sz="12" w:space="0"/>
                    <w:right w:val="nil"/>
                  </w:tcBorders>
                  <w:noWrap w:val="0"/>
                  <w:vAlign w:val="center"/>
                </w:tcPr>
                <w:p w14:paraId="6A6962CA">
                  <w:pPr>
                    <w:adjustRightInd w:val="0"/>
                    <w:jc w:val="center"/>
                    <w:rPr>
                      <w:rFonts w:cs="宋体"/>
                      <w:i/>
                      <w:iCs/>
                      <w:color w:val="000000"/>
                      <w:szCs w:val="21"/>
                      <w:u w:val="single"/>
                    </w:rPr>
                  </w:pPr>
                  <w:r>
                    <w:rPr>
                      <w:rFonts w:cs="宋体"/>
                      <w:i/>
                      <w:iCs/>
                      <w:color w:val="000000"/>
                      <w:szCs w:val="21"/>
                      <w:u w:val="single"/>
                    </w:rPr>
                    <w:t>间歇</w:t>
                  </w:r>
                </w:p>
              </w:tc>
            </w:tr>
          </w:tbl>
          <w:p w14:paraId="3DB22683">
            <w:pPr>
              <w:pStyle w:val="43"/>
              <w:spacing w:line="360" w:lineRule="auto"/>
              <w:ind w:firstLine="0" w:firstLineChars="0"/>
              <w:rPr>
                <w:rFonts w:ascii="Times New Roman" w:hAnsi="Times New Roman"/>
                <w:bCs/>
                <w:color w:val="auto"/>
                <w:sz w:val="24"/>
              </w:rPr>
            </w:pPr>
          </w:p>
        </w:tc>
      </w:tr>
      <w:tr w14:paraId="0C9B2F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7" w:type="pct"/>
            <w:noWrap w:val="0"/>
            <w:vAlign w:val="center"/>
          </w:tcPr>
          <w:p w14:paraId="0C5B4289">
            <w:pPr>
              <w:pStyle w:val="23"/>
              <w:adjustRightInd w:val="0"/>
              <w:snapToGrid w:val="0"/>
              <w:spacing w:before="0" w:beforeAutospacing="0" w:after="0" w:afterAutospacing="0"/>
              <w:jc w:val="center"/>
              <w:rPr>
                <w:rFonts w:ascii="Times New Roman" w:hAnsi="Times New Roman"/>
                <w:szCs w:val="24"/>
              </w:rPr>
            </w:pPr>
            <w:r>
              <w:rPr>
                <w:rFonts w:ascii="Times New Roman" w:hAnsi="Times New Roman"/>
                <w:szCs w:val="24"/>
              </w:rPr>
              <w:t>与项目有关的原有环境污染问题</w:t>
            </w:r>
          </w:p>
        </w:tc>
        <w:tc>
          <w:tcPr>
            <w:tcW w:w="4742" w:type="pct"/>
            <w:noWrap w:val="0"/>
            <w:vAlign w:val="top"/>
          </w:tcPr>
          <w:p w14:paraId="110CA24D">
            <w:pPr>
              <w:spacing w:line="360" w:lineRule="auto"/>
              <w:ind w:firstLine="480" w:firstLineChars="200"/>
              <w:rPr>
                <w:sz w:val="24"/>
              </w:rPr>
            </w:pPr>
            <w:r>
              <w:rPr>
                <w:rFonts w:hint="eastAsia"/>
                <w:color w:val="000000"/>
                <w:sz w:val="24"/>
              </w:rPr>
              <w:t>本项目为新建项目，租用吉兴产业园B区</w:t>
            </w:r>
            <w:r>
              <w:rPr>
                <w:rFonts w:hint="eastAsia"/>
                <w:color w:val="000000"/>
                <w:sz w:val="24"/>
                <w:lang w:val="en-US" w:eastAsia="zh-CN"/>
              </w:rPr>
              <w:t>4-1</w:t>
            </w:r>
            <w:r>
              <w:rPr>
                <w:rFonts w:hint="eastAsia"/>
                <w:color w:val="000000"/>
                <w:sz w:val="24"/>
              </w:rPr>
              <w:t>栋厂房1层进行实验室建设，该厂房从未进行过生产经营性活动，故无与项目有关的原有环境污染问题。</w:t>
            </w:r>
          </w:p>
        </w:tc>
      </w:tr>
    </w:tbl>
    <w:p w14:paraId="03DCF171">
      <w:pPr>
        <w:pStyle w:val="23"/>
        <w:jc w:val="both"/>
        <w:rPr>
          <w:rFonts w:ascii="黑体" w:hAnsi="黑体" w:eastAsia="黑体"/>
          <w:snapToGrid w:val="0"/>
          <w:sz w:val="36"/>
          <w:szCs w:val="36"/>
        </w:rPr>
        <w:sectPr>
          <w:pgSz w:w="11906" w:h="16838"/>
          <w:pgMar w:top="1440" w:right="1080" w:bottom="1440" w:left="1080" w:header="851" w:footer="851" w:gutter="0"/>
          <w:cols w:space="720" w:num="1"/>
          <w:docGrid w:linePitch="312" w:charSpace="0"/>
        </w:sectPr>
      </w:pPr>
    </w:p>
    <w:p w14:paraId="1CE7E705">
      <w:pPr>
        <w:pStyle w:val="23"/>
        <w:spacing w:before="0" w:beforeAutospacing="0" w:after="120" w:afterLines="50" w:afterAutospacing="0"/>
        <w:jc w:val="center"/>
        <w:outlineLvl w:val="0"/>
        <w:rPr>
          <w:rFonts w:ascii="黑体" w:hAnsi="黑体" w:eastAsia="黑体"/>
          <w:snapToGrid w:val="0"/>
          <w:sz w:val="30"/>
          <w:szCs w:val="30"/>
        </w:rPr>
      </w:pPr>
      <w:r>
        <w:rPr>
          <w:rFonts w:hint="eastAsia" w:ascii="黑体" w:hAnsi="黑体" w:eastAsia="黑体"/>
          <w:snapToGrid w:val="0"/>
          <w:sz w:val="30"/>
          <w:szCs w:val="30"/>
        </w:rPr>
        <w:t>三、区域环境质量现状、环境保护目标及评价标准</w:t>
      </w:r>
    </w:p>
    <w:tbl>
      <w:tblPr>
        <w:tblStyle w:val="2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9507"/>
      </w:tblGrid>
      <w:tr w14:paraId="355EDD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33" w:hRule="atLeast"/>
          <w:jc w:val="center"/>
        </w:trPr>
        <w:tc>
          <w:tcPr>
            <w:tcW w:w="227" w:type="pct"/>
            <w:noWrap w:val="0"/>
            <w:vAlign w:val="center"/>
          </w:tcPr>
          <w:p w14:paraId="3BDD2E66">
            <w:pPr>
              <w:adjustRightInd w:val="0"/>
              <w:snapToGrid w:val="0"/>
              <w:jc w:val="center"/>
              <w:rPr>
                <w:rFonts w:hint="eastAsia" w:ascii="宋体" w:hAnsi="宋体" w:cs="宋体"/>
                <w:kern w:val="0"/>
                <w:sz w:val="24"/>
              </w:rPr>
            </w:pPr>
            <w:r>
              <w:rPr>
                <w:rFonts w:hint="eastAsia" w:ascii="宋体" w:hAnsi="宋体" w:cs="宋体"/>
                <w:kern w:val="0"/>
                <w:sz w:val="24"/>
              </w:rPr>
              <w:t>区域</w:t>
            </w:r>
          </w:p>
          <w:p w14:paraId="3A694CA6">
            <w:pPr>
              <w:adjustRightInd w:val="0"/>
              <w:snapToGrid w:val="0"/>
              <w:jc w:val="center"/>
              <w:rPr>
                <w:rFonts w:hint="eastAsia" w:ascii="宋体" w:hAnsi="宋体" w:cs="宋体"/>
                <w:kern w:val="0"/>
                <w:sz w:val="24"/>
              </w:rPr>
            </w:pPr>
            <w:r>
              <w:rPr>
                <w:rFonts w:hint="eastAsia" w:ascii="宋体" w:hAnsi="宋体" w:cs="宋体"/>
                <w:kern w:val="0"/>
                <w:sz w:val="24"/>
              </w:rPr>
              <w:t>环境</w:t>
            </w:r>
          </w:p>
          <w:p w14:paraId="0A6A19EB">
            <w:pPr>
              <w:adjustRightInd w:val="0"/>
              <w:snapToGrid w:val="0"/>
              <w:jc w:val="center"/>
              <w:rPr>
                <w:rFonts w:hint="eastAsia" w:ascii="宋体" w:hAnsi="宋体" w:cs="宋体"/>
                <w:kern w:val="0"/>
                <w:sz w:val="24"/>
              </w:rPr>
            </w:pPr>
            <w:r>
              <w:rPr>
                <w:rFonts w:hint="eastAsia" w:ascii="宋体" w:hAnsi="宋体" w:cs="宋体"/>
                <w:kern w:val="0"/>
                <w:sz w:val="24"/>
              </w:rPr>
              <w:t>质量</w:t>
            </w:r>
          </w:p>
          <w:p w14:paraId="7949B937">
            <w:pPr>
              <w:adjustRightInd w:val="0"/>
              <w:snapToGrid w:val="0"/>
              <w:jc w:val="center"/>
              <w:rPr>
                <w:rFonts w:ascii="宋体" w:hAnsi="宋体" w:cs="宋体"/>
                <w:kern w:val="0"/>
                <w:szCs w:val="21"/>
              </w:rPr>
            </w:pPr>
            <w:r>
              <w:rPr>
                <w:rFonts w:hint="eastAsia" w:ascii="宋体" w:hAnsi="宋体" w:cs="宋体"/>
                <w:kern w:val="0"/>
                <w:sz w:val="24"/>
              </w:rPr>
              <w:t>现状</w:t>
            </w:r>
          </w:p>
        </w:tc>
        <w:tc>
          <w:tcPr>
            <w:tcW w:w="4772" w:type="pct"/>
            <w:noWrap w:val="0"/>
            <w:vAlign w:val="center"/>
          </w:tcPr>
          <w:p w14:paraId="46E71881">
            <w:pPr>
              <w:snapToGrid w:val="0"/>
              <w:spacing w:line="360" w:lineRule="auto"/>
              <w:ind w:firstLine="482" w:firstLineChars="200"/>
              <w:rPr>
                <w:b/>
                <w:bCs/>
                <w:sz w:val="24"/>
              </w:rPr>
            </w:pPr>
            <w:bookmarkStart w:id="2" w:name="_Toc482628259"/>
            <w:bookmarkStart w:id="3" w:name="_Toc17506"/>
            <w:r>
              <w:rPr>
                <w:b/>
                <w:bCs/>
                <w:sz w:val="24"/>
              </w:rPr>
              <w:t>1、环境空气质量现状调查与评价</w:t>
            </w:r>
            <w:bookmarkEnd w:id="2"/>
            <w:bookmarkEnd w:id="3"/>
          </w:p>
          <w:p w14:paraId="208ED624">
            <w:pPr>
              <w:snapToGrid w:val="0"/>
              <w:spacing w:line="360" w:lineRule="auto"/>
              <w:ind w:firstLine="480" w:firstLineChars="200"/>
              <w:rPr>
                <w:sz w:val="24"/>
              </w:rPr>
            </w:pPr>
            <w:r>
              <w:rPr>
                <w:sz w:val="24"/>
              </w:rPr>
              <w:t>（</w:t>
            </w:r>
            <w:r>
              <w:rPr>
                <w:rFonts w:hint="eastAsia"/>
                <w:sz w:val="24"/>
              </w:rPr>
              <w:t>1</w:t>
            </w:r>
            <w:r>
              <w:rPr>
                <w:sz w:val="24"/>
              </w:rPr>
              <w:t>）基本污染物环境质量现状</w:t>
            </w:r>
          </w:p>
          <w:p w14:paraId="410762BC">
            <w:pPr>
              <w:spacing w:line="360" w:lineRule="auto"/>
              <w:ind w:firstLine="480" w:firstLineChars="200"/>
              <w:rPr>
                <w:sz w:val="24"/>
                <w:lang w:val="zh-CN"/>
              </w:rPr>
            </w:pPr>
            <w:r>
              <w:rPr>
                <w:sz w:val="24"/>
                <w:lang w:val="zh-CN"/>
              </w:rPr>
              <w:t>根据《环境影响评价技术导则-大气环境》（HJ2.2-2018）中6.2</w:t>
            </w:r>
            <w:r>
              <w:rPr>
                <w:rFonts w:hint="eastAsia" w:ascii="宋体" w:hAnsi="宋体" w:cs="宋体"/>
                <w:sz w:val="24"/>
                <w:lang w:val="zh-CN"/>
              </w:rPr>
              <w:t>“</w:t>
            </w:r>
            <w:r>
              <w:rPr>
                <w:sz w:val="24"/>
                <w:lang w:val="zh-CN"/>
              </w:rPr>
              <w:t>基本污染物环境质量监测数据来源</w:t>
            </w:r>
            <w:r>
              <w:rPr>
                <w:sz w:val="24"/>
              </w:rPr>
              <w:t>-</w:t>
            </w:r>
            <w:r>
              <w:rPr>
                <w:sz w:val="24"/>
                <w:lang w:val="zh-CN"/>
              </w:rPr>
              <w:t>6.2.1.1项目所在区域达标判定，优先采用国家或地方生态环境主管部门公开发布的评价基准年环境质量公告</w:t>
            </w:r>
            <w:r>
              <w:rPr>
                <w:rFonts w:hint="eastAsia"/>
                <w:sz w:val="24"/>
                <w:lang w:val="zh-CN"/>
              </w:rPr>
              <w:t>或</w:t>
            </w:r>
            <w:r>
              <w:rPr>
                <w:sz w:val="24"/>
                <w:lang w:val="zh-CN"/>
              </w:rPr>
              <w:t>环境质量报告的数据或结论</w:t>
            </w:r>
            <w:r>
              <w:rPr>
                <w:rFonts w:hint="eastAsia" w:ascii="宋体" w:hAnsi="宋体" w:cs="宋体"/>
                <w:sz w:val="24"/>
                <w:lang w:val="zh-CN"/>
              </w:rPr>
              <w:t>”</w:t>
            </w:r>
            <w:r>
              <w:rPr>
                <w:sz w:val="24"/>
                <w:lang w:val="zh-CN"/>
              </w:rPr>
              <w:t>。</w:t>
            </w:r>
          </w:p>
          <w:p w14:paraId="3C47D41C">
            <w:pPr>
              <w:adjustRightInd w:val="0"/>
              <w:snapToGrid w:val="0"/>
              <w:spacing w:line="360" w:lineRule="auto"/>
              <w:ind w:firstLine="480" w:firstLineChars="200"/>
            </w:pPr>
            <w:r>
              <w:rPr>
                <w:rFonts w:hint="eastAsia"/>
                <w:sz w:val="24"/>
              </w:rPr>
              <w:t>根据吉林省生态环境厅发布的《吉林省2023年生态环境状况公报》</w:t>
            </w:r>
            <w:r>
              <w:rPr>
                <w:sz w:val="24"/>
              </w:rPr>
              <w:t>进行空气质量达标区划定及环境质量现状评价</w:t>
            </w:r>
            <w:r>
              <w:rPr>
                <w:bCs/>
                <w:sz w:val="24"/>
              </w:rPr>
              <w:t>，详</w:t>
            </w:r>
            <w:r>
              <w:rPr>
                <w:sz w:val="24"/>
              </w:rPr>
              <w:t>见下表。</w:t>
            </w:r>
          </w:p>
          <w:p w14:paraId="25430C73">
            <w:pPr>
              <w:pStyle w:val="61"/>
              <w:tabs>
                <w:tab w:val="clear" w:pos="3437"/>
              </w:tabs>
              <w:spacing w:before="120"/>
              <w:rPr>
                <w:rFonts w:hint="eastAsia"/>
                <w:lang w:val="zh-CN"/>
              </w:rPr>
            </w:pPr>
            <w:r>
              <w:rPr>
                <w:rFonts w:hint="eastAsia"/>
                <w:lang w:val="zh-CN"/>
              </w:rPr>
              <w:t>表</w:t>
            </w:r>
            <w:r>
              <w:rPr>
                <w:rFonts w:hint="eastAsia"/>
              </w:rPr>
              <w:t xml:space="preserve">3-1 </w:t>
            </w:r>
            <w:r>
              <w:rPr>
                <w:rFonts w:hint="eastAsia"/>
                <w:lang w:val="zh-CN"/>
              </w:rPr>
              <w:t xml:space="preserve"> 环境空气基本污染物质量现状评价表</w:t>
            </w:r>
          </w:p>
          <w:tbl>
            <w:tblPr>
              <w:tblStyle w:val="2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21"/>
              <w:gridCol w:w="1095"/>
              <w:gridCol w:w="2739"/>
              <w:gridCol w:w="1177"/>
              <w:gridCol w:w="898"/>
              <w:gridCol w:w="1173"/>
              <w:gridCol w:w="1188"/>
            </w:tblGrid>
            <w:tr w14:paraId="4011864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9" w:type="pct"/>
                  <w:noWrap w:val="0"/>
                  <w:vAlign w:val="center"/>
                </w:tcPr>
                <w:p w14:paraId="101E80A7">
                  <w:pPr>
                    <w:adjustRightInd w:val="0"/>
                    <w:snapToGrid w:val="0"/>
                    <w:jc w:val="center"/>
                    <w:rPr>
                      <w:szCs w:val="21"/>
                    </w:rPr>
                  </w:pPr>
                  <w:r>
                    <w:rPr>
                      <w:szCs w:val="21"/>
                    </w:rPr>
                    <w:t>污染物</w:t>
                  </w:r>
                </w:p>
              </w:tc>
              <w:tc>
                <w:tcPr>
                  <w:tcW w:w="589" w:type="pct"/>
                  <w:noWrap w:val="0"/>
                  <w:vAlign w:val="center"/>
                </w:tcPr>
                <w:p w14:paraId="1F7031D1">
                  <w:pPr>
                    <w:adjustRightInd w:val="0"/>
                    <w:snapToGrid w:val="0"/>
                    <w:jc w:val="center"/>
                    <w:rPr>
                      <w:szCs w:val="21"/>
                    </w:rPr>
                  </w:pPr>
                  <w:r>
                    <w:rPr>
                      <w:szCs w:val="21"/>
                    </w:rPr>
                    <w:t>单位</w:t>
                  </w:r>
                </w:p>
              </w:tc>
              <w:tc>
                <w:tcPr>
                  <w:tcW w:w="1473" w:type="pct"/>
                  <w:noWrap w:val="0"/>
                  <w:vAlign w:val="center"/>
                </w:tcPr>
                <w:p w14:paraId="288DAC76">
                  <w:pPr>
                    <w:adjustRightInd w:val="0"/>
                    <w:snapToGrid w:val="0"/>
                    <w:jc w:val="center"/>
                    <w:rPr>
                      <w:szCs w:val="21"/>
                    </w:rPr>
                  </w:pPr>
                  <w:r>
                    <w:rPr>
                      <w:szCs w:val="21"/>
                    </w:rPr>
                    <w:t>年评价指标</w:t>
                  </w:r>
                </w:p>
              </w:tc>
              <w:tc>
                <w:tcPr>
                  <w:tcW w:w="633" w:type="pct"/>
                  <w:noWrap w:val="0"/>
                  <w:vAlign w:val="center"/>
                </w:tcPr>
                <w:p w14:paraId="27AA51DF">
                  <w:pPr>
                    <w:adjustRightInd w:val="0"/>
                    <w:snapToGrid w:val="0"/>
                    <w:jc w:val="center"/>
                    <w:rPr>
                      <w:szCs w:val="21"/>
                    </w:rPr>
                  </w:pPr>
                  <w:r>
                    <w:rPr>
                      <w:szCs w:val="21"/>
                    </w:rPr>
                    <w:t>现状浓度</w:t>
                  </w:r>
                </w:p>
              </w:tc>
              <w:tc>
                <w:tcPr>
                  <w:tcW w:w="483" w:type="pct"/>
                  <w:noWrap w:val="0"/>
                  <w:vAlign w:val="center"/>
                </w:tcPr>
                <w:p w14:paraId="0129C167">
                  <w:pPr>
                    <w:adjustRightInd w:val="0"/>
                    <w:snapToGrid w:val="0"/>
                    <w:jc w:val="center"/>
                    <w:rPr>
                      <w:szCs w:val="21"/>
                    </w:rPr>
                  </w:pPr>
                  <w:r>
                    <w:rPr>
                      <w:szCs w:val="21"/>
                    </w:rPr>
                    <w:t>标准值</w:t>
                  </w:r>
                </w:p>
              </w:tc>
              <w:tc>
                <w:tcPr>
                  <w:tcW w:w="631" w:type="pct"/>
                  <w:noWrap w:val="0"/>
                  <w:vAlign w:val="center"/>
                </w:tcPr>
                <w:p w14:paraId="7EFFC8C2">
                  <w:pPr>
                    <w:adjustRightInd w:val="0"/>
                    <w:snapToGrid w:val="0"/>
                    <w:jc w:val="center"/>
                    <w:rPr>
                      <w:szCs w:val="21"/>
                    </w:rPr>
                  </w:pPr>
                  <w:r>
                    <w:rPr>
                      <w:szCs w:val="21"/>
                    </w:rPr>
                    <w:t>超标</w:t>
                  </w:r>
                </w:p>
                <w:p w14:paraId="6A90E4A4">
                  <w:pPr>
                    <w:adjustRightInd w:val="0"/>
                    <w:snapToGrid w:val="0"/>
                    <w:jc w:val="center"/>
                    <w:rPr>
                      <w:szCs w:val="21"/>
                    </w:rPr>
                  </w:pPr>
                  <w:r>
                    <w:rPr>
                      <w:szCs w:val="21"/>
                    </w:rPr>
                    <w:t>倍数</w:t>
                  </w:r>
                </w:p>
              </w:tc>
              <w:tc>
                <w:tcPr>
                  <w:tcW w:w="639" w:type="pct"/>
                  <w:noWrap w:val="0"/>
                  <w:vAlign w:val="center"/>
                </w:tcPr>
                <w:p w14:paraId="73E06885">
                  <w:pPr>
                    <w:adjustRightInd w:val="0"/>
                    <w:snapToGrid w:val="0"/>
                    <w:jc w:val="center"/>
                    <w:rPr>
                      <w:szCs w:val="21"/>
                    </w:rPr>
                  </w:pPr>
                  <w:r>
                    <w:rPr>
                      <w:szCs w:val="21"/>
                    </w:rPr>
                    <w:t>达标情况</w:t>
                  </w:r>
                </w:p>
              </w:tc>
            </w:tr>
            <w:tr w14:paraId="12CEEBC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49" w:type="pct"/>
                  <w:noWrap w:val="0"/>
                  <w:vAlign w:val="center"/>
                </w:tcPr>
                <w:p w14:paraId="1F75CAB4">
                  <w:pPr>
                    <w:adjustRightInd w:val="0"/>
                    <w:snapToGrid w:val="0"/>
                    <w:jc w:val="center"/>
                    <w:rPr>
                      <w:szCs w:val="21"/>
                    </w:rPr>
                  </w:pPr>
                  <w:r>
                    <w:rPr>
                      <w:szCs w:val="21"/>
                    </w:rPr>
                    <w:t>PM</w:t>
                  </w:r>
                  <w:r>
                    <w:rPr>
                      <w:szCs w:val="21"/>
                      <w:vertAlign w:val="subscript"/>
                    </w:rPr>
                    <w:t>2.5</w:t>
                  </w:r>
                </w:p>
              </w:tc>
              <w:tc>
                <w:tcPr>
                  <w:tcW w:w="589" w:type="pct"/>
                  <w:noWrap w:val="0"/>
                  <w:vAlign w:val="center"/>
                </w:tcPr>
                <w:p w14:paraId="67B9EA29">
                  <w:pPr>
                    <w:pStyle w:val="8"/>
                    <w:jc w:val="center"/>
                    <w:rPr>
                      <w:szCs w:val="21"/>
                    </w:rPr>
                  </w:pPr>
                  <w:r>
                    <w:t>μ</w:t>
                  </w:r>
                  <w:r>
                    <w:rPr>
                      <w:rFonts w:eastAsia="Times New Roman"/>
                      <w:szCs w:val="21"/>
                      <w:lang w:val="zh-CN" w:bidi="zh-CN"/>
                    </w:rPr>
                    <w:t>g/m</w:t>
                  </w:r>
                  <w:r>
                    <w:rPr>
                      <w:rFonts w:eastAsia="Times New Roman"/>
                      <w:szCs w:val="21"/>
                      <w:vertAlign w:val="superscript"/>
                      <w:lang w:val="zh-CN" w:bidi="zh-CN"/>
                    </w:rPr>
                    <w:t>3</w:t>
                  </w:r>
                </w:p>
              </w:tc>
              <w:tc>
                <w:tcPr>
                  <w:tcW w:w="1473" w:type="pct"/>
                  <w:noWrap w:val="0"/>
                  <w:vAlign w:val="center"/>
                </w:tcPr>
                <w:p w14:paraId="1D918E5C">
                  <w:pPr>
                    <w:adjustRightInd w:val="0"/>
                    <w:snapToGrid w:val="0"/>
                    <w:jc w:val="center"/>
                    <w:rPr>
                      <w:szCs w:val="21"/>
                    </w:rPr>
                  </w:pPr>
                  <w:r>
                    <w:rPr>
                      <w:szCs w:val="21"/>
                    </w:rPr>
                    <w:t>年平均质量浓度</w:t>
                  </w:r>
                </w:p>
              </w:tc>
              <w:tc>
                <w:tcPr>
                  <w:tcW w:w="633" w:type="pct"/>
                  <w:noWrap w:val="0"/>
                  <w:vAlign w:val="center"/>
                </w:tcPr>
                <w:p w14:paraId="2250E551">
                  <w:pPr>
                    <w:adjustRightInd w:val="0"/>
                    <w:snapToGrid w:val="0"/>
                    <w:jc w:val="center"/>
                    <w:rPr>
                      <w:szCs w:val="21"/>
                    </w:rPr>
                  </w:pPr>
                  <w:r>
                    <w:rPr>
                      <w:rFonts w:hint="eastAsia"/>
                      <w:szCs w:val="21"/>
                    </w:rPr>
                    <w:t>32</w:t>
                  </w:r>
                </w:p>
              </w:tc>
              <w:tc>
                <w:tcPr>
                  <w:tcW w:w="483" w:type="pct"/>
                  <w:noWrap w:val="0"/>
                  <w:vAlign w:val="center"/>
                </w:tcPr>
                <w:p w14:paraId="5FFBAF23">
                  <w:pPr>
                    <w:adjustRightInd w:val="0"/>
                    <w:snapToGrid w:val="0"/>
                    <w:jc w:val="center"/>
                    <w:rPr>
                      <w:szCs w:val="21"/>
                    </w:rPr>
                  </w:pPr>
                  <w:r>
                    <w:rPr>
                      <w:szCs w:val="21"/>
                    </w:rPr>
                    <w:t>35</w:t>
                  </w:r>
                </w:p>
              </w:tc>
              <w:tc>
                <w:tcPr>
                  <w:tcW w:w="631" w:type="pct"/>
                  <w:noWrap w:val="0"/>
                  <w:vAlign w:val="center"/>
                </w:tcPr>
                <w:p w14:paraId="0BF81FC9">
                  <w:pPr>
                    <w:adjustRightInd w:val="0"/>
                    <w:snapToGrid w:val="0"/>
                    <w:jc w:val="center"/>
                    <w:rPr>
                      <w:szCs w:val="21"/>
                    </w:rPr>
                  </w:pPr>
                  <w:r>
                    <w:rPr>
                      <w:szCs w:val="21"/>
                    </w:rPr>
                    <w:t>未超标</w:t>
                  </w:r>
                </w:p>
              </w:tc>
              <w:tc>
                <w:tcPr>
                  <w:tcW w:w="639" w:type="pct"/>
                  <w:noWrap w:val="0"/>
                  <w:vAlign w:val="center"/>
                </w:tcPr>
                <w:p w14:paraId="09CAFA6D">
                  <w:pPr>
                    <w:adjustRightInd w:val="0"/>
                    <w:snapToGrid w:val="0"/>
                    <w:jc w:val="center"/>
                    <w:rPr>
                      <w:szCs w:val="21"/>
                    </w:rPr>
                  </w:pPr>
                  <w:r>
                    <w:rPr>
                      <w:szCs w:val="21"/>
                    </w:rPr>
                    <w:t>达标</w:t>
                  </w:r>
                </w:p>
              </w:tc>
            </w:tr>
            <w:tr w14:paraId="597BACB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412" w:hRule="atLeast"/>
                <w:jc w:val="center"/>
              </w:trPr>
              <w:tc>
                <w:tcPr>
                  <w:tcW w:w="549" w:type="pct"/>
                  <w:noWrap w:val="0"/>
                  <w:vAlign w:val="center"/>
                </w:tcPr>
                <w:p w14:paraId="6484E761">
                  <w:pPr>
                    <w:adjustRightInd w:val="0"/>
                    <w:snapToGrid w:val="0"/>
                    <w:jc w:val="center"/>
                    <w:rPr>
                      <w:szCs w:val="21"/>
                    </w:rPr>
                  </w:pPr>
                  <w:r>
                    <w:rPr>
                      <w:szCs w:val="21"/>
                    </w:rPr>
                    <w:t>PM</w:t>
                  </w:r>
                  <w:r>
                    <w:rPr>
                      <w:szCs w:val="21"/>
                      <w:vertAlign w:val="subscript"/>
                    </w:rPr>
                    <w:t>10</w:t>
                  </w:r>
                </w:p>
              </w:tc>
              <w:tc>
                <w:tcPr>
                  <w:tcW w:w="589" w:type="pct"/>
                  <w:noWrap w:val="0"/>
                  <w:vAlign w:val="center"/>
                </w:tcPr>
                <w:p w14:paraId="0EB76AFF">
                  <w:pPr>
                    <w:adjustRightInd w:val="0"/>
                    <w:snapToGrid w:val="0"/>
                    <w:jc w:val="center"/>
                    <w:rPr>
                      <w:szCs w:val="21"/>
                      <w:highlight w:val="yellow"/>
                    </w:rPr>
                  </w:pPr>
                  <w:r>
                    <w:t>μ</w:t>
                  </w:r>
                  <w:r>
                    <w:rPr>
                      <w:rFonts w:eastAsia="Times New Roman"/>
                      <w:szCs w:val="21"/>
                      <w:lang w:val="zh-CN" w:bidi="zh-CN"/>
                    </w:rPr>
                    <w:t>g/m</w:t>
                  </w:r>
                  <w:r>
                    <w:rPr>
                      <w:rFonts w:eastAsia="Times New Roman"/>
                      <w:szCs w:val="21"/>
                      <w:vertAlign w:val="superscript"/>
                      <w:lang w:val="zh-CN" w:bidi="zh-CN"/>
                    </w:rPr>
                    <w:t>3</w:t>
                  </w:r>
                </w:p>
              </w:tc>
              <w:tc>
                <w:tcPr>
                  <w:tcW w:w="1473" w:type="pct"/>
                  <w:noWrap w:val="0"/>
                  <w:vAlign w:val="center"/>
                </w:tcPr>
                <w:p w14:paraId="513F29B1">
                  <w:pPr>
                    <w:adjustRightInd w:val="0"/>
                    <w:snapToGrid w:val="0"/>
                    <w:jc w:val="center"/>
                    <w:rPr>
                      <w:szCs w:val="21"/>
                    </w:rPr>
                  </w:pPr>
                  <w:r>
                    <w:rPr>
                      <w:szCs w:val="21"/>
                    </w:rPr>
                    <w:t>年平均质量浓度</w:t>
                  </w:r>
                </w:p>
              </w:tc>
              <w:tc>
                <w:tcPr>
                  <w:tcW w:w="633" w:type="pct"/>
                  <w:noWrap w:val="0"/>
                  <w:vAlign w:val="center"/>
                </w:tcPr>
                <w:p w14:paraId="0E89B422">
                  <w:pPr>
                    <w:adjustRightInd w:val="0"/>
                    <w:snapToGrid w:val="0"/>
                    <w:jc w:val="center"/>
                    <w:rPr>
                      <w:szCs w:val="21"/>
                    </w:rPr>
                  </w:pPr>
                  <w:r>
                    <w:rPr>
                      <w:rFonts w:hint="eastAsia"/>
                      <w:szCs w:val="21"/>
                    </w:rPr>
                    <w:t>53</w:t>
                  </w:r>
                </w:p>
              </w:tc>
              <w:tc>
                <w:tcPr>
                  <w:tcW w:w="483" w:type="pct"/>
                  <w:noWrap w:val="0"/>
                  <w:vAlign w:val="center"/>
                </w:tcPr>
                <w:p w14:paraId="35188ED1">
                  <w:pPr>
                    <w:adjustRightInd w:val="0"/>
                    <w:snapToGrid w:val="0"/>
                    <w:jc w:val="center"/>
                    <w:rPr>
                      <w:szCs w:val="21"/>
                    </w:rPr>
                  </w:pPr>
                  <w:r>
                    <w:rPr>
                      <w:szCs w:val="21"/>
                    </w:rPr>
                    <w:t>70</w:t>
                  </w:r>
                </w:p>
              </w:tc>
              <w:tc>
                <w:tcPr>
                  <w:tcW w:w="631" w:type="pct"/>
                  <w:noWrap w:val="0"/>
                  <w:vAlign w:val="center"/>
                </w:tcPr>
                <w:p w14:paraId="625E9A0A">
                  <w:pPr>
                    <w:adjustRightInd w:val="0"/>
                    <w:snapToGrid w:val="0"/>
                    <w:jc w:val="center"/>
                    <w:rPr>
                      <w:szCs w:val="21"/>
                    </w:rPr>
                  </w:pPr>
                  <w:r>
                    <w:rPr>
                      <w:szCs w:val="21"/>
                    </w:rPr>
                    <w:t>未超标</w:t>
                  </w:r>
                </w:p>
              </w:tc>
              <w:tc>
                <w:tcPr>
                  <w:tcW w:w="639" w:type="pct"/>
                  <w:noWrap w:val="0"/>
                  <w:vAlign w:val="center"/>
                </w:tcPr>
                <w:p w14:paraId="1C13D972">
                  <w:pPr>
                    <w:adjustRightInd w:val="0"/>
                    <w:snapToGrid w:val="0"/>
                    <w:jc w:val="center"/>
                    <w:rPr>
                      <w:szCs w:val="21"/>
                    </w:rPr>
                  </w:pPr>
                  <w:r>
                    <w:rPr>
                      <w:szCs w:val="21"/>
                    </w:rPr>
                    <w:t>达标</w:t>
                  </w:r>
                </w:p>
              </w:tc>
            </w:tr>
            <w:tr w14:paraId="7866DBD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79" w:hRule="atLeast"/>
                <w:jc w:val="center"/>
              </w:trPr>
              <w:tc>
                <w:tcPr>
                  <w:tcW w:w="549" w:type="pct"/>
                  <w:noWrap w:val="0"/>
                  <w:vAlign w:val="center"/>
                </w:tcPr>
                <w:p w14:paraId="6F9C640D">
                  <w:pPr>
                    <w:adjustRightInd w:val="0"/>
                    <w:snapToGrid w:val="0"/>
                    <w:jc w:val="center"/>
                    <w:rPr>
                      <w:szCs w:val="21"/>
                    </w:rPr>
                  </w:pPr>
                  <w:r>
                    <w:rPr>
                      <w:szCs w:val="21"/>
                    </w:rPr>
                    <w:t>SO</w:t>
                  </w:r>
                  <w:r>
                    <w:rPr>
                      <w:szCs w:val="21"/>
                      <w:vertAlign w:val="subscript"/>
                    </w:rPr>
                    <w:t>2</w:t>
                  </w:r>
                </w:p>
              </w:tc>
              <w:tc>
                <w:tcPr>
                  <w:tcW w:w="589" w:type="pct"/>
                  <w:noWrap w:val="0"/>
                  <w:vAlign w:val="center"/>
                </w:tcPr>
                <w:p w14:paraId="0E333F9D">
                  <w:pPr>
                    <w:adjustRightInd w:val="0"/>
                    <w:snapToGrid w:val="0"/>
                    <w:jc w:val="center"/>
                    <w:rPr>
                      <w:szCs w:val="21"/>
                      <w:highlight w:val="yellow"/>
                    </w:rPr>
                  </w:pPr>
                  <w:r>
                    <w:t>μ</w:t>
                  </w:r>
                  <w:r>
                    <w:rPr>
                      <w:rFonts w:eastAsia="Times New Roman"/>
                      <w:szCs w:val="21"/>
                      <w:lang w:val="zh-CN" w:bidi="zh-CN"/>
                    </w:rPr>
                    <w:t>g/m</w:t>
                  </w:r>
                  <w:r>
                    <w:rPr>
                      <w:rFonts w:eastAsia="Times New Roman"/>
                      <w:szCs w:val="21"/>
                      <w:vertAlign w:val="superscript"/>
                      <w:lang w:val="zh-CN" w:bidi="zh-CN"/>
                    </w:rPr>
                    <w:t>3</w:t>
                  </w:r>
                </w:p>
              </w:tc>
              <w:tc>
                <w:tcPr>
                  <w:tcW w:w="1473" w:type="pct"/>
                  <w:noWrap w:val="0"/>
                  <w:vAlign w:val="center"/>
                </w:tcPr>
                <w:p w14:paraId="02568905">
                  <w:pPr>
                    <w:adjustRightInd w:val="0"/>
                    <w:snapToGrid w:val="0"/>
                    <w:jc w:val="center"/>
                    <w:rPr>
                      <w:szCs w:val="21"/>
                    </w:rPr>
                  </w:pPr>
                  <w:r>
                    <w:rPr>
                      <w:szCs w:val="21"/>
                    </w:rPr>
                    <w:t>年平均质量浓度</w:t>
                  </w:r>
                </w:p>
              </w:tc>
              <w:tc>
                <w:tcPr>
                  <w:tcW w:w="633" w:type="pct"/>
                  <w:noWrap w:val="0"/>
                  <w:vAlign w:val="center"/>
                </w:tcPr>
                <w:p w14:paraId="21B537C4">
                  <w:pPr>
                    <w:adjustRightInd w:val="0"/>
                    <w:snapToGrid w:val="0"/>
                    <w:jc w:val="center"/>
                    <w:rPr>
                      <w:rFonts w:hint="eastAsia"/>
                      <w:szCs w:val="21"/>
                    </w:rPr>
                  </w:pPr>
                  <w:r>
                    <w:rPr>
                      <w:rFonts w:hint="eastAsia"/>
                      <w:szCs w:val="21"/>
                    </w:rPr>
                    <w:t>9</w:t>
                  </w:r>
                </w:p>
              </w:tc>
              <w:tc>
                <w:tcPr>
                  <w:tcW w:w="483" w:type="pct"/>
                  <w:noWrap w:val="0"/>
                  <w:vAlign w:val="center"/>
                </w:tcPr>
                <w:p w14:paraId="3E44B312">
                  <w:pPr>
                    <w:adjustRightInd w:val="0"/>
                    <w:snapToGrid w:val="0"/>
                    <w:jc w:val="center"/>
                    <w:rPr>
                      <w:szCs w:val="21"/>
                    </w:rPr>
                  </w:pPr>
                  <w:r>
                    <w:rPr>
                      <w:szCs w:val="21"/>
                    </w:rPr>
                    <w:t>60</w:t>
                  </w:r>
                </w:p>
              </w:tc>
              <w:tc>
                <w:tcPr>
                  <w:tcW w:w="631" w:type="pct"/>
                  <w:noWrap w:val="0"/>
                  <w:vAlign w:val="center"/>
                </w:tcPr>
                <w:p w14:paraId="1BEB15F7">
                  <w:pPr>
                    <w:adjustRightInd w:val="0"/>
                    <w:snapToGrid w:val="0"/>
                    <w:jc w:val="center"/>
                    <w:rPr>
                      <w:szCs w:val="21"/>
                    </w:rPr>
                  </w:pPr>
                  <w:r>
                    <w:rPr>
                      <w:szCs w:val="21"/>
                    </w:rPr>
                    <w:t>未超标</w:t>
                  </w:r>
                </w:p>
              </w:tc>
              <w:tc>
                <w:tcPr>
                  <w:tcW w:w="639" w:type="pct"/>
                  <w:noWrap w:val="0"/>
                  <w:vAlign w:val="center"/>
                </w:tcPr>
                <w:p w14:paraId="39383146">
                  <w:pPr>
                    <w:adjustRightInd w:val="0"/>
                    <w:snapToGrid w:val="0"/>
                    <w:jc w:val="center"/>
                    <w:rPr>
                      <w:szCs w:val="21"/>
                    </w:rPr>
                  </w:pPr>
                  <w:r>
                    <w:rPr>
                      <w:szCs w:val="21"/>
                    </w:rPr>
                    <w:t>达标</w:t>
                  </w:r>
                </w:p>
              </w:tc>
            </w:tr>
            <w:tr w14:paraId="6287665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412" w:hRule="atLeast"/>
                <w:jc w:val="center"/>
              </w:trPr>
              <w:tc>
                <w:tcPr>
                  <w:tcW w:w="549" w:type="pct"/>
                  <w:noWrap w:val="0"/>
                  <w:vAlign w:val="center"/>
                </w:tcPr>
                <w:p w14:paraId="4C020839">
                  <w:pPr>
                    <w:adjustRightInd w:val="0"/>
                    <w:snapToGrid w:val="0"/>
                    <w:jc w:val="center"/>
                    <w:rPr>
                      <w:szCs w:val="21"/>
                    </w:rPr>
                  </w:pPr>
                  <w:r>
                    <w:rPr>
                      <w:szCs w:val="21"/>
                    </w:rPr>
                    <w:t>NO</w:t>
                  </w:r>
                  <w:r>
                    <w:rPr>
                      <w:szCs w:val="21"/>
                      <w:vertAlign w:val="subscript"/>
                    </w:rPr>
                    <w:t>2</w:t>
                  </w:r>
                </w:p>
              </w:tc>
              <w:tc>
                <w:tcPr>
                  <w:tcW w:w="589" w:type="pct"/>
                  <w:noWrap w:val="0"/>
                  <w:vAlign w:val="center"/>
                </w:tcPr>
                <w:p w14:paraId="7315D820">
                  <w:pPr>
                    <w:adjustRightInd w:val="0"/>
                    <w:snapToGrid w:val="0"/>
                    <w:jc w:val="center"/>
                    <w:rPr>
                      <w:szCs w:val="21"/>
                      <w:highlight w:val="yellow"/>
                    </w:rPr>
                  </w:pPr>
                  <w:r>
                    <w:t>μ</w:t>
                  </w:r>
                  <w:r>
                    <w:rPr>
                      <w:rFonts w:eastAsia="Times New Roman"/>
                      <w:szCs w:val="21"/>
                      <w:lang w:val="zh-CN" w:bidi="zh-CN"/>
                    </w:rPr>
                    <w:t>g/m</w:t>
                  </w:r>
                  <w:r>
                    <w:rPr>
                      <w:rFonts w:eastAsia="Times New Roman"/>
                      <w:szCs w:val="21"/>
                      <w:vertAlign w:val="superscript"/>
                      <w:lang w:val="zh-CN" w:bidi="zh-CN"/>
                    </w:rPr>
                    <w:t>3</w:t>
                  </w:r>
                </w:p>
              </w:tc>
              <w:tc>
                <w:tcPr>
                  <w:tcW w:w="1473" w:type="pct"/>
                  <w:noWrap w:val="0"/>
                  <w:vAlign w:val="center"/>
                </w:tcPr>
                <w:p w14:paraId="47AB3A9A">
                  <w:pPr>
                    <w:adjustRightInd w:val="0"/>
                    <w:snapToGrid w:val="0"/>
                    <w:jc w:val="center"/>
                    <w:rPr>
                      <w:szCs w:val="21"/>
                    </w:rPr>
                  </w:pPr>
                  <w:r>
                    <w:rPr>
                      <w:szCs w:val="21"/>
                    </w:rPr>
                    <w:t>年平均质量浓度</w:t>
                  </w:r>
                </w:p>
              </w:tc>
              <w:tc>
                <w:tcPr>
                  <w:tcW w:w="633" w:type="pct"/>
                  <w:noWrap w:val="0"/>
                  <w:vAlign w:val="center"/>
                </w:tcPr>
                <w:p w14:paraId="0A25AC8C">
                  <w:pPr>
                    <w:adjustRightInd w:val="0"/>
                    <w:snapToGrid w:val="0"/>
                    <w:jc w:val="center"/>
                    <w:rPr>
                      <w:szCs w:val="21"/>
                    </w:rPr>
                  </w:pPr>
                  <w:r>
                    <w:rPr>
                      <w:rFonts w:hint="eastAsia"/>
                      <w:szCs w:val="21"/>
                    </w:rPr>
                    <w:t>29</w:t>
                  </w:r>
                </w:p>
              </w:tc>
              <w:tc>
                <w:tcPr>
                  <w:tcW w:w="483" w:type="pct"/>
                  <w:noWrap w:val="0"/>
                  <w:vAlign w:val="center"/>
                </w:tcPr>
                <w:p w14:paraId="5C90533F">
                  <w:pPr>
                    <w:adjustRightInd w:val="0"/>
                    <w:snapToGrid w:val="0"/>
                    <w:jc w:val="center"/>
                    <w:rPr>
                      <w:szCs w:val="21"/>
                    </w:rPr>
                  </w:pPr>
                  <w:r>
                    <w:rPr>
                      <w:szCs w:val="21"/>
                    </w:rPr>
                    <w:t>40</w:t>
                  </w:r>
                </w:p>
              </w:tc>
              <w:tc>
                <w:tcPr>
                  <w:tcW w:w="631" w:type="pct"/>
                  <w:noWrap w:val="0"/>
                  <w:vAlign w:val="center"/>
                </w:tcPr>
                <w:p w14:paraId="109E6F1E">
                  <w:pPr>
                    <w:adjustRightInd w:val="0"/>
                    <w:snapToGrid w:val="0"/>
                    <w:jc w:val="center"/>
                    <w:rPr>
                      <w:szCs w:val="21"/>
                    </w:rPr>
                  </w:pPr>
                  <w:r>
                    <w:rPr>
                      <w:szCs w:val="21"/>
                    </w:rPr>
                    <w:t>未超标</w:t>
                  </w:r>
                </w:p>
              </w:tc>
              <w:tc>
                <w:tcPr>
                  <w:tcW w:w="639" w:type="pct"/>
                  <w:noWrap w:val="0"/>
                  <w:vAlign w:val="center"/>
                </w:tcPr>
                <w:p w14:paraId="56D7E2BF">
                  <w:pPr>
                    <w:adjustRightInd w:val="0"/>
                    <w:snapToGrid w:val="0"/>
                    <w:jc w:val="center"/>
                    <w:rPr>
                      <w:szCs w:val="21"/>
                    </w:rPr>
                  </w:pPr>
                  <w:r>
                    <w:rPr>
                      <w:szCs w:val="21"/>
                    </w:rPr>
                    <w:t>达标</w:t>
                  </w:r>
                </w:p>
              </w:tc>
            </w:tr>
            <w:tr w14:paraId="1B614F6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96" w:hRule="atLeast"/>
                <w:jc w:val="center"/>
              </w:trPr>
              <w:tc>
                <w:tcPr>
                  <w:tcW w:w="549" w:type="pct"/>
                  <w:noWrap w:val="0"/>
                  <w:vAlign w:val="center"/>
                </w:tcPr>
                <w:p w14:paraId="1E5FBB0A">
                  <w:pPr>
                    <w:adjustRightInd w:val="0"/>
                    <w:snapToGrid w:val="0"/>
                    <w:jc w:val="center"/>
                    <w:rPr>
                      <w:szCs w:val="21"/>
                    </w:rPr>
                  </w:pPr>
                  <w:r>
                    <w:rPr>
                      <w:szCs w:val="21"/>
                    </w:rPr>
                    <w:t>CO</w:t>
                  </w:r>
                </w:p>
              </w:tc>
              <w:tc>
                <w:tcPr>
                  <w:tcW w:w="589" w:type="pct"/>
                  <w:noWrap w:val="0"/>
                  <w:vAlign w:val="center"/>
                </w:tcPr>
                <w:p w14:paraId="7AF7C25D">
                  <w:pPr>
                    <w:adjustRightInd w:val="0"/>
                    <w:snapToGrid w:val="0"/>
                    <w:jc w:val="center"/>
                    <w:rPr>
                      <w:szCs w:val="21"/>
                    </w:rPr>
                  </w:pPr>
                  <w:r>
                    <w:rPr>
                      <w:rFonts w:eastAsia="等线"/>
                      <w:szCs w:val="21"/>
                      <w:lang w:val="zh-CN" w:bidi="zh-CN"/>
                    </w:rPr>
                    <w:t>m</w:t>
                  </w:r>
                  <w:r>
                    <w:rPr>
                      <w:rFonts w:eastAsia="Times New Roman"/>
                      <w:szCs w:val="21"/>
                      <w:lang w:val="zh-CN" w:bidi="zh-CN"/>
                    </w:rPr>
                    <w:t>g/m</w:t>
                  </w:r>
                  <w:r>
                    <w:rPr>
                      <w:rFonts w:eastAsia="Times New Roman"/>
                      <w:szCs w:val="21"/>
                      <w:vertAlign w:val="superscript"/>
                      <w:lang w:val="zh-CN" w:bidi="zh-CN"/>
                    </w:rPr>
                    <w:t>3</w:t>
                  </w:r>
                </w:p>
              </w:tc>
              <w:tc>
                <w:tcPr>
                  <w:tcW w:w="1473" w:type="pct"/>
                  <w:noWrap w:val="0"/>
                  <w:vAlign w:val="center"/>
                </w:tcPr>
                <w:p w14:paraId="015EFF77">
                  <w:pPr>
                    <w:adjustRightInd w:val="0"/>
                    <w:snapToGrid w:val="0"/>
                    <w:jc w:val="center"/>
                    <w:rPr>
                      <w:szCs w:val="21"/>
                    </w:rPr>
                  </w:pPr>
                  <w:r>
                    <w:rPr>
                      <w:szCs w:val="21"/>
                    </w:rPr>
                    <w:t>年2h平均第95百分位数</w:t>
                  </w:r>
                </w:p>
              </w:tc>
              <w:tc>
                <w:tcPr>
                  <w:tcW w:w="633" w:type="pct"/>
                  <w:noWrap w:val="0"/>
                  <w:vAlign w:val="center"/>
                </w:tcPr>
                <w:p w14:paraId="28505841">
                  <w:pPr>
                    <w:adjustRightInd w:val="0"/>
                    <w:snapToGrid w:val="0"/>
                    <w:jc w:val="center"/>
                    <w:rPr>
                      <w:szCs w:val="21"/>
                    </w:rPr>
                  </w:pPr>
                  <w:r>
                    <w:rPr>
                      <w:rFonts w:hint="eastAsia"/>
                      <w:szCs w:val="21"/>
                    </w:rPr>
                    <w:t>0.9</w:t>
                  </w:r>
                </w:p>
              </w:tc>
              <w:tc>
                <w:tcPr>
                  <w:tcW w:w="483" w:type="pct"/>
                  <w:noWrap w:val="0"/>
                  <w:vAlign w:val="center"/>
                </w:tcPr>
                <w:p w14:paraId="16E9FAB2">
                  <w:pPr>
                    <w:adjustRightInd w:val="0"/>
                    <w:snapToGrid w:val="0"/>
                    <w:jc w:val="center"/>
                    <w:rPr>
                      <w:szCs w:val="21"/>
                    </w:rPr>
                  </w:pPr>
                  <w:r>
                    <w:rPr>
                      <w:szCs w:val="21"/>
                    </w:rPr>
                    <w:t>4</w:t>
                  </w:r>
                </w:p>
              </w:tc>
              <w:tc>
                <w:tcPr>
                  <w:tcW w:w="631" w:type="pct"/>
                  <w:noWrap w:val="0"/>
                  <w:vAlign w:val="center"/>
                </w:tcPr>
                <w:p w14:paraId="6B6C6E90">
                  <w:pPr>
                    <w:adjustRightInd w:val="0"/>
                    <w:snapToGrid w:val="0"/>
                    <w:jc w:val="center"/>
                    <w:rPr>
                      <w:szCs w:val="21"/>
                    </w:rPr>
                  </w:pPr>
                  <w:r>
                    <w:rPr>
                      <w:szCs w:val="21"/>
                    </w:rPr>
                    <w:t>未超标</w:t>
                  </w:r>
                </w:p>
              </w:tc>
              <w:tc>
                <w:tcPr>
                  <w:tcW w:w="639" w:type="pct"/>
                  <w:noWrap w:val="0"/>
                  <w:vAlign w:val="center"/>
                </w:tcPr>
                <w:p w14:paraId="4731DEF3">
                  <w:pPr>
                    <w:adjustRightInd w:val="0"/>
                    <w:snapToGrid w:val="0"/>
                    <w:jc w:val="center"/>
                    <w:rPr>
                      <w:szCs w:val="21"/>
                    </w:rPr>
                  </w:pPr>
                  <w:r>
                    <w:rPr>
                      <w:szCs w:val="21"/>
                    </w:rPr>
                    <w:t>达标</w:t>
                  </w:r>
                </w:p>
              </w:tc>
            </w:tr>
            <w:tr w14:paraId="3788E4B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49" w:type="pct"/>
                  <w:noWrap w:val="0"/>
                  <w:vAlign w:val="center"/>
                </w:tcPr>
                <w:p w14:paraId="221511C6">
                  <w:pPr>
                    <w:adjustRightInd w:val="0"/>
                    <w:snapToGrid w:val="0"/>
                    <w:jc w:val="center"/>
                    <w:rPr>
                      <w:szCs w:val="21"/>
                    </w:rPr>
                  </w:pPr>
                  <w:r>
                    <w:rPr>
                      <w:szCs w:val="21"/>
                    </w:rPr>
                    <w:t>臭氧</w:t>
                  </w:r>
                </w:p>
              </w:tc>
              <w:tc>
                <w:tcPr>
                  <w:tcW w:w="589" w:type="pct"/>
                  <w:noWrap w:val="0"/>
                  <w:vAlign w:val="center"/>
                </w:tcPr>
                <w:p w14:paraId="2C430D84">
                  <w:pPr>
                    <w:adjustRightInd w:val="0"/>
                    <w:snapToGrid w:val="0"/>
                    <w:jc w:val="center"/>
                    <w:rPr>
                      <w:szCs w:val="21"/>
                    </w:rPr>
                  </w:pPr>
                  <w:r>
                    <w:t>μ</w:t>
                  </w:r>
                  <w:r>
                    <w:rPr>
                      <w:rFonts w:eastAsia="Times New Roman"/>
                      <w:szCs w:val="21"/>
                      <w:lang w:val="zh-CN" w:bidi="zh-CN"/>
                    </w:rPr>
                    <w:t>g/m</w:t>
                  </w:r>
                  <w:r>
                    <w:rPr>
                      <w:rFonts w:eastAsia="Times New Roman"/>
                      <w:szCs w:val="21"/>
                      <w:vertAlign w:val="superscript"/>
                      <w:lang w:val="zh-CN" w:bidi="zh-CN"/>
                    </w:rPr>
                    <w:t>3</w:t>
                  </w:r>
                </w:p>
              </w:tc>
              <w:tc>
                <w:tcPr>
                  <w:tcW w:w="1473" w:type="pct"/>
                  <w:noWrap w:val="0"/>
                  <w:vAlign w:val="center"/>
                </w:tcPr>
                <w:p w14:paraId="6CE703B7">
                  <w:pPr>
                    <w:adjustRightInd w:val="0"/>
                    <w:snapToGrid w:val="0"/>
                    <w:jc w:val="center"/>
                    <w:rPr>
                      <w:szCs w:val="21"/>
                    </w:rPr>
                  </w:pPr>
                  <w:r>
                    <w:rPr>
                      <w:szCs w:val="21"/>
                    </w:rPr>
                    <w:t>年日最大8h平均第90百分位数</w:t>
                  </w:r>
                </w:p>
              </w:tc>
              <w:tc>
                <w:tcPr>
                  <w:tcW w:w="633" w:type="pct"/>
                  <w:noWrap w:val="0"/>
                  <w:vAlign w:val="center"/>
                </w:tcPr>
                <w:p w14:paraId="05A7F59C">
                  <w:pPr>
                    <w:adjustRightInd w:val="0"/>
                    <w:snapToGrid w:val="0"/>
                    <w:jc w:val="center"/>
                    <w:rPr>
                      <w:szCs w:val="21"/>
                    </w:rPr>
                  </w:pPr>
                  <w:r>
                    <w:rPr>
                      <w:szCs w:val="21"/>
                    </w:rPr>
                    <w:t>1</w:t>
                  </w:r>
                  <w:r>
                    <w:rPr>
                      <w:rFonts w:hint="eastAsia"/>
                      <w:szCs w:val="21"/>
                    </w:rPr>
                    <w:t>32</w:t>
                  </w:r>
                </w:p>
              </w:tc>
              <w:tc>
                <w:tcPr>
                  <w:tcW w:w="483" w:type="pct"/>
                  <w:noWrap w:val="0"/>
                  <w:vAlign w:val="center"/>
                </w:tcPr>
                <w:p w14:paraId="7712E75D">
                  <w:pPr>
                    <w:adjustRightInd w:val="0"/>
                    <w:snapToGrid w:val="0"/>
                    <w:jc w:val="center"/>
                    <w:rPr>
                      <w:szCs w:val="21"/>
                    </w:rPr>
                  </w:pPr>
                  <w:r>
                    <w:rPr>
                      <w:szCs w:val="21"/>
                    </w:rPr>
                    <w:t>160</w:t>
                  </w:r>
                </w:p>
              </w:tc>
              <w:tc>
                <w:tcPr>
                  <w:tcW w:w="631" w:type="pct"/>
                  <w:noWrap w:val="0"/>
                  <w:vAlign w:val="center"/>
                </w:tcPr>
                <w:p w14:paraId="354029AF">
                  <w:pPr>
                    <w:adjustRightInd w:val="0"/>
                    <w:snapToGrid w:val="0"/>
                    <w:jc w:val="center"/>
                    <w:rPr>
                      <w:szCs w:val="21"/>
                    </w:rPr>
                  </w:pPr>
                  <w:r>
                    <w:rPr>
                      <w:szCs w:val="21"/>
                    </w:rPr>
                    <w:t>未超标</w:t>
                  </w:r>
                </w:p>
              </w:tc>
              <w:tc>
                <w:tcPr>
                  <w:tcW w:w="639" w:type="pct"/>
                  <w:noWrap w:val="0"/>
                  <w:vAlign w:val="center"/>
                </w:tcPr>
                <w:p w14:paraId="38796A55">
                  <w:pPr>
                    <w:adjustRightInd w:val="0"/>
                    <w:snapToGrid w:val="0"/>
                    <w:jc w:val="center"/>
                    <w:rPr>
                      <w:szCs w:val="21"/>
                    </w:rPr>
                  </w:pPr>
                  <w:r>
                    <w:rPr>
                      <w:szCs w:val="21"/>
                    </w:rPr>
                    <w:t>达标</w:t>
                  </w:r>
                </w:p>
              </w:tc>
            </w:tr>
          </w:tbl>
          <w:p w14:paraId="1AB93975">
            <w:pPr>
              <w:widowControl/>
              <w:spacing w:line="360" w:lineRule="auto"/>
              <w:ind w:firstLine="470" w:firstLineChars="196"/>
              <w:rPr>
                <w:sz w:val="24"/>
              </w:rPr>
            </w:pPr>
          </w:p>
          <w:p w14:paraId="59337C25">
            <w:pPr>
              <w:widowControl/>
              <w:spacing w:line="360" w:lineRule="auto"/>
              <w:ind w:firstLine="470" w:firstLineChars="196"/>
              <w:rPr>
                <w:rFonts w:hint="eastAsia"/>
                <w:sz w:val="24"/>
              </w:rPr>
            </w:pPr>
            <w:r>
              <w:rPr>
                <w:sz w:val="24"/>
              </w:rPr>
              <w:t>20</w:t>
            </w:r>
            <w:r>
              <w:rPr>
                <w:rFonts w:hint="eastAsia"/>
                <w:sz w:val="24"/>
              </w:rPr>
              <w:t>23</w:t>
            </w:r>
            <w:r>
              <w:rPr>
                <w:sz w:val="24"/>
              </w:rPr>
              <w:t>年长春市环境空气中PM</w:t>
            </w:r>
            <w:r>
              <w:rPr>
                <w:sz w:val="24"/>
                <w:vertAlign w:val="subscript"/>
              </w:rPr>
              <w:t>2.5</w:t>
            </w:r>
            <w:r>
              <w:rPr>
                <w:rFonts w:hint="eastAsia"/>
                <w:sz w:val="24"/>
              </w:rPr>
              <w:t>、</w:t>
            </w:r>
            <w:r>
              <w:rPr>
                <w:sz w:val="24"/>
              </w:rPr>
              <w:t>PM</w:t>
            </w:r>
            <w:r>
              <w:rPr>
                <w:sz w:val="24"/>
                <w:vertAlign w:val="subscript"/>
              </w:rPr>
              <w:t>10</w:t>
            </w:r>
            <w:r>
              <w:rPr>
                <w:sz w:val="24"/>
              </w:rPr>
              <w:t>、SO</w:t>
            </w:r>
            <w:r>
              <w:rPr>
                <w:sz w:val="24"/>
                <w:vertAlign w:val="subscript"/>
              </w:rPr>
              <w:t>2</w:t>
            </w:r>
            <w:r>
              <w:rPr>
                <w:sz w:val="24"/>
              </w:rPr>
              <w:t>、NO</w:t>
            </w:r>
            <w:r>
              <w:rPr>
                <w:sz w:val="24"/>
                <w:vertAlign w:val="subscript"/>
              </w:rPr>
              <w:t>2</w:t>
            </w:r>
            <w:r>
              <w:rPr>
                <w:sz w:val="24"/>
              </w:rPr>
              <w:t>、CO、O</w:t>
            </w:r>
            <w:r>
              <w:rPr>
                <w:sz w:val="24"/>
                <w:vertAlign w:val="subscript"/>
              </w:rPr>
              <w:t>3</w:t>
            </w:r>
            <w:r>
              <w:rPr>
                <w:rFonts w:hint="eastAsia"/>
                <w:sz w:val="24"/>
              </w:rPr>
              <w:t>等6</w:t>
            </w:r>
            <w:r>
              <w:rPr>
                <w:sz w:val="24"/>
              </w:rPr>
              <w:t>项指标浓度均达标，因此长春市属于环境空气质量达标区</w:t>
            </w:r>
            <w:r>
              <w:rPr>
                <w:rFonts w:hint="eastAsia"/>
                <w:sz w:val="24"/>
              </w:rPr>
              <w:t>。</w:t>
            </w:r>
          </w:p>
          <w:p w14:paraId="2A25979E">
            <w:pPr>
              <w:spacing w:line="360" w:lineRule="auto"/>
              <w:ind w:firstLine="480" w:firstLineChars="200"/>
              <w:rPr>
                <w:sz w:val="24"/>
              </w:rPr>
            </w:pPr>
            <w:r>
              <w:rPr>
                <w:rFonts w:hint="eastAsia"/>
                <w:sz w:val="24"/>
              </w:rPr>
              <w:t>（2）其他污染物环境质量现状</w:t>
            </w:r>
          </w:p>
          <w:p w14:paraId="79B06D0E">
            <w:pPr>
              <w:spacing w:line="360" w:lineRule="auto"/>
              <w:ind w:firstLine="480" w:firstLineChars="200"/>
              <w:rPr>
                <w:kern w:val="11"/>
                <w:sz w:val="24"/>
              </w:rPr>
            </w:pPr>
            <w:r>
              <w:rPr>
                <w:kern w:val="11"/>
                <w:sz w:val="24"/>
              </w:rPr>
              <w:t>1）监测点位布设</w:t>
            </w:r>
          </w:p>
          <w:p w14:paraId="7C336FDD">
            <w:pPr>
              <w:adjustRightInd w:val="0"/>
              <w:snapToGrid w:val="0"/>
              <w:spacing w:line="360" w:lineRule="auto"/>
              <w:ind w:firstLine="482"/>
              <w:rPr>
                <w:sz w:val="24"/>
              </w:rPr>
            </w:pPr>
            <w:r>
              <w:rPr>
                <w:rFonts w:hint="eastAsia"/>
                <w:i/>
                <w:iCs/>
                <w:sz w:val="24"/>
                <w:u w:val="single"/>
                <w:lang w:eastAsia="zh-CN"/>
              </w:rPr>
              <w:t>本项目特征污染物为，颗粒物、</w:t>
            </w:r>
            <w:r>
              <w:rPr>
                <w:rFonts w:hint="eastAsia"/>
                <w:i/>
                <w:iCs/>
                <w:sz w:val="24"/>
                <w:u w:val="single"/>
                <w:lang w:val="en-US" w:eastAsia="zh-CN"/>
              </w:rPr>
              <w:t>NMHC、甲苯。其中NMHC、甲苯无国家、地方环境空气的质量标准限值，故</w:t>
            </w:r>
            <w:r>
              <w:rPr>
                <w:rFonts w:hint="eastAsia"/>
                <w:i/>
                <w:iCs/>
                <w:sz w:val="24"/>
                <w:u w:val="single"/>
              </w:rPr>
              <w:t>本项目引用《</w:t>
            </w:r>
            <w:r>
              <w:rPr>
                <w:rFonts w:hint="eastAsia"/>
                <w:i/>
                <w:iCs/>
                <w:sz w:val="24"/>
                <w:u w:val="single"/>
                <w:lang w:eastAsia="zh-CN"/>
              </w:rPr>
              <w:t>吉林省巨程智造光电技术有限公司</w:t>
            </w:r>
            <w:r>
              <w:rPr>
                <w:rFonts w:hint="eastAsia"/>
                <w:i/>
                <w:iCs/>
                <w:sz w:val="24"/>
                <w:highlight w:val="none"/>
                <w:u w:val="single"/>
              </w:rPr>
              <w:t>建设项目环境影响报告表》对</w:t>
            </w:r>
            <w:r>
              <w:rPr>
                <w:rFonts w:hint="eastAsia"/>
                <w:i/>
                <w:iCs/>
                <w:sz w:val="24"/>
                <w:highlight w:val="none"/>
                <w:u w:val="single"/>
                <w:lang w:eastAsia="zh-CN"/>
              </w:rPr>
              <w:t>其项目地东北侧</w:t>
            </w:r>
            <w:r>
              <w:rPr>
                <w:rFonts w:hint="eastAsia"/>
                <w:i/>
                <w:iCs/>
                <w:sz w:val="24"/>
                <w:highlight w:val="none"/>
                <w:u w:val="single"/>
                <w:lang w:val="en-US" w:eastAsia="zh-CN"/>
              </w:rPr>
              <w:t>160m新浦路</w:t>
            </w:r>
            <w:r>
              <w:rPr>
                <w:rFonts w:hint="eastAsia"/>
                <w:i/>
                <w:iCs/>
                <w:sz w:val="24"/>
                <w:highlight w:val="none"/>
                <w:u w:val="single"/>
              </w:rPr>
              <w:t>的</w:t>
            </w:r>
            <w:r>
              <w:rPr>
                <w:rFonts w:hint="eastAsia"/>
                <w:i/>
                <w:iCs/>
                <w:sz w:val="24"/>
                <w:highlight w:val="none"/>
                <w:u w:val="single"/>
                <w:lang w:eastAsia="zh-CN"/>
              </w:rPr>
              <w:t>关于</w:t>
            </w:r>
            <w:r>
              <w:rPr>
                <w:rFonts w:hint="eastAsia"/>
                <w:i/>
                <w:iCs/>
                <w:sz w:val="24"/>
                <w:highlight w:val="none"/>
                <w:u w:val="single"/>
                <w:lang w:val="en-US" w:eastAsia="zh-CN"/>
              </w:rPr>
              <w:t>TSP的</w:t>
            </w:r>
            <w:r>
              <w:rPr>
                <w:rFonts w:hint="eastAsia"/>
                <w:i/>
                <w:iCs/>
                <w:sz w:val="24"/>
                <w:u w:val="single"/>
              </w:rPr>
              <w:t>监测</w:t>
            </w:r>
            <w:r>
              <w:rPr>
                <w:i/>
                <w:iCs/>
                <w:sz w:val="24"/>
                <w:u w:val="single"/>
              </w:rPr>
              <w:t>，具体点位详见下表</w:t>
            </w:r>
            <w:r>
              <w:rPr>
                <w:sz w:val="24"/>
              </w:rPr>
              <w:t>。</w:t>
            </w:r>
          </w:p>
          <w:p w14:paraId="4EB0405C">
            <w:pPr>
              <w:pStyle w:val="94"/>
              <w:numPr>
                <w:ilvl w:val="0"/>
                <w:numId w:val="0"/>
              </w:numPr>
              <w:adjustRightInd/>
              <w:snapToGrid/>
              <w:spacing w:line="240" w:lineRule="auto"/>
              <w:rPr>
                <w:b/>
                <w:bCs/>
                <w:color w:val="auto"/>
                <w:kern w:val="2"/>
                <w:szCs w:val="24"/>
              </w:rPr>
            </w:pPr>
            <w:r>
              <w:rPr>
                <w:rFonts w:hint="eastAsia"/>
                <w:b/>
                <w:bCs/>
                <w:color w:val="auto"/>
                <w:kern w:val="2"/>
                <w:szCs w:val="24"/>
              </w:rPr>
              <w:t>表3-2   环境空气质量现状监测点位布设情况</w:t>
            </w:r>
          </w:p>
          <w:tbl>
            <w:tblPr>
              <w:tblStyle w:val="27"/>
              <w:tblW w:w="9290"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1375"/>
              <w:gridCol w:w="1281"/>
              <w:gridCol w:w="1281"/>
              <w:gridCol w:w="4668"/>
            </w:tblGrid>
            <w:tr w14:paraId="3E8A2FD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685" w:type="dxa"/>
                  <w:noWrap w:val="0"/>
                  <w:vAlign w:val="center"/>
                </w:tcPr>
                <w:p w14:paraId="252D3171">
                  <w:pPr>
                    <w:jc w:val="center"/>
                  </w:pPr>
                  <w:r>
                    <w:t>序号</w:t>
                  </w:r>
                </w:p>
              </w:tc>
              <w:tc>
                <w:tcPr>
                  <w:tcW w:w="1375" w:type="dxa"/>
                  <w:noWrap w:val="0"/>
                  <w:vAlign w:val="center"/>
                </w:tcPr>
                <w:p w14:paraId="5FD371D3">
                  <w:pPr>
                    <w:jc w:val="center"/>
                  </w:pPr>
                  <w:r>
                    <w:t>监测点位</w:t>
                  </w:r>
                </w:p>
              </w:tc>
              <w:tc>
                <w:tcPr>
                  <w:tcW w:w="1281" w:type="dxa"/>
                  <w:noWrap w:val="0"/>
                  <w:vAlign w:val="center"/>
                </w:tcPr>
                <w:p w14:paraId="3E02B186">
                  <w:pPr>
                    <w:jc w:val="center"/>
                    <w:rPr>
                      <w:rFonts w:hint="eastAsia" w:eastAsia="宋体"/>
                      <w:lang w:eastAsia="zh-CN"/>
                    </w:rPr>
                  </w:pPr>
                  <w:r>
                    <w:rPr>
                      <w:rFonts w:hint="eastAsia"/>
                      <w:lang w:eastAsia="zh-CN"/>
                    </w:rPr>
                    <w:t>方位</w:t>
                  </w:r>
                </w:p>
              </w:tc>
              <w:tc>
                <w:tcPr>
                  <w:tcW w:w="1281" w:type="dxa"/>
                  <w:noWrap w:val="0"/>
                  <w:vAlign w:val="center"/>
                </w:tcPr>
                <w:p w14:paraId="60203719">
                  <w:pPr>
                    <w:jc w:val="center"/>
                    <w:rPr>
                      <w:rFonts w:hint="eastAsia"/>
                      <w:lang w:eastAsia="zh-CN"/>
                    </w:rPr>
                  </w:pPr>
                  <w:r>
                    <w:rPr>
                      <w:rFonts w:hint="eastAsia"/>
                      <w:lang w:eastAsia="zh-CN"/>
                    </w:rPr>
                    <w:t>距离</w:t>
                  </w:r>
                </w:p>
              </w:tc>
              <w:tc>
                <w:tcPr>
                  <w:tcW w:w="4668" w:type="dxa"/>
                  <w:noWrap w:val="0"/>
                  <w:vAlign w:val="center"/>
                </w:tcPr>
                <w:p w14:paraId="56B4243B">
                  <w:pPr>
                    <w:jc w:val="center"/>
                  </w:pPr>
                  <w:r>
                    <w:t>说明</w:t>
                  </w:r>
                </w:p>
              </w:tc>
            </w:tr>
            <w:tr w14:paraId="440AF5E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685" w:type="dxa"/>
                  <w:noWrap w:val="0"/>
                  <w:vAlign w:val="center"/>
                </w:tcPr>
                <w:p w14:paraId="04053318">
                  <w:pPr>
                    <w:jc w:val="center"/>
                  </w:pPr>
                  <w:r>
                    <w:t>A1</w:t>
                  </w:r>
                </w:p>
              </w:tc>
              <w:tc>
                <w:tcPr>
                  <w:tcW w:w="1375" w:type="dxa"/>
                  <w:noWrap w:val="0"/>
                  <w:vAlign w:val="center"/>
                </w:tcPr>
                <w:p w14:paraId="12C091D0">
                  <w:pPr>
                    <w:jc w:val="center"/>
                    <w:rPr>
                      <w:rFonts w:hint="eastAsia"/>
                    </w:rPr>
                  </w:pPr>
                  <w:r>
                    <w:rPr>
                      <w:rFonts w:hint="eastAsia"/>
                      <w:lang w:val="en-US" w:eastAsia="zh-CN"/>
                    </w:rPr>
                    <w:t>新浦路</w:t>
                  </w:r>
                </w:p>
              </w:tc>
              <w:tc>
                <w:tcPr>
                  <w:tcW w:w="1281" w:type="dxa"/>
                  <w:noWrap w:val="0"/>
                  <w:vAlign w:val="center"/>
                </w:tcPr>
                <w:p w14:paraId="32805DE4">
                  <w:pPr>
                    <w:jc w:val="center"/>
                    <w:rPr>
                      <w:rFonts w:hint="eastAsia" w:eastAsia="宋体"/>
                      <w:lang w:eastAsia="zh-CN"/>
                    </w:rPr>
                  </w:pPr>
                  <w:r>
                    <w:rPr>
                      <w:rFonts w:hint="eastAsia"/>
                      <w:lang w:eastAsia="zh-CN"/>
                    </w:rPr>
                    <w:t>西南侧</w:t>
                  </w:r>
                </w:p>
              </w:tc>
              <w:tc>
                <w:tcPr>
                  <w:tcW w:w="1281" w:type="dxa"/>
                  <w:noWrap w:val="0"/>
                  <w:vAlign w:val="center"/>
                </w:tcPr>
                <w:p w14:paraId="33720D1D">
                  <w:pPr>
                    <w:jc w:val="center"/>
                    <w:rPr>
                      <w:rFonts w:hint="default" w:eastAsia="宋体"/>
                      <w:lang w:val="en-US" w:eastAsia="zh-CN"/>
                    </w:rPr>
                  </w:pPr>
                  <w:r>
                    <w:rPr>
                      <w:rFonts w:hint="eastAsia"/>
                      <w:lang w:val="en-US" w:eastAsia="zh-CN"/>
                    </w:rPr>
                    <w:t>4100m</w:t>
                  </w:r>
                </w:p>
              </w:tc>
              <w:tc>
                <w:tcPr>
                  <w:tcW w:w="4668" w:type="dxa"/>
                  <w:noWrap w:val="0"/>
                  <w:vAlign w:val="center"/>
                </w:tcPr>
                <w:p w14:paraId="1A0C901A">
                  <w:pPr>
                    <w:jc w:val="center"/>
                  </w:pPr>
                  <w:r>
                    <w:rPr>
                      <w:rFonts w:hint="eastAsia"/>
                    </w:rPr>
                    <w:t>了解项目区域内最近居民处环境空气质量现状</w:t>
                  </w:r>
                </w:p>
              </w:tc>
            </w:tr>
          </w:tbl>
          <w:p w14:paraId="2A9D1D42">
            <w:pPr>
              <w:pStyle w:val="95"/>
              <w:adjustRightInd w:val="0"/>
              <w:snapToGrid w:val="0"/>
              <w:spacing w:line="360" w:lineRule="auto"/>
              <w:ind w:firstLine="480" w:firstLineChars="200"/>
              <w:rPr>
                <w:rFonts w:ascii="Times New Roman" w:hAnsi="Times New Roman"/>
                <w:color w:val="auto"/>
                <w:sz w:val="24"/>
              </w:rPr>
            </w:pPr>
          </w:p>
          <w:p w14:paraId="393E23FE">
            <w:pPr>
              <w:pStyle w:val="95"/>
              <w:adjustRightInd w:val="0"/>
              <w:snapToGrid w:val="0"/>
              <w:spacing w:line="360" w:lineRule="auto"/>
              <w:ind w:firstLine="480" w:firstLineChars="200"/>
              <w:rPr>
                <w:rFonts w:ascii="Times New Roman" w:hAnsi="Times New Roman"/>
                <w:color w:val="auto"/>
                <w:sz w:val="24"/>
                <w:szCs w:val="24"/>
              </w:rPr>
            </w:pPr>
            <w:r>
              <w:rPr>
                <w:rFonts w:ascii="Times New Roman" w:hAnsi="Times New Roman"/>
                <w:color w:val="auto"/>
                <w:sz w:val="24"/>
              </w:rPr>
              <w:t>2）</w:t>
            </w:r>
            <w:r>
              <w:rPr>
                <w:rFonts w:ascii="Times New Roman" w:hAnsi="Times New Roman"/>
                <w:color w:val="auto"/>
                <w:sz w:val="24"/>
                <w:szCs w:val="24"/>
              </w:rPr>
              <w:t>监测项目</w:t>
            </w:r>
          </w:p>
          <w:p w14:paraId="02EF2751">
            <w:pPr>
              <w:pStyle w:val="95"/>
              <w:adjustRightInd w:val="0"/>
              <w:snapToGrid w:val="0"/>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根据评价区域环境空气质量特征，确定环境空气监测因子为</w:t>
            </w:r>
            <w:r>
              <w:rPr>
                <w:rFonts w:hint="eastAsia" w:ascii="Times New Roman" w:hAnsi="Times New Roman"/>
                <w:color w:val="auto"/>
                <w:sz w:val="24"/>
                <w:szCs w:val="24"/>
              </w:rPr>
              <w:t>T</w:t>
            </w:r>
            <w:r>
              <w:rPr>
                <w:rFonts w:ascii="Times New Roman" w:hAnsi="Times New Roman"/>
                <w:color w:val="auto"/>
                <w:sz w:val="24"/>
                <w:szCs w:val="24"/>
              </w:rPr>
              <w:t>SP。</w:t>
            </w:r>
          </w:p>
          <w:p w14:paraId="0A86909A">
            <w:pPr>
              <w:pStyle w:val="95"/>
              <w:adjustRightInd w:val="0"/>
              <w:snapToGrid w:val="0"/>
              <w:spacing w:line="360" w:lineRule="auto"/>
              <w:ind w:firstLine="480" w:firstLineChars="200"/>
              <w:rPr>
                <w:rFonts w:ascii="Times New Roman" w:hAnsi="Times New Roman"/>
                <w:color w:val="auto"/>
                <w:sz w:val="24"/>
                <w:szCs w:val="24"/>
              </w:rPr>
            </w:pPr>
            <w:r>
              <w:rPr>
                <w:rFonts w:ascii="Times New Roman" w:hAnsi="Times New Roman"/>
                <w:color w:val="auto"/>
                <w:sz w:val="24"/>
              </w:rPr>
              <w:t>3）</w:t>
            </w:r>
            <w:r>
              <w:rPr>
                <w:rFonts w:ascii="Times New Roman" w:hAnsi="Times New Roman"/>
                <w:color w:val="auto"/>
                <w:sz w:val="24"/>
                <w:szCs w:val="24"/>
              </w:rPr>
              <w:t>监测单位及时间</w:t>
            </w:r>
          </w:p>
          <w:p w14:paraId="26B58926">
            <w:pPr>
              <w:pStyle w:val="95"/>
              <w:adjustRightInd w:val="0"/>
              <w:snapToGrid w:val="0"/>
              <w:spacing w:line="360" w:lineRule="auto"/>
              <w:ind w:firstLine="480" w:firstLineChars="200"/>
              <w:rPr>
                <w:rFonts w:ascii="Times New Roman" w:hAnsi="Times New Roman"/>
                <w:color w:val="auto"/>
                <w:sz w:val="24"/>
                <w:szCs w:val="24"/>
              </w:rPr>
            </w:pPr>
            <w:r>
              <w:rPr>
                <w:rFonts w:hint="eastAsia" w:ascii="Times New Roman" w:hAnsi="Times New Roman"/>
                <w:color w:val="auto"/>
                <w:sz w:val="24"/>
                <w:szCs w:val="24"/>
              </w:rPr>
              <w:t>吉林</w:t>
            </w:r>
            <w:r>
              <w:rPr>
                <w:rFonts w:hint="eastAsia" w:ascii="Times New Roman" w:hAnsi="Times New Roman"/>
                <w:color w:val="auto"/>
                <w:sz w:val="24"/>
                <w:szCs w:val="24"/>
                <w:lang w:eastAsia="zh-CN"/>
              </w:rPr>
              <w:t>省澳洋环保科技</w:t>
            </w:r>
            <w:r>
              <w:rPr>
                <w:rFonts w:hint="eastAsia" w:ascii="Times New Roman" w:hAnsi="Times New Roman"/>
                <w:color w:val="auto"/>
                <w:sz w:val="24"/>
                <w:szCs w:val="24"/>
              </w:rPr>
              <w:t>有限公司</w:t>
            </w:r>
            <w:r>
              <w:rPr>
                <w:rFonts w:ascii="Times New Roman" w:hAnsi="Times New Roman"/>
                <w:color w:val="auto"/>
                <w:sz w:val="24"/>
                <w:szCs w:val="24"/>
              </w:rPr>
              <w:t>202</w:t>
            </w:r>
            <w:r>
              <w:rPr>
                <w:rFonts w:hint="eastAsia" w:ascii="Times New Roman" w:hAnsi="Times New Roman"/>
                <w:color w:val="auto"/>
                <w:sz w:val="24"/>
                <w:szCs w:val="24"/>
                <w:lang w:val="en-US" w:eastAsia="zh-CN"/>
              </w:rPr>
              <w:t>3</w:t>
            </w:r>
            <w:r>
              <w:rPr>
                <w:rFonts w:ascii="Times New Roman" w:hAnsi="Times New Roman"/>
                <w:color w:val="auto"/>
                <w:sz w:val="24"/>
                <w:szCs w:val="24"/>
              </w:rPr>
              <w:t>年</w:t>
            </w:r>
            <w:r>
              <w:rPr>
                <w:rFonts w:hint="eastAsia" w:ascii="Times New Roman" w:hAnsi="Times New Roman"/>
                <w:color w:val="auto"/>
                <w:sz w:val="24"/>
                <w:szCs w:val="24"/>
                <w:lang w:val="en-US" w:eastAsia="zh-CN"/>
              </w:rPr>
              <w:t>1</w:t>
            </w:r>
            <w:r>
              <w:rPr>
                <w:rFonts w:hint="eastAsia" w:ascii="Times New Roman" w:hAnsi="Times New Roman"/>
                <w:color w:val="auto"/>
                <w:sz w:val="24"/>
                <w:szCs w:val="24"/>
              </w:rPr>
              <w:t>2</w:t>
            </w:r>
            <w:r>
              <w:rPr>
                <w:rFonts w:ascii="Times New Roman" w:hAnsi="Times New Roman"/>
                <w:color w:val="auto"/>
                <w:sz w:val="24"/>
                <w:szCs w:val="24"/>
              </w:rPr>
              <w:t>月</w:t>
            </w:r>
            <w:r>
              <w:rPr>
                <w:rFonts w:hint="eastAsia" w:ascii="Times New Roman" w:hAnsi="Times New Roman"/>
                <w:color w:val="auto"/>
                <w:sz w:val="24"/>
                <w:szCs w:val="24"/>
                <w:lang w:val="en-US" w:eastAsia="zh-CN"/>
              </w:rPr>
              <w:t>17</w:t>
            </w:r>
            <w:r>
              <w:rPr>
                <w:rFonts w:ascii="Times New Roman" w:hAnsi="Times New Roman"/>
                <w:color w:val="auto"/>
                <w:sz w:val="24"/>
                <w:szCs w:val="24"/>
              </w:rPr>
              <w:t>日</w:t>
            </w:r>
            <w:r>
              <w:rPr>
                <w:rFonts w:hint="eastAsia" w:ascii="Times New Roman" w:hAnsi="Times New Roman"/>
                <w:color w:val="auto"/>
                <w:sz w:val="24"/>
                <w:szCs w:val="24"/>
              </w:rPr>
              <w:t>-</w:t>
            </w:r>
            <w:r>
              <w:rPr>
                <w:rFonts w:hint="eastAsia" w:ascii="Times New Roman" w:hAnsi="Times New Roman"/>
                <w:color w:val="auto"/>
                <w:sz w:val="24"/>
                <w:szCs w:val="24"/>
                <w:lang w:val="en-US" w:eastAsia="zh-CN"/>
              </w:rPr>
              <w:t>1</w:t>
            </w:r>
            <w:r>
              <w:rPr>
                <w:rFonts w:hint="eastAsia" w:ascii="Times New Roman" w:hAnsi="Times New Roman"/>
                <w:color w:val="auto"/>
                <w:sz w:val="24"/>
                <w:szCs w:val="24"/>
              </w:rPr>
              <w:t>2</w:t>
            </w:r>
            <w:r>
              <w:rPr>
                <w:rFonts w:ascii="Times New Roman" w:hAnsi="Times New Roman"/>
                <w:color w:val="auto"/>
                <w:sz w:val="24"/>
                <w:szCs w:val="24"/>
              </w:rPr>
              <w:t>月</w:t>
            </w:r>
            <w:r>
              <w:rPr>
                <w:rFonts w:hint="eastAsia" w:ascii="Times New Roman" w:hAnsi="Times New Roman"/>
                <w:color w:val="auto"/>
                <w:sz w:val="24"/>
                <w:szCs w:val="24"/>
              </w:rPr>
              <w:t>1</w:t>
            </w:r>
            <w:r>
              <w:rPr>
                <w:rFonts w:hint="eastAsia" w:ascii="Times New Roman" w:hAnsi="Times New Roman"/>
                <w:color w:val="auto"/>
                <w:sz w:val="24"/>
                <w:szCs w:val="24"/>
                <w:lang w:val="en-US" w:eastAsia="zh-CN"/>
              </w:rPr>
              <w:t>9</w:t>
            </w:r>
            <w:r>
              <w:rPr>
                <w:rFonts w:ascii="Times New Roman" w:hAnsi="Times New Roman"/>
                <w:color w:val="auto"/>
                <w:sz w:val="24"/>
                <w:szCs w:val="24"/>
              </w:rPr>
              <w:t>日连续3d进行的现状监测数据。</w:t>
            </w:r>
          </w:p>
          <w:p w14:paraId="4AEC71EC">
            <w:pPr>
              <w:pStyle w:val="95"/>
              <w:adjustRightInd w:val="0"/>
              <w:snapToGrid w:val="0"/>
              <w:spacing w:line="360" w:lineRule="auto"/>
              <w:ind w:firstLine="480" w:firstLineChars="200"/>
              <w:rPr>
                <w:rFonts w:ascii="Times New Roman" w:hAnsi="Times New Roman"/>
                <w:color w:val="auto"/>
                <w:sz w:val="24"/>
                <w:szCs w:val="24"/>
              </w:rPr>
            </w:pPr>
            <w:r>
              <w:rPr>
                <w:rFonts w:ascii="Times New Roman" w:hAnsi="Times New Roman"/>
                <w:color w:val="auto"/>
                <w:sz w:val="24"/>
              </w:rPr>
              <w:t>4）评价标准</w:t>
            </w:r>
          </w:p>
          <w:p w14:paraId="529C5245">
            <w:pPr>
              <w:pStyle w:val="95"/>
              <w:adjustRightInd w:val="0"/>
              <w:snapToGrid w:val="0"/>
              <w:spacing w:line="360" w:lineRule="auto"/>
              <w:ind w:firstLine="480" w:firstLineChars="200"/>
              <w:rPr>
                <w:rFonts w:hint="eastAsia" w:ascii="Times New Roman" w:hAnsi="Times New Roman"/>
                <w:color w:val="auto"/>
                <w:sz w:val="24"/>
                <w:szCs w:val="24"/>
              </w:rPr>
            </w:pPr>
            <w:r>
              <w:rPr>
                <w:rFonts w:ascii="Times New Roman" w:hAnsi="Times New Roman"/>
                <w:color w:val="auto"/>
                <w:sz w:val="24"/>
                <w:szCs w:val="24"/>
              </w:rPr>
              <w:t>TSP选用《环境空气质量标准》（GB3095-2012）中的二级标准</w:t>
            </w:r>
            <w:r>
              <w:rPr>
                <w:rFonts w:hint="eastAsia" w:ascii="Times New Roman" w:hAnsi="Times New Roman"/>
                <w:color w:val="auto"/>
                <w:sz w:val="24"/>
                <w:szCs w:val="24"/>
              </w:rPr>
              <w:t>。</w:t>
            </w:r>
          </w:p>
          <w:p w14:paraId="721002A7">
            <w:pPr>
              <w:adjustRightInd w:val="0"/>
              <w:snapToGrid w:val="0"/>
              <w:spacing w:line="360" w:lineRule="auto"/>
              <w:ind w:firstLine="480" w:firstLineChars="200"/>
              <w:rPr>
                <w:sz w:val="24"/>
              </w:rPr>
            </w:pPr>
            <w:r>
              <w:rPr>
                <w:rFonts w:hint="eastAsia"/>
                <w:sz w:val="24"/>
              </w:rPr>
              <w:t>5</w:t>
            </w:r>
            <w:r>
              <w:rPr>
                <w:sz w:val="24"/>
              </w:rPr>
              <w:t>）监测结果及评价</w:t>
            </w:r>
          </w:p>
          <w:p w14:paraId="64816203">
            <w:pPr>
              <w:adjustRightInd w:val="0"/>
              <w:snapToGrid w:val="0"/>
              <w:spacing w:line="360" w:lineRule="auto"/>
              <w:ind w:firstLine="480" w:firstLineChars="200"/>
              <w:rPr>
                <w:sz w:val="24"/>
              </w:rPr>
            </w:pPr>
            <w:r>
              <w:rPr>
                <w:sz w:val="24"/>
              </w:rPr>
              <w:t>环境空气质量现状监测与评价统计结果见下表。</w:t>
            </w:r>
          </w:p>
          <w:p w14:paraId="33467D21">
            <w:pPr>
              <w:pStyle w:val="94"/>
              <w:numPr>
                <w:ilvl w:val="0"/>
                <w:numId w:val="0"/>
              </w:numPr>
              <w:adjustRightInd/>
              <w:snapToGrid/>
              <w:spacing w:line="240" w:lineRule="auto"/>
              <w:rPr>
                <w:b/>
                <w:bCs/>
                <w:color w:val="auto"/>
                <w:kern w:val="2"/>
                <w:szCs w:val="24"/>
              </w:rPr>
            </w:pPr>
            <w:r>
              <w:rPr>
                <w:rFonts w:hint="eastAsia"/>
                <w:b/>
                <w:bCs/>
                <w:color w:val="auto"/>
                <w:kern w:val="2"/>
                <w:szCs w:val="24"/>
              </w:rPr>
              <w:t>表3-3  环境空气现状质量评价结果统计表</w:t>
            </w:r>
          </w:p>
          <w:tbl>
            <w:tblPr>
              <w:tblStyle w:val="27"/>
              <w:tblW w:w="4997"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460"/>
              <w:gridCol w:w="2413"/>
              <w:gridCol w:w="2216"/>
              <w:gridCol w:w="1248"/>
              <w:gridCol w:w="1218"/>
            </w:tblGrid>
            <w:tr w14:paraId="6363BE8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8" w:hRule="atLeast"/>
              </w:trPr>
              <w:tc>
                <w:tcPr>
                  <w:tcW w:w="393" w:type="pct"/>
                  <w:tcBorders>
                    <w:bottom w:val="single" w:color="auto" w:sz="4" w:space="0"/>
                  </w:tcBorders>
                  <w:noWrap w:val="0"/>
                  <w:vAlign w:val="center"/>
                </w:tcPr>
                <w:p w14:paraId="09727295">
                  <w:pPr>
                    <w:jc w:val="center"/>
                    <w:rPr>
                      <w:snapToGrid w:val="0"/>
                    </w:rPr>
                  </w:pPr>
                  <w:r>
                    <w:rPr>
                      <w:snapToGrid w:val="0"/>
                    </w:rPr>
                    <w:t>监测</w:t>
                  </w:r>
                </w:p>
                <w:p w14:paraId="7A85F44E">
                  <w:pPr>
                    <w:jc w:val="center"/>
                    <w:rPr>
                      <w:snapToGrid w:val="0"/>
                    </w:rPr>
                  </w:pPr>
                  <w:r>
                    <w:rPr>
                      <w:snapToGrid w:val="0"/>
                    </w:rPr>
                    <w:t>点位</w:t>
                  </w:r>
                </w:p>
              </w:tc>
              <w:tc>
                <w:tcPr>
                  <w:tcW w:w="786" w:type="pct"/>
                  <w:tcBorders>
                    <w:bottom w:val="single" w:color="auto" w:sz="4" w:space="0"/>
                  </w:tcBorders>
                  <w:noWrap w:val="0"/>
                  <w:vAlign w:val="center"/>
                </w:tcPr>
                <w:p w14:paraId="5A3B2114">
                  <w:pPr>
                    <w:jc w:val="center"/>
                    <w:rPr>
                      <w:snapToGrid w:val="0"/>
                    </w:rPr>
                  </w:pPr>
                  <w:r>
                    <w:rPr>
                      <w:snapToGrid w:val="0"/>
                    </w:rPr>
                    <w:t>污染物</w:t>
                  </w:r>
                </w:p>
              </w:tc>
              <w:tc>
                <w:tcPr>
                  <w:tcW w:w="1299" w:type="pct"/>
                  <w:tcBorders>
                    <w:bottom w:val="single" w:color="auto" w:sz="4" w:space="0"/>
                    <w:right w:val="single" w:color="auto" w:sz="2" w:space="0"/>
                  </w:tcBorders>
                  <w:noWrap w:val="0"/>
                  <w:vAlign w:val="center"/>
                </w:tcPr>
                <w:p w14:paraId="2639C3B6">
                  <w:pPr>
                    <w:jc w:val="center"/>
                  </w:pPr>
                  <w:r>
                    <w:rPr>
                      <w:snapToGrid w:val="0"/>
                    </w:rPr>
                    <w:t>监测浓度范围m</w:t>
                  </w:r>
                  <w:r>
                    <w:t>g</w:t>
                  </w:r>
                  <w:r>
                    <w:rPr>
                      <w:snapToGrid w:val="0"/>
                    </w:rPr>
                    <w:t>/m</w:t>
                  </w:r>
                  <w:r>
                    <w:rPr>
                      <w:snapToGrid w:val="0"/>
                      <w:vertAlign w:val="superscript"/>
                    </w:rPr>
                    <w:t>3</w:t>
                  </w:r>
                </w:p>
              </w:tc>
              <w:tc>
                <w:tcPr>
                  <w:tcW w:w="1193" w:type="pct"/>
                  <w:tcBorders>
                    <w:bottom w:val="single" w:color="auto" w:sz="4" w:space="0"/>
                    <w:right w:val="single" w:color="auto" w:sz="2" w:space="0"/>
                  </w:tcBorders>
                  <w:noWrap w:val="0"/>
                  <w:vAlign w:val="center"/>
                </w:tcPr>
                <w:p w14:paraId="1EE1C525">
                  <w:pPr>
                    <w:jc w:val="center"/>
                    <w:rPr>
                      <w:snapToGrid w:val="0"/>
                    </w:rPr>
                  </w:pPr>
                  <w:r>
                    <w:rPr>
                      <w:snapToGrid w:val="0"/>
                    </w:rPr>
                    <w:t>最大浓度占标率/%</w:t>
                  </w:r>
                </w:p>
              </w:tc>
              <w:tc>
                <w:tcPr>
                  <w:tcW w:w="672" w:type="pct"/>
                  <w:tcBorders>
                    <w:left w:val="single" w:color="auto" w:sz="2" w:space="0"/>
                    <w:bottom w:val="single" w:color="auto" w:sz="4" w:space="0"/>
                  </w:tcBorders>
                  <w:noWrap w:val="0"/>
                  <w:vAlign w:val="center"/>
                </w:tcPr>
                <w:p w14:paraId="4883DF42">
                  <w:pPr>
                    <w:jc w:val="center"/>
                    <w:rPr>
                      <w:snapToGrid w:val="0"/>
                    </w:rPr>
                  </w:pPr>
                  <w:r>
                    <w:rPr>
                      <w:snapToGrid w:val="0"/>
                    </w:rPr>
                    <w:t>超标率/%</w:t>
                  </w:r>
                </w:p>
              </w:tc>
              <w:tc>
                <w:tcPr>
                  <w:tcW w:w="655" w:type="pct"/>
                  <w:tcBorders>
                    <w:left w:val="single" w:color="auto" w:sz="2" w:space="0"/>
                    <w:bottom w:val="single" w:color="auto" w:sz="4" w:space="0"/>
                  </w:tcBorders>
                  <w:noWrap w:val="0"/>
                  <w:vAlign w:val="center"/>
                </w:tcPr>
                <w:p w14:paraId="58BB7269">
                  <w:pPr>
                    <w:jc w:val="center"/>
                    <w:rPr>
                      <w:snapToGrid w:val="0"/>
                    </w:rPr>
                  </w:pPr>
                  <w:r>
                    <w:rPr>
                      <w:snapToGrid w:val="0"/>
                    </w:rPr>
                    <w:t>达标情况</w:t>
                  </w:r>
                </w:p>
              </w:tc>
            </w:tr>
            <w:tr w14:paraId="520B1BA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27" w:hRule="atLeast"/>
              </w:trPr>
              <w:tc>
                <w:tcPr>
                  <w:tcW w:w="393" w:type="pct"/>
                  <w:noWrap w:val="0"/>
                  <w:vAlign w:val="center"/>
                </w:tcPr>
                <w:p w14:paraId="611CE4BB">
                  <w:pPr>
                    <w:jc w:val="center"/>
                    <w:rPr>
                      <w:snapToGrid w:val="0"/>
                    </w:rPr>
                  </w:pPr>
                  <w:r>
                    <w:rPr>
                      <w:snapToGrid w:val="0"/>
                    </w:rPr>
                    <w:t>A1</w:t>
                  </w:r>
                </w:p>
              </w:tc>
              <w:tc>
                <w:tcPr>
                  <w:tcW w:w="786" w:type="pct"/>
                  <w:noWrap w:val="0"/>
                  <w:vAlign w:val="center"/>
                </w:tcPr>
                <w:p w14:paraId="574FA257">
                  <w:pPr>
                    <w:jc w:val="center"/>
                  </w:pPr>
                  <w:r>
                    <w:t>TSP</w:t>
                  </w:r>
                </w:p>
              </w:tc>
              <w:tc>
                <w:tcPr>
                  <w:tcW w:w="1299" w:type="pct"/>
                  <w:tcBorders>
                    <w:right w:val="single" w:color="auto" w:sz="2" w:space="0"/>
                  </w:tcBorders>
                  <w:noWrap w:val="0"/>
                  <w:vAlign w:val="center"/>
                </w:tcPr>
                <w:p w14:paraId="1E0F2B5E">
                  <w:pPr>
                    <w:jc w:val="center"/>
                    <w:rPr>
                      <w:rFonts w:hint="default" w:eastAsia="宋体"/>
                      <w:lang w:val="en-US" w:eastAsia="zh-CN"/>
                    </w:rPr>
                  </w:pPr>
                  <w:r>
                    <w:t>0.0</w:t>
                  </w:r>
                  <w:r>
                    <w:rPr>
                      <w:rFonts w:hint="eastAsia"/>
                      <w:lang w:val="en-US" w:eastAsia="zh-CN"/>
                    </w:rPr>
                    <w:t>93</w:t>
                  </w:r>
                  <w:r>
                    <w:t>-0.0</w:t>
                  </w:r>
                  <w:r>
                    <w:rPr>
                      <w:rFonts w:hint="eastAsia"/>
                      <w:lang w:val="en-US" w:eastAsia="zh-CN"/>
                    </w:rPr>
                    <w:t>97</w:t>
                  </w:r>
                </w:p>
              </w:tc>
              <w:tc>
                <w:tcPr>
                  <w:tcW w:w="1193" w:type="pct"/>
                  <w:tcBorders>
                    <w:right w:val="single" w:color="auto" w:sz="2" w:space="0"/>
                  </w:tcBorders>
                  <w:noWrap w:val="0"/>
                  <w:vAlign w:val="center"/>
                </w:tcPr>
                <w:p w14:paraId="59B5D841">
                  <w:pPr>
                    <w:jc w:val="center"/>
                    <w:rPr>
                      <w:rFonts w:hint="default" w:eastAsia="宋体"/>
                      <w:lang w:val="en-US" w:eastAsia="zh-CN"/>
                    </w:rPr>
                  </w:pPr>
                  <w:r>
                    <w:rPr>
                      <w:rFonts w:hint="eastAsia"/>
                      <w:lang w:val="en-US" w:eastAsia="zh-CN"/>
                    </w:rPr>
                    <w:t>32.33</w:t>
                  </w:r>
                </w:p>
              </w:tc>
              <w:tc>
                <w:tcPr>
                  <w:tcW w:w="672" w:type="pct"/>
                  <w:tcBorders>
                    <w:left w:val="single" w:color="auto" w:sz="2" w:space="0"/>
                  </w:tcBorders>
                  <w:noWrap w:val="0"/>
                  <w:vAlign w:val="center"/>
                </w:tcPr>
                <w:p w14:paraId="396569EC">
                  <w:pPr>
                    <w:jc w:val="center"/>
                  </w:pPr>
                  <w:r>
                    <w:t>0</w:t>
                  </w:r>
                </w:p>
              </w:tc>
              <w:tc>
                <w:tcPr>
                  <w:tcW w:w="655" w:type="pct"/>
                  <w:tcBorders>
                    <w:left w:val="single" w:color="auto" w:sz="2" w:space="0"/>
                  </w:tcBorders>
                  <w:noWrap w:val="0"/>
                  <w:vAlign w:val="top"/>
                </w:tcPr>
                <w:p w14:paraId="22BFEA06">
                  <w:pPr>
                    <w:jc w:val="center"/>
                  </w:pPr>
                  <w:r>
                    <w:t>达标</w:t>
                  </w:r>
                </w:p>
              </w:tc>
            </w:tr>
          </w:tbl>
          <w:p w14:paraId="68431BEE">
            <w:pPr>
              <w:spacing w:line="360" w:lineRule="auto"/>
              <w:ind w:firstLine="480" w:firstLineChars="200"/>
              <w:rPr>
                <w:sz w:val="24"/>
              </w:rPr>
            </w:pPr>
          </w:p>
          <w:p w14:paraId="6FB0DAF9">
            <w:pPr>
              <w:spacing w:line="360" w:lineRule="auto"/>
              <w:ind w:firstLine="480"/>
              <w:rPr>
                <w:sz w:val="24"/>
              </w:rPr>
            </w:pPr>
            <w:r>
              <w:rPr>
                <w:sz w:val="24"/>
              </w:rPr>
              <w:t>由上表可以看出，监测点位的</w:t>
            </w:r>
            <w:r>
              <w:rPr>
                <w:rFonts w:hint="eastAsia"/>
                <w:sz w:val="24"/>
                <w:lang w:val="en-US" w:eastAsia="zh-CN"/>
              </w:rPr>
              <w:t>TSP</w:t>
            </w:r>
            <w:r>
              <w:rPr>
                <w:sz w:val="24"/>
              </w:rPr>
              <w:t>的最大占标率均小于100%，</w:t>
            </w:r>
            <w:r>
              <w:rPr>
                <w:rFonts w:hint="eastAsia"/>
                <w:kern w:val="8"/>
                <w:sz w:val="24"/>
              </w:rPr>
              <w:t>TSP能满足《环境空气质量标准》（GB3095-2012）中二级标准要求</w:t>
            </w:r>
            <w:r>
              <w:rPr>
                <w:sz w:val="24"/>
              </w:rPr>
              <w:t>，说明区域环境空气质量较好，具有一定环境容量</w:t>
            </w:r>
            <w:r>
              <w:rPr>
                <w:rFonts w:hint="eastAsia"/>
                <w:sz w:val="24"/>
              </w:rPr>
              <w:t>。</w:t>
            </w:r>
          </w:p>
          <w:p w14:paraId="3B29CAA4">
            <w:pPr>
              <w:spacing w:line="360" w:lineRule="auto"/>
              <w:ind w:firstLine="482" w:firstLineChars="200"/>
              <w:rPr>
                <w:b/>
                <w:sz w:val="24"/>
              </w:rPr>
            </w:pPr>
            <w:r>
              <w:rPr>
                <w:b/>
                <w:sz w:val="24"/>
              </w:rPr>
              <w:t>2、地表水环境</w:t>
            </w:r>
          </w:p>
          <w:p w14:paraId="1EE997BB">
            <w:pPr>
              <w:autoSpaceDE w:val="0"/>
              <w:spacing w:line="360" w:lineRule="auto"/>
              <w:ind w:firstLine="480" w:firstLineChars="200"/>
              <w:rPr>
                <w:kern w:val="0"/>
                <w:sz w:val="24"/>
                <w:szCs w:val="20"/>
              </w:rPr>
            </w:pPr>
            <w:bookmarkStart w:id="4" w:name="_Toc51728877"/>
            <w:bookmarkStart w:id="5" w:name="_Toc33794245"/>
            <w:bookmarkStart w:id="6" w:name="_Toc34116837"/>
            <w:bookmarkStart w:id="7" w:name="_Toc51772336"/>
            <w:bookmarkStart w:id="8" w:name="_Toc34552097"/>
            <w:r>
              <w:rPr>
                <w:kern w:val="0"/>
                <w:sz w:val="24"/>
                <w:szCs w:val="20"/>
              </w:rPr>
              <w:t>距本项目</w:t>
            </w:r>
            <w:r>
              <w:rPr>
                <w:rFonts w:hint="eastAsia"/>
                <w:kern w:val="0"/>
                <w:sz w:val="24"/>
                <w:szCs w:val="20"/>
                <w:lang w:eastAsia="zh-CN"/>
              </w:rPr>
              <w:t>受纳</w:t>
            </w:r>
            <w:r>
              <w:rPr>
                <w:rFonts w:hint="eastAsia"/>
                <w:kern w:val="0"/>
                <w:sz w:val="24"/>
                <w:szCs w:val="20"/>
              </w:rPr>
              <w:t>水体为干雾海河</w:t>
            </w:r>
            <w:r>
              <w:rPr>
                <w:kern w:val="0"/>
                <w:sz w:val="24"/>
                <w:szCs w:val="20"/>
              </w:rPr>
              <w:t>，属于</w:t>
            </w:r>
            <w:r>
              <w:rPr>
                <w:rFonts w:hint="eastAsia"/>
                <w:kern w:val="0"/>
                <w:sz w:val="24"/>
                <w:szCs w:val="20"/>
              </w:rPr>
              <w:t>雾开河</w:t>
            </w:r>
            <w:r>
              <w:rPr>
                <w:kern w:val="0"/>
                <w:sz w:val="24"/>
                <w:szCs w:val="20"/>
              </w:rPr>
              <w:t>一级支流，根据《吉林省地表水功能区划》（DB22/388-2004），</w:t>
            </w:r>
            <w:r>
              <w:rPr>
                <w:rFonts w:hint="eastAsia"/>
                <w:sz w:val="24"/>
              </w:rPr>
              <w:t>干雾海河河口-河口为雾开河德惠市农业用水区，为</w:t>
            </w:r>
            <w:r>
              <w:rPr>
                <w:sz w:val="24"/>
              </w:rPr>
              <w:t>Ⅳ</w:t>
            </w:r>
            <w:r>
              <w:rPr>
                <w:rFonts w:hint="eastAsia"/>
                <w:sz w:val="24"/>
              </w:rPr>
              <w:t>类水体功能区</w:t>
            </w:r>
            <w:r>
              <w:rPr>
                <w:kern w:val="0"/>
                <w:sz w:val="24"/>
                <w:szCs w:val="20"/>
              </w:rPr>
              <w:t>，执行《地表水环境质量标准》（GB3838-2002）中</w:t>
            </w:r>
            <w:r>
              <w:rPr>
                <w:sz w:val="24"/>
              </w:rPr>
              <w:t>Ⅳ</w:t>
            </w:r>
            <w:r>
              <w:rPr>
                <w:kern w:val="0"/>
                <w:sz w:val="24"/>
                <w:szCs w:val="20"/>
              </w:rPr>
              <w:t>类标准。</w:t>
            </w:r>
            <w:r>
              <w:rPr>
                <w:sz w:val="24"/>
                <w:szCs w:val="28"/>
              </w:rPr>
              <w:t>本次采用吉林省生态环境厅发布的2023年1月-12月吉林省江河国控断面水质月报，</w:t>
            </w:r>
            <w:r>
              <w:rPr>
                <w:kern w:val="0"/>
                <w:sz w:val="24"/>
                <w:szCs w:val="20"/>
              </w:rPr>
              <w:t>具体水质</w:t>
            </w:r>
            <w:r>
              <w:rPr>
                <w:rFonts w:hint="eastAsia"/>
                <w:kern w:val="0"/>
                <w:sz w:val="24"/>
                <w:szCs w:val="20"/>
              </w:rPr>
              <w:t>监测结果</w:t>
            </w:r>
            <w:r>
              <w:rPr>
                <w:kern w:val="0"/>
                <w:sz w:val="24"/>
                <w:szCs w:val="20"/>
              </w:rPr>
              <w:t>见下表。</w:t>
            </w:r>
          </w:p>
          <w:p w14:paraId="071A8E94">
            <w:pPr>
              <w:jc w:val="center"/>
              <w:rPr>
                <w:b/>
                <w:bCs/>
                <w:sz w:val="24"/>
              </w:rPr>
            </w:pPr>
            <w:r>
              <w:rPr>
                <w:rFonts w:hint="eastAsia"/>
                <w:b/>
                <w:bCs/>
                <w:sz w:val="24"/>
              </w:rPr>
              <w:t xml:space="preserve">表3-4 </w:t>
            </w:r>
            <w:r>
              <w:rPr>
                <w:b/>
                <w:bCs/>
                <w:sz w:val="24"/>
              </w:rPr>
              <w:t xml:space="preserve">  202</w:t>
            </w:r>
            <w:r>
              <w:rPr>
                <w:rFonts w:hint="eastAsia"/>
                <w:b/>
                <w:bCs/>
                <w:sz w:val="24"/>
              </w:rPr>
              <w:t>3年浑江水质现状状况评价结果</w:t>
            </w:r>
          </w:p>
          <w:tbl>
            <w:tblPr>
              <w:tblStyle w:val="27"/>
              <w:tblW w:w="4998" w:type="pct"/>
              <w:jc w:val="center"/>
              <w:tblBorders>
                <w:top w:val="single" w:color="auto" w:sz="12" w:space="0"/>
                <w:left w:val="none" w:color="auto" w:sz="4" w:space="0"/>
                <w:bottom w:val="single" w:color="auto" w:sz="12" w:space="0"/>
                <w:right w:val="non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2318"/>
              <w:gridCol w:w="1448"/>
              <w:gridCol w:w="2392"/>
              <w:gridCol w:w="1682"/>
            </w:tblGrid>
            <w:tr w14:paraId="2A5F3C62">
              <w:tblPrEx>
                <w:tblBorders>
                  <w:top w:val="single" w:color="auto" w:sz="12" w:space="0"/>
                  <w:left w:val="none" w:color="auto" w:sz="4" w:space="0"/>
                  <w:bottom w:val="single" w:color="auto" w:sz="12" w:space="0"/>
                  <w:right w:val="non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pct"/>
                  <w:tcBorders>
                    <w:top w:val="single" w:color="auto" w:sz="12" w:space="0"/>
                    <w:left w:val="nil"/>
                    <w:bottom w:val="single" w:color="auto" w:sz="4" w:space="0"/>
                    <w:right w:val="single" w:color="auto" w:sz="4" w:space="0"/>
                  </w:tcBorders>
                  <w:noWrap w:val="0"/>
                  <w:vAlign w:val="center"/>
                </w:tcPr>
                <w:p w14:paraId="0A2EB793">
                  <w:pPr>
                    <w:widowControl/>
                    <w:autoSpaceDE w:val="0"/>
                    <w:snapToGrid w:val="0"/>
                    <w:jc w:val="center"/>
                  </w:pPr>
                  <w:r>
                    <w:t>河流名称</w:t>
                  </w:r>
                </w:p>
              </w:tc>
              <w:tc>
                <w:tcPr>
                  <w:tcW w:w="1247" w:type="pct"/>
                  <w:tcBorders>
                    <w:top w:val="single" w:color="auto" w:sz="12" w:space="0"/>
                    <w:left w:val="single" w:color="auto" w:sz="4" w:space="0"/>
                    <w:bottom w:val="single" w:color="auto" w:sz="4" w:space="0"/>
                    <w:right w:val="single" w:color="auto" w:sz="4" w:space="0"/>
                  </w:tcBorders>
                  <w:noWrap w:val="0"/>
                  <w:vAlign w:val="center"/>
                </w:tcPr>
                <w:p w14:paraId="392B692D">
                  <w:pPr>
                    <w:widowControl/>
                    <w:autoSpaceDE w:val="0"/>
                    <w:snapToGrid w:val="0"/>
                    <w:jc w:val="center"/>
                  </w:pPr>
                  <w:r>
                    <w:t>断面名称</w:t>
                  </w:r>
                </w:p>
              </w:tc>
              <w:tc>
                <w:tcPr>
                  <w:tcW w:w="779" w:type="pct"/>
                  <w:tcBorders>
                    <w:top w:val="single" w:color="auto" w:sz="12" w:space="0"/>
                    <w:left w:val="single" w:color="auto" w:sz="4" w:space="0"/>
                    <w:bottom w:val="single" w:color="auto" w:sz="4" w:space="0"/>
                    <w:right w:val="single" w:color="auto" w:sz="4" w:space="0"/>
                  </w:tcBorders>
                  <w:noWrap w:val="0"/>
                  <w:vAlign w:val="center"/>
                </w:tcPr>
                <w:p w14:paraId="0E1AA56B">
                  <w:pPr>
                    <w:widowControl/>
                    <w:autoSpaceDE w:val="0"/>
                    <w:snapToGrid w:val="0"/>
                    <w:jc w:val="center"/>
                  </w:pPr>
                  <w:r>
                    <w:t>水体功能</w:t>
                  </w:r>
                </w:p>
              </w:tc>
              <w:tc>
                <w:tcPr>
                  <w:tcW w:w="1287" w:type="pct"/>
                  <w:tcBorders>
                    <w:top w:val="single" w:color="auto" w:sz="12" w:space="0"/>
                    <w:left w:val="single" w:color="auto" w:sz="4" w:space="0"/>
                    <w:bottom w:val="single" w:color="auto" w:sz="4" w:space="0"/>
                    <w:right w:val="single" w:color="auto" w:sz="4" w:space="0"/>
                  </w:tcBorders>
                  <w:noWrap w:val="0"/>
                  <w:vAlign w:val="center"/>
                </w:tcPr>
                <w:p w14:paraId="78AF7A19">
                  <w:pPr>
                    <w:widowControl/>
                    <w:autoSpaceDE w:val="0"/>
                    <w:snapToGrid w:val="0"/>
                    <w:jc w:val="center"/>
                  </w:pPr>
                  <w:r>
                    <w:t>水质状况</w:t>
                  </w:r>
                </w:p>
              </w:tc>
              <w:tc>
                <w:tcPr>
                  <w:tcW w:w="905" w:type="pct"/>
                  <w:tcBorders>
                    <w:top w:val="single" w:color="auto" w:sz="12" w:space="0"/>
                    <w:left w:val="single" w:color="auto" w:sz="4" w:space="0"/>
                    <w:right w:val="nil"/>
                  </w:tcBorders>
                  <w:noWrap w:val="0"/>
                  <w:vAlign w:val="center"/>
                </w:tcPr>
                <w:p w14:paraId="286DD12D">
                  <w:pPr>
                    <w:widowControl/>
                    <w:autoSpaceDE w:val="0"/>
                    <w:snapToGrid w:val="0"/>
                    <w:jc w:val="center"/>
                  </w:pPr>
                  <w:r>
                    <w:t>月份</w:t>
                  </w:r>
                </w:p>
              </w:tc>
            </w:tr>
            <w:tr w14:paraId="41B15F53">
              <w:tblPrEx>
                <w:tblBorders>
                  <w:top w:val="single" w:color="auto" w:sz="12" w:space="0"/>
                  <w:left w:val="none" w:color="auto" w:sz="4" w:space="0"/>
                  <w:bottom w:val="single" w:color="auto" w:sz="12"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79" w:type="pct"/>
                  <w:vMerge w:val="restart"/>
                  <w:tcBorders>
                    <w:top w:val="single" w:color="auto" w:sz="4" w:space="0"/>
                    <w:left w:val="nil"/>
                    <w:right w:val="single" w:color="auto" w:sz="4" w:space="0"/>
                  </w:tcBorders>
                  <w:noWrap w:val="0"/>
                  <w:vAlign w:val="center"/>
                </w:tcPr>
                <w:p w14:paraId="417CA523">
                  <w:pPr>
                    <w:widowControl/>
                    <w:autoSpaceDE w:val="0"/>
                    <w:snapToGrid w:val="0"/>
                    <w:jc w:val="center"/>
                    <w:rPr>
                      <w:rFonts w:hint="eastAsia"/>
                    </w:rPr>
                  </w:pPr>
                  <w:r>
                    <w:rPr>
                      <w:rFonts w:hint="eastAsia"/>
                    </w:rPr>
                    <w:t>雾开河</w:t>
                  </w:r>
                </w:p>
              </w:tc>
              <w:tc>
                <w:tcPr>
                  <w:tcW w:w="1247" w:type="pct"/>
                  <w:vMerge w:val="restart"/>
                  <w:tcBorders>
                    <w:top w:val="single" w:color="auto" w:sz="4" w:space="0"/>
                    <w:left w:val="single" w:color="auto" w:sz="4" w:space="0"/>
                    <w:right w:val="single" w:color="auto" w:sz="4" w:space="0"/>
                  </w:tcBorders>
                  <w:noWrap w:val="0"/>
                  <w:vAlign w:val="center"/>
                </w:tcPr>
                <w:p w14:paraId="5C42F9A5">
                  <w:pPr>
                    <w:jc w:val="center"/>
                    <w:rPr>
                      <w:rFonts w:hint="eastAsia"/>
                    </w:rPr>
                  </w:pPr>
                  <w:r>
                    <w:rPr>
                      <w:rFonts w:hint="eastAsia"/>
                    </w:rPr>
                    <w:t>十三家子大桥</w:t>
                  </w:r>
                </w:p>
              </w:tc>
              <w:tc>
                <w:tcPr>
                  <w:tcW w:w="779" w:type="pct"/>
                  <w:vMerge w:val="restart"/>
                  <w:tcBorders>
                    <w:top w:val="single" w:color="auto" w:sz="4" w:space="0"/>
                    <w:left w:val="single" w:color="auto" w:sz="4" w:space="0"/>
                    <w:right w:val="single" w:color="auto" w:sz="4" w:space="0"/>
                  </w:tcBorders>
                  <w:noWrap w:val="0"/>
                  <w:vAlign w:val="center"/>
                </w:tcPr>
                <w:p w14:paraId="157CED2A">
                  <w:pPr>
                    <w:widowControl/>
                    <w:autoSpaceDE w:val="0"/>
                    <w:snapToGrid w:val="0"/>
                    <w:jc w:val="center"/>
                  </w:pPr>
                  <w:r>
                    <w:t>Ⅳ类</w:t>
                  </w:r>
                </w:p>
              </w:tc>
              <w:tc>
                <w:tcPr>
                  <w:tcW w:w="1287" w:type="pct"/>
                  <w:tcBorders>
                    <w:top w:val="single" w:color="auto" w:sz="4" w:space="0"/>
                    <w:left w:val="single" w:color="auto" w:sz="4" w:space="0"/>
                    <w:bottom w:val="single" w:color="auto" w:sz="4" w:space="0"/>
                    <w:right w:val="single" w:color="auto" w:sz="4" w:space="0"/>
                  </w:tcBorders>
                  <w:noWrap w:val="0"/>
                  <w:vAlign w:val="center"/>
                </w:tcPr>
                <w:p w14:paraId="4009A334">
                  <w:pPr>
                    <w:widowControl/>
                    <w:autoSpaceDE w:val="0"/>
                    <w:snapToGrid w:val="0"/>
                    <w:jc w:val="center"/>
                  </w:pPr>
                  <w:r>
                    <w:t>Ⅲ类</w:t>
                  </w:r>
                </w:p>
              </w:tc>
              <w:tc>
                <w:tcPr>
                  <w:tcW w:w="905" w:type="pct"/>
                  <w:tcBorders>
                    <w:left w:val="single" w:color="auto" w:sz="4" w:space="0"/>
                    <w:bottom w:val="single" w:color="auto" w:sz="4" w:space="0"/>
                    <w:right w:val="nil"/>
                  </w:tcBorders>
                  <w:noWrap w:val="0"/>
                  <w:vAlign w:val="center"/>
                </w:tcPr>
                <w:p w14:paraId="22EC09B6">
                  <w:pPr>
                    <w:widowControl/>
                    <w:autoSpaceDE w:val="0"/>
                    <w:snapToGrid w:val="0"/>
                    <w:jc w:val="center"/>
                  </w:pPr>
                  <w:r>
                    <w:t>1</w:t>
                  </w:r>
                </w:p>
              </w:tc>
            </w:tr>
            <w:tr w14:paraId="4D5EB6D1">
              <w:tblPrEx>
                <w:tblBorders>
                  <w:top w:val="single" w:color="auto" w:sz="12" w:space="0"/>
                  <w:left w:val="none" w:color="auto" w:sz="4" w:space="0"/>
                  <w:bottom w:val="single" w:color="auto" w:sz="12"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79" w:type="pct"/>
                  <w:vMerge w:val="continue"/>
                  <w:tcBorders>
                    <w:left w:val="nil"/>
                    <w:right w:val="single" w:color="auto" w:sz="4" w:space="0"/>
                  </w:tcBorders>
                  <w:noWrap w:val="0"/>
                  <w:vAlign w:val="center"/>
                </w:tcPr>
                <w:p w14:paraId="6C74D02A">
                  <w:pPr>
                    <w:widowControl/>
                    <w:autoSpaceDE w:val="0"/>
                    <w:snapToGrid w:val="0"/>
                    <w:jc w:val="center"/>
                  </w:pPr>
                </w:p>
              </w:tc>
              <w:tc>
                <w:tcPr>
                  <w:tcW w:w="1247" w:type="pct"/>
                  <w:vMerge w:val="continue"/>
                  <w:tcBorders>
                    <w:left w:val="single" w:color="auto" w:sz="4" w:space="0"/>
                    <w:right w:val="single" w:color="auto" w:sz="4" w:space="0"/>
                  </w:tcBorders>
                  <w:noWrap w:val="0"/>
                  <w:vAlign w:val="center"/>
                </w:tcPr>
                <w:p w14:paraId="1654CE14">
                  <w:pPr>
                    <w:widowControl/>
                    <w:autoSpaceDE w:val="0"/>
                    <w:snapToGrid w:val="0"/>
                    <w:jc w:val="center"/>
                  </w:pPr>
                </w:p>
              </w:tc>
              <w:tc>
                <w:tcPr>
                  <w:tcW w:w="779" w:type="pct"/>
                  <w:vMerge w:val="continue"/>
                  <w:tcBorders>
                    <w:left w:val="single" w:color="auto" w:sz="4" w:space="0"/>
                    <w:right w:val="single" w:color="auto" w:sz="4" w:space="0"/>
                  </w:tcBorders>
                  <w:noWrap w:val="0"/>
                  <w:vAlign w:val="center"/>
                </w:tcPr>
                <w:p w14:paraId="3B150511">
                  <w:pPr>
                    <w:widowControl/>
                    <w:autoSpaceDE w:val="0"/>
                    <w:snapToGrid w:val="0"/>
                    <w:jc w:val="center"/>
                  </w:pPr>
                </w:p>
              </w:tc>
              <w:tc>
                <w:tcPr>
                  <w:tcW w:w="1287" w:type="pct"/>
                  <w:tcBorders>
                    <w:top w:val="single" w:color="auto" w:sz="4" w:space="0"/>
                    <w:left w:val="single" w:color="auto" w:sz="4" w:space="0"/>
                    <w:bottom w:val="single" w:color="auto" w:sz="4" w:space="0"/>
                    <w:right w:val="single" w:color="auto" w:sz="4" w:space="0"/>
                  </w:tcBorders>
                  <w:noWrap w:val="0"/>
                  <w:vAlign w:val="center"/>
                </w:tcPr>
                <w:p w14:paraId="4A0F0019">
                  <w:pPr>
                    <w:widowControl/>
                    <w:autoSpaceDE w:val="0"/>
                    <w:snapToGrid w:val="0"/>
                    <w:jc w:val="center"/>
                    <w:rPr>
                      <w:rFonts w:hint="eastAsia"/>
                    </w:rPr>
                  </w:pPr>
                  <w:r>
                    <w:rPr>
                      <w:rFonts w:hint="eastAsia"/>
                    </w:rPr>
                    <w:t>/</w:t>
                  </w:r>
                </w:p>
              </w:tc>
              <w:tc>
                <w:tcPr>
                  <w:tcW w:w="905" w:type="pct"/>
                  <w:tcBorders>
                    <w:left w:val="single" w:color="auto" w:sz="4" w:space="0"/>
                    <w:bottom w:val="single" w:color="auto" w:sz="4" w:space="0"/>
                    <w:right w:val="nil"/>
                  </w:tcBorders>
                  <w:noWrap w:val="0"/>
                  <w:vAlign w:val="center"/>
                </w:tcPr>
                <w:p w14:paraId="6350CC08">
                  <w:pPr>
                    <w:widowControl/>
                    <w:autoSpaceDE w:val="0"/>
                    <w:snapToGrid w:val="0"/>
                    <w:jc w:val="center"/>
                  </w:pPr>
                  <w:r>
                    <w:t>2</w:t>
                  </w:r>
                </w:p>
              </w:tc>
            </w:tr>
            <w:tr w14:paraId="4B50E482">
              <w:tblPrEx>
                <w:tblBorders>
                  <w:top w:val="single" w:color="auto" w:sz="12" w:space="0"/>
                  <w:left w:val="none" w:color="auto" w:sz="4" w:space="0"/>
                  <w:bottom w:val="single" w:color="auto" w:sz="12" w:space="0"/>
                  <w:right w:val="non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pct"/>
                  <w:vMerge w:val="continue"/>
                  <w:tcBorders>
                    <w:left w:val="nil"/>
                    <w:right w:val="single" w:color="auto" w:sz="4" w:space="0"/>
                  </w:tcBorders>
                  <w:noWrap w:val="0"/>
                  <w:vAlign w:val="center"/>
                </w:tcPr>
                <w:p w14:paraId="0502CE93">
                  <w:pPr>
                    <w:jc w:val="center"/>
                  </w:pPr>
                </w:p>
              </w:tc>
              <w:tc>
                <w:tcPr>
                  <w:tcW w:w="1247" w:type="pct"/>
                  <w:vMerge w:val="continue"/>
                  <w:tcBorders>
                    <w:left w:val="single" w:color="auto" w:sz="4" w:space="0"/>
                    <w:right w:val="single" w:color="auto" w:sz="4" w:space="0"/>
                  </w:tcBorders>
                  <w:noWrap w:val="0"/>
                  <w:vAlign w:val="center"/>
                </w:tcPr>
                <w:p w14:paraId="4A2CB6DC">
                  <w:pPr>
                    <w:widowControl/>
                    <w:autoSpaceDE w:val="0"/>
                    <w:snapToGrid w:val="0"/>
                    <w:jc w:val="center"/>
                  </w:pPr>
                </w:p>
              </w:tc>
              <w:tc>
                <w:tcPr>
                  <w:tcW w:w="779" w:type="pct"/>
                  <w:vMerge w:val="continue"/>
                  <w:tcBorders>
                    <w:left w:val="single" w:color="auto" w:sz="4" w:space="0"/>
                    <w:right w:val="single" w:color="auto" w:sz="4" w:space="0"/>
                  </w:tcBorders>
                  <w:noWrap w:val="0"/>
                  <w:vAlign w:val="center"/>
                </w:tcPr>
                <w:p w14:paraId="4822F873">
                  <w:pPr>
                    <w:widowControl/>
                    <w:autoSpaceDE w:val="0"/>
                    <w:snapToGrid w:val="0"/>
                    <w:jc w:val="center"/>
                  </w:pPr>
                </w:p>
              </w:tc>
              <w:tc>
                <w:tcPr>
                  <w:tcW w:w="1287" w:type="pct"/>
                  <w:tcBorders>
                    <w:top w:val="single" w:color="auto" w:sz="4" w:space="0"/>
                    <w:left w:val="single" w:color="auto" w:sz="4" w:space="0"/>
                    <w:bottom w:val="single" w:color="auto" w:sz="4" w:space="0"/>
                    <w:right w:val="single" w:color="auto" w:sz="4" w:space="0"/>
                  </w:tcBorders>
                  <w:noWrap w:val="0"/>
                  <w:vAlign w:val="center"/>
                </w:tcPr>
                <w:p w14:paraId="49F81E03">
                  <w:pPr>
                    <w:widowControl/>
                    <w:autoSpaceDE w:val="0"/>
                    <w:snapToGrid w:val="0"/>
                    <w:jc w:val="center"/>
                  </w:pPr>
                  <w:r>
                    <w:rPr>
                      <w:rFonts w:hint="eastAsia"/>
                    </w:rPr>
                    <w:t>劣</w:t>
                  </w:r>
                  <w:r>
                    <w:t>Ⅴ类</w:t>
                  </w:r>
                </w:p>
              </w:tc>
              <w:tc>
                <w:tcPr>
                  <w:tcW w:w="905" w:type="pct"/>
                  <w:tcBorders>
                    <w:top w:val="single" w:color="auto" w:sz="4" w:space="0"/>
                    <w:left w:val="single" w:color="auto" w:sz="4" w:space="0"/>
                    <w:bottom w:val="single" w:color="auto" w:sz="4" w:space="0"/>
                    <w:right w:val="nil"/>
                  </w:tcBorders>
                  <w:noWrap w:val="0"/>
                  <w:vAlign w:val="center"/>
                </w:tcPr>
                <w:p w14:paraId="57168602">
                  <w:pPr>
                    <w:widowControl/>
                    <w:autoSpaceDE w:val="0"/>
                    <w:snapToGrid w:val="0"/>
                    <w:jc w:val="center"/>
                  </w:pPr>
                  <w:r>
                    <w:t>3</w:t>
                  </w:r>
                </w:p>
              </w:tc>
            </w:tr>
            <w:tr w14:paraId="117ABBF3">
              <w:tblPrEx>
                <w:tblBorders>
                  <w:top w:val="single" w:color="auto" w:sz="12" w:space="0"/>
                  <w:left w:val="none" w:color="auto" w:sz="4" w:space="0"/>
                  <w:bottom w:val="single" w:color="auto" w:sz="12" w:space="0"/>
                  <w:right w:val="non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pct"/>
                  <w:vMerge w:val="continue"/>
                  <w:tcBorders>
                    <w:left w:val="nil"/>
                    <w:right w:val="single" w:color="auto" w:sz="4" w:space="0"/>
                  </w:tcBorders>
                  <w:noWrap w:val="0"/>
                  <w:vAlign w:val="center"/>
                </w:tcPr>
                <w:p w14:paraId="0241016D">
                  <w:pPr>
                    <w:jc w:val="center"/>
                  </w:pPr>
                </w:p>
              </w:tc>
              <w:tc>
                <w:tcPr>
                  <w:tcW w:w="1247" w:type="pct"/>
                  <w:vMerge w:val="continue"/>
                  <w:tcBorders>
                    <w:left w:val="single" w:color="auto" w:sz="4" w:space="0"/>
                    <w:right w:val="single" w:color="auto" w:sz="4" w:space="0"/>
                  </w:tcBorders>
                  <w:noWrap w:val="0"/>
                  <w:vAlign w:val="center"/>
                </w:tcPr>
                <w:p w14:paraId="7AD2D9D9">
                  <w:pPr>
                    <w:widowControl/>
                    <w:autoSpaceDE w:val="0"/>
                    <w:snapToGrid w:val="0"/>
                    <w:jc w:val="center"/>
                  </w:pPr>
                </w:p>
              </w:tc>
              <w:tc>
                <w:tcPr>
                  <w:tcW w:w="779" w:type="pct"/>
                  <w:vMerge w:val="continue"/>
                  <w:tcBorders>
                    <w:left w:val="single" w:color="auto" w:sz="4" w:space="0"/>
                    <w:right w:val="single" w:color="auto" w:sz="4" w:space="0"/>
                  </w:tcBorders>
                  <w:noWrap w:val="0"/>
                  <w:vAlign w:val="center"/>
                </w:tcPr>
                <w:p w14:paraId="37202318">
                  <w:pPr>
                    <w:widowControl/>
                    <w:autoSpaceDE w:val="0"/>
                    <w:snapToGrid w:val="0"/>
                    <w:jc w:val="center"/>
                  </w:pPr>
                </w:p>
              </w:tc>
              <w:tc>
                <w:tcPr>
                  <w:tcW w:w="1287" w:type="pct"/>
                  <w:tcBorders>
                    <w:top w:val="single" w:color="auto" w:sz="4" w:space="0"/>
                    <w:left w:val="single" w:color="auto" w:sz="4" w:space="0"/>
                    <w:bottom w:val="single" w:color="auto" w:sz="4" w:space="0"/>
                    <w:right w:val="single" w:color="auto" w:sz="4" w:space="0"/>
                  </w:tcBorders>
                  <w:noWrap w:val="0"/>
                  <w:vAlign w:val="center"/>
                </w:tcPr>
                <w:p w14:paraId="7E527B1D">
                  <w:pPr>
                    <w:widowControl/>
                    <w:autoSpaceDE w:val="0"/>
                    <w:snapToGrid w:val="0"/>
                    <w:jc w:val="center"/>
                  </w:pPr>
                  <w:r>
                    <w:t>Ⅲ类</w:t>
                  </w:r>
                </w:p>
              </w:tc>
              <w:tc>
                <w:tcPr>
                  <w:tcW w:w="905" w:type="pct"/>
                  <w:tcBorders>
                    <w:top w:val="single" w:color="auto" w:sz="4" w:space="0"/>
                    <w:left w:val="single" w:color="auto" w:sz="4" w:space="0"/>
                    <w:bottom w:val="single" w:color="auto" w:sz="4" w:space="0"/>
                    <w:right w:val="nil"/>
                  </w:tcBorders>
                  <w:noWrap w:val="0"/>
                  <w:vAlign w:val="center"/>
                </w:tcPr>
                <w:p w14:paraId="6B263232">
                  <w:pPr>
                    <w:widowControl/>
                    <w:autoSpaceDE w:val="0"/>
                    <w:snapToGrid w:val="0"/>
                    <w:jc w:val="center"/>
                  </w:pPr>
                  <w:r>
                    <w:t>4</w:t>
                  </w:r>
                </w:p>
              </w:tc>
            </w:tr>
            <w:tr w14:paraId="5AAD7A60">
              <w:tblPrEx>
                <w:tblBorders>
                  <w:top w:val="single" w:color="auto" w:sz="12" w:space="0"/>
                  <w:left w:val="none" w:color="auto" w:sz="4" w:space="0"/>
                  <w:bottom w:val="single" w:color="auto" w:sz="12" w:space="0"/>
                  <w:right w:val="non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pct"/>
                  <w:vMerge w:val="continue"/>
                  <w:tcBorders>
                    <w:left w:val="nil"/>
                    <w:right w:val="single" w:color="auto" w:sz="4" w:space="0"/>
                  </w:tcBorders>
                  <w:noWrap w:val="0"/>
                  <w:vAlign w:val="center"/>
                </w:tcPr>
                <w:p w14:paraId="2054E8C0">
                  <w:pPr>
                    <w:jc w:val="center"/>
                  </w:pPr>
                </w:p>
              </w:tc>
              <w:tc>
                <w:tcPr>
                  <w:tcW w:w="1247" w:type="pct"/>
                  <w:vMerge w:val="continue"/>
                  <w:tcBorders>
                    <w:left w:val="single" w:color="auto" w:sz="4" w:space="0"/>
                    <w:right w:val="single" w:color="auto" w:sz="4" w:space="0"/>
                  </w:tcBorders>
                  <w:noWrap w:val="0"/>
                  <w:vAlign w:val="center"/>
                </w:tcPr>
                <w:p w14:paraId="10C35436">
                  <w:pPr>
                    <w:widowControl/>
                    <w:autoSpaceDE w:val="0"/>
                    <w:snapToGrid w:val="0"/>
                    <w:jc w:val="center"/>
                  </w:pPr>
                </w:p>
              </w:tc>
              <w:tc>
                <w:tcPr>
                  <w:tcW w:w="779" w:type="pct"/>
                  <w:vMerge w:val="continue"/>
                  <w:tcBorders>
                    <w:left w:val="single" w:color="auto" w:sz="4" w:space="0"/>
                    <w:right w:val="single" w:color="auto" w:sz="4" w:space="0"/>
                  </w:tcBorders>
                  <w:noWrap w:val="0"/>
                  <w:vAlign w:val="center"/>
                </w:tcPr>
                <w:p w14:paraId="596AF291">
                  <w:pPr>
                    <w:widowControl/>
                    <w:autoSpaceDE w:val="0"/>
                    <w:snapToGrid w:val="0"/>
                    <w:jc w:val="center"/>
                  </w:pPr>
                </w:p>
              </w:tc>
              <w:tc>
                <w:tcPr>
                  <w:tcW w:w="1287" w:type="pct"/>
                  <w:tcBorders>
                    <w:top w:val="single" w:color="auto" w:sz="4" w:space="0"/>
                    <w:left w:val="single" w:color="auto" w:sz="4" w:space="0"/>
                    <w:bottom w:val="single" w:color="auto" w:sz="4" w:space="0"/>
                    <w:right w:val="single" w:color="auto" w:sz="4" w:space="0"/>
                  </w:tcBorders>
                  <w:noWrap w:val="0"/>
                  <w:vAlign w:val="center"/>
                </w:tcPr>
                <w:p w14:paraId="13CA4B41">
                  <w:pPr>
                    <w:widowControl/>
                    <w:autoSpaceDE w:val="0"/>
                    <w:snapToGrid w:val="0"/>
                    <w:jc w:val="center"/>
                  </w:pPr>
                  <w:r>
                    <w:t>Ⅴ类</w:t>
                  </w:r>
                </w:p>
              </w:tc>
              <w:tc>
                <w:tcPr>
                  <w:tcW w:w="905" w:type="pct"/>
                  <w:tcBorders>
                    <w:top w:val="single" w:color="auto" w:sz="4" w:space="0"/>
                    <w:left w:val="single" w:color="auto" w:sz="4" w:space="0"/>
                    <w:bottom w:val="single" w:color="auto" w:sz="4" w:space="0"/>
                    <w:right w:val="nil"/>
                  </w:tcBorders>
                  <w:noWrap w:val="0"/>
                  <w:vAlign w:val="center"/>
                </w:tcPr>
                <w:p w14:paraId="653B2871">
                  <w:pPr>
                    <w:widowControl/>
                    <w:autoSpaceDE w:val="0"/>
                    <w:snapToGrid w:val="0"/>
                    <w:jc w:val="center"/>
                  </w:pPr>
                  <w:r>
                    <w:t>5</w:t>
                  </w:r>
                </w:p>
              </w:tc>
            </w:tr>
            <w:tr w14:paraId="7D72CD10">
              <w:tblPrEx>
                <w:tblBorders>
                  <w:top w:val="single" w:color="auto" w:sz="12" w:space="0"/>
                  <w:left w:val="none" w:color="auto" w:sz="4" w:space="0"/>
                  <w:bottom w:val="single" w:color="auto" w:sz="12" w:space="0"/>
                  <w:right w:val="non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pct"/>
                  <w:vMerge w:val="continue"/>
                  <w:tcBorders>
                    <w:left w:val="nil"/>
                    <w:right w:val="single" w:color="auto" w:sz="4" w:space="0"/>
                  </w:tcBorders>
                  <w:noWrap w:val="0"/>
                  <w:vAlign w:val="center"/>
                </w:tcPr>
                <w:p w14:paraId="62DB8871">
                  <w:pPr>
                    <w:jc w:val="center"/>
                  </w:pPr>
                </w:p>
              </w:tc>
              <w:tc>
                <w:tcPr>
                  <w:tcW w:w="1247" w:type="pct"/>
                  <w:vMerge w:val="continue"/>
                  <w:tcBorders>
                    <w:left w:val="single" w:color="auto" w:sz="4" w:space="0"/>
                    <w:right w:val="single" w:color="auto" w:sz="4" w:space="0"/>
                  </w:tcBorders>
                  <w:noWrap w:val="0"/>
                  <w:vAlign w:val="center"/>
                </w:tcPr>
                <w:p w14:paraId="48716147">
                  <w:pPr>
                    <w:widowControl/>
                    <w:autoSpaceDE w:val="0"/>
                    <w:snapToGrid w:val="0"/>
                    <w:jc w:val="center"/>
                  </w:pPr>
                </w:p>
              </w:tc>
              <w:tc>
                <w:tcPr>
                  <w:tcW w:w="779" w:type="pct"/>
                  <w:vMerge w:val="continue"/>
                  <w:tcBorders>
                    <w:left w:val="single" w:color="auto" w:sz="4" w:space="0"/>
                    <w:right w:val="single" w:color="auto" w:sz="4" w:space="0"/>
                  </w:tcBorders>
                  <w:noWrap w:val="0"/>
                  <w:vAlign w:val="center"/>
                </w:tcPr>
                <w:p w14:paraId="663E33AD">
                  <w:pPr>
                    <w:widowControl/>
                    <w:autoSpaceDE w:val="0"/>
                    <w:snapToGrid w:val="0"/>
                    <w:jc w:val="center"/>
                  </w:pPr>
                </w:p>
              </w:tc>
              <w:tc>
                <w:tcPr>
                  <w:tcW w:w="1287" w:type="pct"/>
                  <w:tcBorders>
                    <w:top w:val="single" w:color="auto" w:sz="4" w:space="0"/>
                    <w:left w:val="single" w:color="auto" w:sz="4" w:space="0"/>
                    <w:bottom w:val="single" w:color="auto" w:sz="4" w:space="0"/>
                    <w:right w:val="single" w:color="auto" w:sz="4" w:space="0"/>
                  </w:tcBorders>
                  <w:noWrap w:val="0"/>
                  <w:vAlign w:val="center"/>
                </w:tcPr>
                <w:p w14:paraId="480DC35D">
                  <w:pPr>
                    <w:widowControl/>
                    <w:autoSpaceDE w:val="0"/>
                    <w:snapToGrid w:val="0"/>
                    <w:jc w:val="center"/>
                  </w:pPr>
                  <w:r>
                    <w:t>Ⅴ类</w:t>
                  </w:r>
                </w:p>
              </w:tc>
              <w:tc>
                <w:tcPr>
                  <w:tcW w:w="905" w:type="pct"/>
                  <w:tcBorders>
                    <w:top w:val="single" w:color="auto" w:sz="4" w:space="0"/>
                    <w:left w:val="single" w:color="auto" w:sz="4" w:space="0"/>
                    <w:bottom w:val="single" w:color="auto" w:sz="4" w:space="0"/>
                    <w:right w:val="nil"/>
                  </w:tcBorders>
                  <w:noWrap w:val="0"/>
                  <w:vAlign w:val="center"/>
                </w:tcPr>
                <w:p w14:paraId="18BFC456">
                  <w:pPr>
                    <w:widowControl/>
                    <w:autoSpaceDE w:val="0"/>
                    <w:snapToGrid w:val="0"/>
                    <w:jc w:val="center"/>
                  </w:pPr>
                  <w:r>
                    <w:t>6</w:t>
                  </w:r>
                </w:p>
              </w:tc>
            </w:tr>
            <w:tr w14:paraId="54221624">
              <w:tblPrEx>
                <w:tblBorders>
                  <w:top w:val="single" w:color="auto" w:sz="12" w:space="0"/>
                  <w:left w:val="none" w:color="auto" w:sz="4" w:space="0"/>
                  <w:bottom w:val="single" w:color="auto" w:sz="12"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779" w:type="pct"/>
                  <w:vMerge w:val="continue"/>
                  <w:tcBorders>
                    <w:left w:val="nil"/>
                    <w:right w:val="single" w:color="auto" w:sz="4" w:space="0"/>
                  </w:tcBorders>
                  <w:noWrap w:val="0"/>
                  <w:vAlign w:val="center"/>
                </w:tcPr>
                <w:p w14:paraId="3510FC53">
                  <w:pPr>
                    <w:jc w:val="center"/>
                  </w:pPr>
                </w:p>
              </w:tc>
              <w:tc>
                <w:tcPr>
                  <w:tcW w:w="1247" w:type="pct"/>
                  <w:vMerge w:val="continue"/>
                  <w:tcBorders>
                    <w:left w:val="single" w:color="auto" w:sz="4" w:space="0"/>
                    <w:right w:val="single" w:color="auto" w:sz="4" w:space="0"/>
                  </w:tcBorders>
                  <w:noWrap w:val="0"/>
                  <w:vAlign w:val="center"/>
                </w:tcPr>
                <w:p w14:paraId="34B7790C">
                  <w:pPr>
                    <w:widowControl/>
                    <w:autoSpaceDE w:val="0"/>
                    <w:snapToGrid w:val="0"/>
                    <w:jc w:val="center"/>
                  </w:pPr>
                </w:p>
              </w:tc>
              <w:tc>
                <w:tcPr>
                  <w:tcW w:w="779" w:type="pct"/>
                  <w:vMerge w:val="continue"/>
                  <w:tcBorders>
                    <w:left w:val="single" w:color="auto" w:sz="4" w:space="0"/>
                    <w:right w:val="single" w:color="auto" w:sz="4" w:space="0"/>
                  </w:tcBorders>
                  <w:noWrap w:val="0"/>
                  <w:vAlign w:val="center"/>
                </w:tcPr>
                <w:p w14:paraId="20D9A072">
                  <w:pPr>
                    <w:widowControl/>
                    <w:autoSpaceDE w:val="0"/>
                    <w:snapToGrid w:val="0"/>
                    <w:jc w:val="center"/>
                  </w:pPr>
                </w:p>
              </w:tc>
              <w:tc>
                <w:tcPr>
                  <w:tcW w:w="1287" w:type="pct"/>
                  <w:tcBorders>
                    <w:top w:val="single" w:color="auto" w:sz="4" w:space="0"/>
                    <w:left w:val="single" w:color="auto" w:sz="4" w:space="0"/>
                    <w:bottom w:val="single" w:color="auto" w:sz="4" w:space="0"/>
                    <w:right w:val="single" w:color="auto" w:sz="4" w:space="0"/>
                  </w:tcBorders>
                  <w:noWrap w:val="0"/>
                  <w:vAlign w:val="center"/>
                </w:tcPr>
                <w:p w14:paraId="702EA7CA">
                  <w:pPr>
                    <w:widowControl/>
                    <w:autoSpaceDE w:val="0"/>
                    <w:snapToGrid w:val="0"/>
                    <w:jc w:val="center"/>
                  </w:pPr>
                  <w:r>
                    <w:t>Ⅴ类</w:t>
                  </w:r>
                </w:p>
              </w:tc>
              <w:tc>
                <w:tcPr>
                  <w:tcW w:w="905" w:type="pct"/>
                  <w:tcBorders>
                    <w:top w:val="single" w:color="auto" w:sz="4" w:space="0"/>
                    <w:left w:val="single" w:color="auto" w:sz="4" w:space="0"/>
                    <w:bottom w:val="single" w:color="auto" w:sz="4" w:space="0"/>
                    <w:right w:val="nil"/>
                  </w:tcBorders>
                  <w:noWrap w:val="0"/>
                  <w:vAlign w:val="center"/>
                </w:tcPr>
                <w:p w14:paraId="28453D15">
                  <w:pPr>
                    <w:widowControl/>
                    <w:autoSpaceDE w:val="0"/>
                    <w:snapToGrid w:val="0"/>
                    <w:jc w:val="center"/>
                  </w:pPr>
                  <w:r>
                    <w:t>7</w:t>
                  </w:r>
                </w:p>
              </w:tc>
            </w:tr>
            <w:tr w14:paraId="6424C045">
              <w:tblPrEx>
                <w:tblBorders>
                  <w:top w:val="single" w:color="auto" w:sz="12" w:space="0"/>
                  <w:left w:val="none" w:color="auto" w:sz="4" w:space="0"/>
                  <w:bottom w:val="single" w:color="auto" w:sz="12" w:space="0"/>
                  <w:right w:val="non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pct"/>
                  <w:vMerge w:val="continue"/>
                  <w:tcBorders>
                    <w:left w:val="nil"/>
                    <w:right w:val="single" w:color="auto" w:sz="4" w:space="0"/>
                  </w:tcBorders>
                  <w:noWrap w:val="0"/>
                  <w:vAlign w:val="center"/>
                </w:tcPr>
                <w:p w14:paraId="7D18047E">
                  <w:pPr>
                    <w:jc w:val="center"/>
                  </w:pPr>
                </w:p>
              </w:tc>
              <w:tc>
                <w:tcPr>
                  <w:tcW w:w="1247" w:type="pct"/>
                  <w:vMerge w:val="continue"/>
                  <w:tcBorders>
                    <w:left w:val="single" w:color="auto" w:sz="4" w:space="0"/>
                    <w:right w:val="single" w:color="auto" w:sz="4" w:space="0"/>
                  </w:tcBorders>
                  <w:noWrap w:val="0"/>
                  <w:vAlign w:val="center"/>
                </w:tcPr>
                <w:p w14:paraId="10345B93">
                  <w:pPr>
                    <w:widowControl/>
                    <w:autoSpaceDE w:val="0"/>
                    <w:snapToGrid w:val="0"/>
                    <w:jc w:val="center"/>
                  </w:pPr>
                </w:p>
              </w:tc>
              <w:tc>
                <w:tcPr>
                  <w:tcW w:w="779" w:type="pct"/>
                  <w:vMerge w:val="continue"/>
                  <w:tcBorders>
                    <w:left w:val="single" w:color="auto" w:sz="4" w:space="0"/>
                    <w:right w:val="single" w:color="auto" w:sz="4" w:space="0"/>
                  </w:tcBorders>
                  <w:noWrap w:val="0"/>
                  <w:vAlign w:val="center"/>
                </w:tcPr>
                <w:p w14:paraId="152F0A92">
                  <w:pPr>
                    <w:widowControl/>
                    <w:autoSpaceDE w:val="0"/>
                    <w:snapToGrid w:val="0"/>
                    <w:jc w:val="center"/>
                  </w:pPr>
                </w:p>
              </w:tc>
              <w:tc>
                <w:tcPr>
                  <w:tcW w:w="1287" w:type="pct"/>
                  <w:tcBorders>
                    <w:top w:val="single" w:color="auto" w:sz="4" w:space="0"/>
                    <w:left w:val="single" w:color="auto" w:sz="4" w:space="0"/>
                    <w:bottom w:val="single" w:color="auto" w:sz="4" w:space="0"/>
                    <w:right w:val="single" w:color="auto" w:sz="4" w:space="0"/>
                  </w:tcBorders>
                  <w:noWrap w:val="0"/>
                  <w:vAlign w:val="center"/>
                </w:tcPr>
                <w:p w14:paraId="32A1A6F7">
                  <w:pPr>
                    <w:widowControl/>
                    <w:autoSpaceDE w:val="0"/>
                    <w:snapToGrid w:val="0"/>
                    <w:jc w:val="center"/>
                  </w:pPr>
                  <w:r>
                    <w:t>Ⅳ类</w:t>
                  </w:r>
                </w:p>
              </w:tc>
              <w:tc>
                <w:tcPr>
                  <w:tcW w:w="905" w:type="pct"/>
                  <w:tcBorders>
                    <w:top w:val="single" w:color="auto" w:sz="4" w:space="0"/>
                    <w:left w:val="single" w:color="auto" w:sz="4" w:space="0"/>
                    <w:bottom w:val="single" w:color="auto" w:sz="4" w:space="0"/>
                    <w:right w:val="nil"/>
                  </w:tcBorders>
                  <w:noWrap w:val="0"/>
                  <w:vAlign w:val="center"/>
                </w:tcPr>
                <w:p w14:paraId="65637FD8">
                  <w:pPr>
                    <w:widowControl/>
                    <w:autoSpaceDE w:val="0"/>
                    <w:snapToGrid w:val="0"/>
                    <w:jc w:val="center"/>
                  </w:pPr>
                  <w:r>
                    <w:t>8</w:t>
                  </w:r>
                </w:p>
              </w:tc>
            </w:tr>
            <w:tr w14:paraId="614B3E93">
              <w:tblPrEx>
                <w:tblBorders>
                  <w:top w:val="single" w:color="auto" w:sz="12" w:space="0"/>
                  <w:left w:val="none" w:color="auto" w:sz="4" w:space="0"/>
                  <w:bottom w:val="single" w:color="auto" w:sz="12" w:space="0"/>
                  <w:right w:val="non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pct"/>
                  <w:vMerge w:val="continue"/>
                  <w:tcBorders>
                    <w:left w:val="nil"/>
                    <w:right w:val="single" w:color="auto" w:sz="4" w:space="0"/>
                  </w:tcBorders>
                  <w:noWrap w:val="0"/>
                  <w:vAlign w:val="center"/>
                </w:tcPr>
                <w:p w14:paraId="38172EF3">
                  <w:pPr>
                    <w:jc w:val="center"/>
                  </w:pPr>
                </w:p>
              </w:tc>
              <w:tc>
                <w:tcPr>
                  <w:tcW w:w="1247" w:type="pct"/>
                  <w:vMerge w:val="continue"/>
                  <w:tcBorders>
                    <w:left w:val="single" w:color="auto" w:sz="4" w:space="0"/>
                    <w:right w:val="single" w:color="auto" w:sz="4" w:space="0"/>
                  </w:tcBorders>
                  <w:noWrap w:val="0"/>
                  <w:vAlign w:val="center"/>
                </w:tcPr>
                <w:p w14:paraId="72DC0A4C">
                  <w:pPr>
                    <w:widowControl/>
                    <w:autoSpaceDE w:val="0"/>
                    <w:snapToGrid w:val="0"/>
                    <w:jc w:val="center"/>
                  </w:pPr>
                </w:p>
              </w:tc>
              <w:tc>
                <w:tcPr>
                  <w:tcW w:w="779" w:type="pct"/>
                  <w:vMerge w:val="continue"/>
                  <w:tcBorders>
                    <w:left w:val="single" w:color="auto" w:sz="4" w:space="0"/>
                    <w:right w:val="single" w:color="auto" w:sz="4" w:space="0"/>
                  </w:tcBorders>
                  <w:noWrap w:val="0"/>
                  <w:vAlign w:val="center"/>
                </w:tcPr>
                <w:p w14:paraId="4BF0DBA3">
                  <w:pPr>
                    <w:widowControl/>
                    <w:autoSpaceDE w:val="0"/>
                    <w:snapToGrid w:val="0"/>
                    <w:jc w:val="center"/>
                  </w:pPr>
                </w:p>
              </w:tc>
              <w:tc>
                <w:tcPr>
                  <w:tcW w:w="1287" w:type="pct"/>
                  <w:tcBorders>
                    <w:top w:val="single" w:color="auto" w:sz="4" w:space="0"/>
                    <w:left w:val="single" w:color="auto" w:sz="4" w:space="0"/>
                    <w:bottom w:val="single" w:color="auto" w:sz="4" w:space="0"/>
                    <w:right w:val="single" w:color="auto" w:sz="4" w:space="0"/>
                  </w:tcBorders>
                  <w:noWrap w:val="0"/>
                  <w:vAlign w:val="center"/>
                </w:tcPr>
                <w:p w14:paraId="6CFF0787">
                  <w:pPr>
                    <w:widowControl/>
                    <w:autoSpaceDE w:val="0"/>
                    <w:snapToGrid w:val="0"/>
                    <w:jc w:val="center"/>
                  </w:pPr>
                  <w:r>
                    <w:t>Ⅳ类</w:t>
                  </w:r>
                </w:p>
              </w:tc>
              <w:tc>
                <w:tcPr>
                  <w:tcW w:w="905" w:type="pct"/>
                  <w:tcBorders>
                    <w:top w:val="single" w:color="auto" w:sz="4" w:space="0"/>
                    <w:left w:val="single" w:color="auto" w:sz="4" w:space="0"/>
                    <w:bottom w:val="single" w:color="auto" w:sz="4" w:space="0"/>
                    <w:right w:val="nil"/>
                  </w:tcBorders>
                  <w:noWrap w:val="0"/>
                  <w:vAlign w:val="center"/>
                </w:tcPr>
                <w:p w14:paraId="39738056">
                  <w:pPr>
                    <w:widowControl/>
                    <w:autoSpaceDE w:val="0"/>
                    <w:snapToGrid w:val="0"/>
                    <w:jc w:val="center"/>
                  </w:pPr>
                  <w:r>
                    <w:t>9</w:t>
                  </w:r>
                </w:p>
              </w:tc>
            </w:tr>
            <w:tr w14:paraId="6DDF7B5A">
              <w:tblPrEx>
                <w:tblBorders>
                  <w:top w:val="single" w:color="auto" w:sz="12" w:space="0"/>
                  <w:left w:val="none" w:color="auto" w:sz="4" w:space="0"/>
                  <w:bottom w:val="single" w:color="auto" w:sz="12" w:space="0"/>
                  <w:right w:val="non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pct"/>
                  <w:vMerge w:val="continue"/>
                  <w:tcBorders>
                    <w:left w:val="nil"/>
                    <w:right w:val="single" w:color="auto" w:sz="4" w:space="0"/>
                  </w:tcBorders>
                  <w:noWrap w:val="0"/>
                  <w:vAlign w:val="center"/>
                </w:tcPr>
                <w:p w14:paraId="13D9B53A">
                  <w:pPr>
                    <w:jc w:val="center"/>
                  </w:pPr>
                </w:p>
              </w:tc>
              <w:tc>
                <w:tcPr>
                  <w:tcW w:w="1247" w:type="pct"/>
                  <w:vMerge w:val="continue"/>
                  <w:tcBorders>
                    <w:left w:val="single" w:color="auto" w:sz="4" w:space="0"/>
                    <w:right w:val="single" w:color="auto" w:sz="4" w:space="0"/>
                  </w:tcBorders>
                  <w:noWrap w:val="0"/>
                  <w:vAlign w:val="center"/>
                </w:tcPr>
                <w:p w14:paraId="69B6B0E8">
                  <w:pPr>
                    <w:widowControl/>
                    <w:autoSpaceDE w:val="0"/>
                    <w:snapToGrid w:val="0"/>
                    <w:jc w:val="center"/>
                  </w:pPr>
                </w:p>
              </w:tc>
              <w:tc>
                <w:tcPr>
                  <w:tcW w:w="779" w:type="pct"/>
                  <w:vMerge w:val="continue"/>
                  <w:tcBorders>
                    <w:left w:val="single" w:color="auto" w:sz="4" w:space="0"/>
                    <w:right w:val="single" w:color="auto" w:sz="4" w:space="0"/>
                  </w:tcBorders>
                  <w:noWrap w:val="0"/>
                  <w:vAlign w:val="center"/>
                </w:tcPr>
                <w:p w14:paraId="2265EB58">
                  <w:pPr>
                    <w:widowControl/>
                    <w:autoSpaceDE w:val="0"/>
                    <w:snapToGrid w:val="0"/>
                    <w:jc w:val="center"/>
                  </w:pPr>
                </w:p>
              </w:tc>
              <w:tc>
                <w:tcPr>
                  <w:tcW w:w="1287" w:type="pct"/>
                  <w:tcBorders>
                    <w:top w:val="single" w:color="auto" w:sz="4" w:space="0"/>
                    <w:left w:val="single" w:color="auto" w:sz="4" w:space="0"/>
                    <w:bottom w:val="single" w:color="auto" w:sz="4" w:space="0"/>
                    <w:right w:val="single" w:color="auto" w:sz="4" w:space="0"/>
                  </w:tcBorders>
                  <w:noWrap w:val="0"/>
                  <w:vAlign w:val="center"/>
                </w:tcPr>
                <w:p w14:paraId="110D924A">
                  <w:pPr>
                    <w:widowControl/>
                    <w:autoSpaceDE w:val="0"/>
                    <w:snapToGrid w:val="0"/>
                    <w:jc w:val="center"/>
                  </w:pPr>
                  <w:r>
                    <w:t>Ⅲ类</w:t>
                  </w:r>
                </w:p>
              </w:tc>
              <w:tc>
                <w:tcPr>
                  <w:tcW w:w="905" w:type="pct"/>
                  <w:tcBorders>
                    <w:top w:val="single" w:color="auto" w:sz="4" w:space="0"/>
                    <w:left w:val="single" w:color="auto" w:sz="4" w:space="0"/>
                    <w:bottom w:val="single" w:color="auto" w:sz="4" w:space="0"/>
                    <w:right w:val="nil"/>
                  </w:tcBorders>
                  <w:noWrap w:val="0"/>
                  <w:vAlign w:val="center"/>
                </w:tcPr>
                <w:p w14:paraId="15E6E4CF">
                  <w:pPr>
                    <w:widowControl/>
                    <w:autoSpaceDE w:val="0"/>
                    <w:snapToGrid w:val="0"/>
                    <w:jc w:val="center"/>
                  </w:pPr>
                  <w:r>
                    <w:t>10</w:t>
                  </w:r>
                </w:p>
              </w:tc>
            </w:tr>
            <w:tr w14:paraId="28DC1BDA">
              <w:tblPrEx>
                <w:tblBorders>
                  <w:top w:val="single" w:color="auto" w:sz="12" w:space="0"/>
                  <w:left w:val="none" w:color="auto" w:sz="4" w:space="0"/>
                  <w:bottom w:val="single" w:color="auto" w:sz="12" w:space="0"/>
                  <w:right w:val="non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pct"/>
                  <w:vMerge w:val="continue"/>
                  <w:tcBorders>
                    <w:left w:val="nil"/>
                    <w:right w:val="single" w:color="auto" w:sz="4" w:space="0"/>
                  </w:tcBorders>
                  <w:noWrap w:val="0"/>
                  <w:vAlign w:val="center"/>
                </w:tcPr>
                <w:p w14:paraId="5B6FF49A">
                  <w:pPr>
                    <w:jc w:val="center"/>
                  </w:pPr>
                </w:p>
              </w:tc>
              <w:tc>
                <w:tcPr>
                  <w:tcW w:w="1247" w:type="pct"/>
                  <w:vMerge w:val="continue"/>
                  <w:tcBorders>
                    <w:left w:val="single" w:color="auto" w:sz="4" w:space="0"/>
                    <w:right w:val="single" w:color="auto" w:sz="4" w:space="0"/>
                  </w:tcBorders>
                  <w:noWrap w:val="0"/>
                  <w:vAlign w:val="center"/>
                </w:tcPr>
                <w:p w14:paraId="6FAB55AF">
                  <w:pPr>
                    <w:widowControl/>
                    <w:autoSpaceDE w:val="0"/>
                    <w:snapToGrid w:val="0"/>
                    <w:jc w:val="center"/>
                  </w:pPr>
                </w:p>
              </w:tc>
              <w:tc>
                <w:tcPr>
                  <w:tcW w:w="779" w:type="pct"/>
                  <w:vMerge w:val="continue"/>
                  <w:tcBorders>
                    <w:left w:val="single" w:color="auto" w:sz="4" w:space="0"/>
                    <w:right w:val="single" w:color="auto" w:sz="4" w:space="0"/>
                  </w:tcBorders>
                  <w:noWrap w:val="0"/>
                  <w:vAlign w:val="center"/>
                </w:tcPr>
                <w:p w14:paraId="09AAD4D4">
                  <w:pPr>
                    <w:widowControl/>
                    <w:autoSpaceDE w:val="0"/>
                    <w:snapToGrid w:val="0"/>
                    <w:jc w:val="center"/>
                  </w:pPr>
                </w:p>
              </w:tc>
              <w:tc>
                <w:tcPr>
                  <w:tcW w:w="1287" w:type="pct"/>
                  <w:tcBorders>
                    <w:top w:val="single" w:color="auto" w:sz="4" w:space="0"/>
                    <w:left w:val="single" w:color="auto" w:sz="4" w:space="0"/>
                    <w:bottom w:val="single" w:color="auto" w:sz="4" w:space="0"/>
                    <w:right w:val="single" w:color="auto" w:sz="4" w:space="0"/>
                  </w:tcBorders>
                  <w:noWrap w:val="0"/>
                  <w:vAlign w:val="center"/>
                </w:tcPr>
                <w:p w14:paraId="141F1536">
                  <w:pPr>
                    <w:widowControl/>
                    <w:autoSpaceDE w:val="0"/>
                    <w:snapToGrid w:val="0"/>
                    <w:jc w:val="center"/>
                  </w:pPr>
                  <w:r>
                    <w:t>Ⅳ类</w:t>
                  </w:r>
                </w:p>
              </w:tc>
              <w:tc>
                <w:tcPr>
                  <w:tcW w:w="905" w:type="pct"/>
                  <w:tcBorders>
                    <w:top w:val="single" w:color="auto" w:sz="4" w:space="0"/>
                    <w:left w:val="single" w:color="auto" w:sz="4" w:space="0"/>
                    <w:bottom w:val="single" w:color="auto" w:sz="4" w:space="0"/>
                    <w:right w:val="nil"/>
                  </w:tcBorders>
                  <w:noWrap w:val="0"/>
                  <w:vAlign w:val="center"/>
                </w:tcPr>
                <w:p w14:paraId="10B15405">
                  <w:pPr>
                    <w:widowControl/>
                    <w:autoSpaceDE w:val="0"/>
                    <w:snapToGrid w:val="0"/>
                    <w:jc w:val="center"/>
                  </w:pPr>
                  <w:r>
                    <w:t>11</w:t>
                  </w:r>
                </w:p>
              </w:tc>
            </w:tr>
            <w:tr w14:paraId="4903E1CB">
              <w:tblPrEx>
                <w:tblBorders>
                  <w:top w:val="single" w:color="auto" w:sz="12" w:space="0"/>
                  <w:left w:val="none" w:color="auto" w:sz="4" w:space="0"/>
                  <w:bottom w:val="single" w:color="auto" w:sz="12" w:space="0"/>
                  <w:right w:val="non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pct"/>
                  <w:vMerge w:val="continue"/>
                  <w:tcBorders>
                    <w:left w:val="nil"/>
                    <w:right w:val="single" w:color="auto" w:sz="4" w:space="0"/>
                  </w:tcBorders>
                  <w:noWrap w:val="0"/>
                  <w:vAlign w:val="center"/>
                </w:tcPr>
                <w:p w14:paraId="2B59E53B">
                  <w:pPr>
                    <w:jc w:val="center"/>
                  </w:pPr>
                </w:p>
              </w:tc>
              <w:tc>
                <w:tcPr>
                  <w:tcW w:w="1247" w:type="pct"/>
                  <w:vMerge w:val="continue"/>
                  <w:tcBorders>
                    <w:left w:val="single" w:color="auto" w:sz="4" w:space="0"/>
                    <w:right w:val="single" w:color="auto" w:sz="4" w:space="0"/>
                  </w:tcBorders>
                  <w:noWrap w:val="0"/>
                  <w:vAlign w:val="center"/>
                </w:tcPr>
                <w:p w14:paraId="7E6A3930">
                  <w:pPr>
                    <w:widowControl/>
                    <w:autoSpaceDE w:val="0"/>
                    <w:snapToGrid w:val="0"/>
                    <w:jc w:val="center"/>
                  </w:pPr>
                </w:p>
              </w:tc>
              <w:tc>
                <w:tcPr>
                  <w:tcW w:w="779" w:type="pct"/>
                  <w:vMerge w:val="continue"/>
                  <w:tcBorders>
                    <w:left w:val="single" w:color="auto" w:sz="4" w:space="0"/>
                    <w:right w:val="single" w:color="auto" w:sz="4" w:space="0"/>
                  </w:tcBorders>
                  <w:noWrap w:val="0"/>
                  <w:vAlign w:val="center"/>
                </w:tcPr>
                <w:p w14:paraId="429EECCE">
                  <w:pPr>
                    <w:widowControl/>
                    <w:autoSpaceDE w:val="0"/>
                    <w:snapToGrid w:val="0"/>
                    <w:jc w:val="center"/>
                  </w:pPr>
                </w:p>
              </w:tc>
              <w:tc>
                <w:tcPr>
                  <w:tcW w:w="1287" w:type="pct"/>
                  <w:tcBorders>
                    <w:top w:val="single" w:color="auto" w:sz="4" w:space="0"/>
                    <w:left w:val="single" w:color="auto" w:sz="4" w:space="0"/>
                    <w:right w:val="single" w:color="auto" w:sz="4" w:space="0"/>
                  </w:tcBorders>
                  <w:noWrap w:val="0"/>
                  <w:vAlign w:val="center"/>
                </w:tcPr>
                <w:p w14:paraId="00468C13">
                  <w:pPr>
                    <w:widowControl/>
                    <w:autoSpaceDE w:val="0"/>
                    <w:snapToGrid w:val="0"/>
                    <w:jc w:val="center"/>
                  </w:pPr>
                  <w:r>
                    <w:t>Ⅳ类</w:t>
                  </w:r>
                </w:p>
              </w:tc>
              <w:tc>
                <w:tcPr>
                  <w:tcW w:w="905" w:type="pct"/>
                  <w:tcBorders>
                    <w:top w:val="single" w:color="auto" w:sz="4" w:space="0"/>
                    <w:left w:val="single" w:color="auto" w:sz="4" w:space="0"/>
                    <w:right w:val="nil"/>
                  </w:tcBorders>
                  <w:noWrap w:val="0"/>
                  <w:vAlign w:val="center"/>
                </w:tcPr>
                <w:p w14:paraId="349A7483">
                  <w:pPr>
                    <w:widowControl/>
                    <w:autoSpaceDE w:val="0"/>
                    <w:snapToGrid w:val="0"/>
                    <w:jc w:val="center"/>
                  </w:pPr>
                  <w:r>
                    <w:t>12</w:t>
                  </w:r>
                </w:p>
              </w:tc>
            </w:tr>
          </w:tbl>
          <w:p w14:paraId="285C4B08">
            <w:pPr>
              <w:autoSpaceDE w:val="0"/>
              <w:spacing w:line="360" w:lineRule="auto"/>
              <w:ind w:firstLine="480" w:firstLineChars="200"/>
              <w:rPr>
                <w:sz w:val="24"/>
              </w:rPr>
            </w:pPr>
          </w:p>
          <w:p w14:paraId="300F3842">
            <w:pPr>
              <w:adjustRightInd w:val="0"/>
              <w:snapToGrid w:val="0"/>
              <w:spacing w:line="360" w:lineRule="auto"/>
              <w:ind w:firstLine="480" w:firstLineChars="200"/>
              <w:jc w:val="left"/>
              <w:rPr>
                <w:sz w:val="24"/>
                <w:szCs w:val="28"/>
              </w:rPr>
            </w:pPr>
            <w:r>
              <w:rPr>
                <w:sz w:val="24"/>
              </w:rPr>
              <w:t>根据评价结果可知，202</w:t>
            </w:r>
            <w:r>
              <w:rPr>
                <w:rFonts w:hint="eastAsia"/>
                <w:sz w:val="24"/>
              </w:rPr>
              <w:t>3</w:t>
            </w:r>
            <w:r>
              <w:rPr>
                <w:sz w:val="24"/>
              </w:rPr>
              <w:t>年期间，</w:t>
            </w:r>
            <w:r>
              <w:rPr>
                <w:rFonts w:hint="eastAsia"/>
                <w:sz w:val="24"/>
              </w:rPr>
              <w:t>雾开河十三家子大桥断面3、5、6、7月份不</w:t>
            </w:r>
            <w:r>
              <w:rPr>
                <w:sz w:val="24"/>
              </w:rPr>
              <w:t>满足</w:t>
            </w:r>
            <w:r>
              <w:rPr>
                <w:kern w:val="0"/>
                <w:sz w:val="24"/>
                <w:szCs w:val="20"/>
              </w:rPr>
              <w:t>《地表水环境质量标准》（GB3838-2002）中</w:t>
            </w:r>
            <w:r>
              <w:rPr>
                <w:sz w:val="24"/>
              </w:rPr>
              <w:t>Ⅳ</w:t>
            </w:r>
            <w:r>
              <w:rPr>
                <w:kern w:val="0"/>
                <w:sz w:val="24"/>
                <w:szCs w:val="20"/>
              </w:rPr>
              <w:t>类标准</w:t>
            </w:r>
            <w:r>
              <w:rPr>
                <w:rFonts w:hint="eastAsia"/>
                <w:kern w:val="0"/>
                <w:sz w:val="24"/>
                <w:szCs w:val="20"/>
              </w:rPr>
              <w:t>，其余月份均满足</w:t>
            </w:r>
            <w:r>
              <w:rPr>
                <w:kern w:val="0"/>
                <w:sz w:val="24"/>
                <w:szCs w:val="20"/>
              </w:rPr>
              <w:t>《地表水环境质量标准》（GB3838-2002）中</w:t>
            </w:r>
            <w:r>
              <w:rPr>
                <w:sz w:val="24"/>
              </w:rPr>
              <w:t>Ⅳ</w:t>
            </w:r>
            <w:r>
              <w:rPr>
                <w:kern w:val="0"/>
                <w:sz w:val="24"/>
                <w:szCs w:val="20"/>
              </w:rPr>
              <w:t>类标准</w:t>
            </w:r>
            <w:r>
              <w:rPr>
                <w:sz w:val="24"/>
              </w:rPr>
              <w:t>。</w:t>
            </w:r>
          </w:p>
          <w:bookmarkEnd w:id="4"/>
          <w:bookmarkEnd w:id="5"/>
          <w:bookmarkEnd w:id="6"/>
          <w:bookmarkEnd w:id="7"/>
          <w:bookmarkEnd w:id="8"/>
          <w:p w14:paraId="74594778">
            <w:pPr>
              <w:adjustRightInd w:val="0"/>
              <w:snapToGrid w:val="0"/>
              <w:spacing w:line="360" w:lineRule="auto"/>
              <w:ind w:firstLine="482" w:firstLineChars="200"/>
              <w:rPr>
                <w:b/>
                <w:bCs/>
                <w:sz w:val="24"/>
              </w:rPr>
            </w:pPr>
            <w:r>
              <w:rPr>
                <w:rFonts w:hint="eastAsia"/>
                <w:b/>
                <w:bCs/>
                <w:sz w:val="24"/>
              </w:rPr>
              <w:t>3、</w:t>
            </w:r>
            <w:r>
              <w:rPr>
                <w:b/>
                <w:bCs/>
                <w:sz w:val="24"/>
              </w:rPr>
              <w:t>声环境质量现状及调查</w:t>
            </w:r>
          </w:p>
          <w:p w14:paraId="265977D0">
            <w:pPr>
              <w:adjustRightInd w:val="0"/>
              <w:snapToGrid w:val="0"/>
              <w:spacing w:line="360" w:lineRule="auto"/>
              <w:ind w:firstLine="480" w:firstLineChars="200"/>
              <w:rPr>
                <w:sz w:val="24"/>
              </w:rPr>
            </w:pPr>
            <w:r>
              <w:rPr>
                <w:sz w:val="24"/>
              </w:rPr>
              <w:t>根据《建设项目环境影响报告表编制技术指南（污染影响类）》，厂界外周边50米范围内存在声环境保护目标的建设项目，应监测保护目标声环境质量现状并评价达标情况。本项目厂界外周边50米范围内不存在声环境保护目标，因此不进行声环境质量现状监测。</w:t>
            </w:r>
          </w:p>
          <w:p w14:paraId="7408ED54">
            <w:pPr>
              <w:pStyle w:val="10"/>
              <w:spacing w:before="120" w:beforeLines="50" w:after="0" w:line="360" w:lineRule="auto"/>
              <w:ind w:left="0" w:leftChars="0" w:firstLine="482" w:firstLineChars="200"/>
            </w:pPr>
            <w:r>
              <w:rPr>
                <w:rFonts w:hint="eastAsia"/>
                <w:b/>
                <w:bCs/>
              </w:rPr>
              <w:t>4、土壤、地下水</w:t>
            </w:r>
            <w:r>
              <w:rPr>
                <w:b/>
                <w:bCs/>
              </w:rPr>
              <w:t>环境质量现状及调查</w:t>
            </w:r>
          </w:p>
          <w:p w14:paraId="00070E60">
            <w:pPr>
              <w:adjustRightInd w:val="0"/>
              <w:snapToGrid w:val="0"/>
              <w:spacing w:line="360" w:lineRule="auto"/>
              <w:ind w:firstLine="480" w:firstLineChars="200"/>
              <w:rPr>
                <w:rFonts w:hint="eastAsia"/>
                <w:sz w:val="24"/>
              </w:rPr>
            </w:pPr>
            <w:r>
              <w:rPr>
                <w:sz w:val="24"/>
              </w:rPr>
              <w:t>根据《建设项目环境影响报告表编制技术指南（污染影响类）》，</w:t>
            </w:r>
            <w:r>
              <w:rPr>
                <w:rFonts w:hint="eastAsia"/>
                <w:sz w:val="24"/>
              </w:rPr>
              <w:t>原则上不开展土壤、地下水环境质量现状调查。建设项目存在土壤、地下水环境污染途径的，应结合污染源、保护目标分布情况开展现状调查以留作背景值。</w:t>
            </w:r>
            <w:r>
              <w:rPr>
                <w:rFonts w:hint="eastAsia"/>
                <w:sz w:val="24"/>
                <w:highlight w:val="none"/>
              </w:rPr>
              <w:t>本项目</w:t>
            </w:r>
            <w:r>
              <w:rPr>
                <w:rFonts w:hint="eastAsia"/>
                <w:sz w:val="24"/>
                <w:highlight w:val="none"/>
                <w:lang w:eastAsia="zh-CN"/>
              </w:rPr>
              <w:t>周围均为在建厂房无环境保护目标。</w:t>
            </w:r>
            <w:r>
              <w:rPr>
                <w:rFonts w:hint="eastAsia"/>
                <w:sz w:val="24"/>
                <w:highlight w:val="none"/>
              </w:rPr>
              <w:t>因此本项目</w:t>
            </w:r>
            <w:r>
              <w:rPr>
                <w:rFonts w:hint="eastAsia"/>
                <w:sz w:val="24"/>
                <w:highlight w:val="none"/>
                <w:lang w:eastAsia="zh-CN"/>
              </w:rPr>
              <w:t>无需</w:t>
            </w:r>
            <w:r>
              <w:rPr>
                <w:rFonts w:hint="eastAsia"/>
                <w:sz w:val="24"/>
                <w:highlight w:val="none"/>
              </w:rPr>
              <w:t>监测土壤、地下水。</w:t>
            </w:r>
          </w:p>
        </w:tc>
      </w:tr>
      <w:tr w14:paraId="3B9436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7" w:type="pct"/>
            <w:noWrap w:val="0"/>
            <w:vAlign w:val="center"/>
          </w:tcPr>
          <w:p w14:paraId="694A334A">
            <w:pPr>
              <w:adjustRightInd w:val="0"/>
              <w:snapToGrid w:val="0"/>
              <w:jc w:val="center"/>
              <w:rPr>
                <w:rFonts w:hint="eastAsia" w:ascii="宋体" w:hAnsi="宋体" w:cs="宋体"/>
                <w:kern w:val="0"/>
                <w:sz w:val="24"/>
              </w:rPr>
            </w:pPr>
            <w:r>
              <w:rPr>
                <w:rFonts w:hint="eastAsia" w:ascii="宋体" w:hAnsi="宋体" w:cs="宋体"/>
                <w:kern w:val="0"/>
                <w:sz w:val="24"/>
              </w:rPr>
              <w:t>环境</w:t>
            </w:r>
          </w:p>
          <w:p w14:paraId="45084BA6">
            <w:pPr>
              <w:adjustRightInd w:val="0"/>
              <w:snapToGrid w:val="0"/>
              <w:jc w:val="center"/>
              <w:rPr>
                <w:rFonts w:hint="eastAsia" w:ascii="宋体" w:hAnsi="宋体" w:cs="宋体"/>
                <w:kern w:val="0"/>
                <w:sz w:val="24"/>
              </w:rPr>
            </w:pPr>
            <w:r>
              <w:rPr>
                <w:rFonts w:hint="eastAsia" w:ascii="宋体" w:hAnsi="宋体" w:cs="宋体"/>
                <w:kern w:val="0"/>
                <w:sz w:val="24"/>
              </w:rPr>
              <w:t>保护</w:t>
            </w:r>
          </w:p>
          <w:p w14:paraId="6FDAA2E1">
            <w:pPr>
              <w:adjustRightInd w:val="0"/>
              <w:snapToGrid w:val="0"/>
              <w:jc w:val="center"/>
              <w:rPr>
                <w:rFonts w:hint="eastAsia" w:ascii="宋体" w:hAnsi="宋体" w:cs="宋体"/>
                <w:kern w:val="0"/>
                <w:szCs w:val="21"/>
              </w:rPr>
            </w:pPr>
            <w:r>
              <w:rPr>
                <w:rFonts w:hint="eastAsia" w:ascii="宋体" w:hAnsi="宋体" w:cs="宋体"/>
                <w:kern w:val="0"/>
                <w:sz w:val="24"/>
              </w:rPr>
              <w:t>目标</w:t>
            </w:r>
          </w:p>
        </w:tc>
        <w:tc>
          <w:tcPr>
            <w:tcW w:w="4772" w:type="pct"/>
            <w:noWrap w:val="0"/>
            <w:vAlign w:val="center"/>
          </w:tcPr>
          <w:p w14:paraId="20F9D52E">
            <w:pPr>
              <w:spacing w:line="360" w:lineRule="auto"/>
              <w:ind w:firstLine="480" w:firstLineChars="200"/>
              <w:rPr>
                <w:rFonts w:hint="eastAsia"/>
                <w:sz w:val="24"/>
              </w:rPr>
            </w:pPr>
            <w:r>
              <w:rPr>
                <w:sz w:val="24"/>
              </w:rPr>
              <w:t>本项目</w:t>
            </w:r>
            <w:r>
              <w:rPr>
                <w:rFonts w:hint="eastAsia"/>
                <w:sz w:val="24"/>
              </w:rPr>
              <w:t>位于</w:t>
            </w:r>
            <w:r>
              <w:rPr>
                <w:rFonts w:hint="eastAsia"/>
                <w:kern w:val="0"/>
                <w:sz w:val="24"/>
              </w:rPr>
              <w:t>吉林省长春市北湖科技开发区吉兴产业园B区</w:t>
            </w:r>
            <w:r>
              <w:rPr>
                <w:rFonts w:hint="eastAsia"/>
                <w:kern w:val="0"/>
                <w:sz w:val="24"/>
                <w:lang w:val="en-US" w:eastAsia="zh-CN"/>
              </w:rPr>
              <w:t>4-1</w:t>
            </w:r>
            <w:r>
              <w:rPr>
                <w:rFonts w:hint="eastAsia"/>
                <w:kern w:val="0"/>
                <w:sz w:val="24"/>
              </w:rPr>
              <w:t>栋厂房</w:t>
            </w:r>
            <w:r>
              <w:rPr>
                <w:sz w:val="24"/>
              </w:rPr>
              <w:t>，评价区域主要环境敏感点及保护目标基本情况</w:t>
            </w:r>
            <w:r>
              <w:rPr>
                <w:rFonts w:hint="eastAsia"/>
                <w:sz w:val="24"/>
              </w:rPr>
              <w:t>如下：</w:t>
            </w:r>
          </w:p>
          <w:p w14:paraId="3D9880C4">
            <w:pPr>
              <w:pStyle w:val="43"/>
              <w:spacing w:line="360" w:lineRule="auto"/>
              <w:ind w:firstLine="480"/>
              <w:rPr>
                <w:rFonts w:ascii="Times New Roman" w:hAnsi="Times New Roman"/>
                <w:color w:val="auto"/>
                <w:sz w:val="24"/>
              </w:rPr>
            </w:pPr>
            <w:r>
              <w:rPr>
                <w:rFonts w:ascii="Times New Roman" w:hAnsi="Times New Roman"/>
                <w:color w:val="auto"/>
                <w:sz w:val="24"/>
              </w:rPr>
              <w:t>1.声环境</w:t>
            </w:r>
          </w:p>
          <w:p w14:paraId="4AFA4A6F">
            <w:pPr>
              <w:pStyle w:val="43"/>
              <w:spacing w:line="360" w:lineRule="auto"/>
              <w:ind w:firstLine="480"/>
              <w:rPr>
                <w:rFonts w:ascii="Times New Roman" w:hAnsi="Times New Roman"/>
                <w:color w:val="auto"/>
                <w:sz w:val="24"/>
              </w:rPr>
            </w:pPr>
            <w:r>
              <w:rPr>
                <w:rFonts w:ascii="Times New Roman" w:hAnsi="Times New Roman"/>
                <w:color w:val="auto"/>
                <w:sz w:val="24"/>
              </w:rPr>
              <w:t>本项目厂界外50m范围内不存在声环境保护目标。</w:t>
            </w:r>
          </w:p>
          <w:p w14:paraId="0CE5743D">
            <w:pPr>
              <w:pStyle w:val="43"/>
              <w:spacing w:line="360" w:lineRule="auto"/>
              <w:ind w:firstLine="480"/>
              <w:rPr>
                <w:rFonts w:ascii="Times New Roman" w:hAnsi="Times New Roman"/>
                <w:color w:val="auto"/>
                <w:sz w:val="24"/>
              </w:rPr>
            </w:pPr>
            <w:r>
              <w:rPr>
                <w:rFonts w:ascii="Times New Roman" w:hAnsi="Times New Roman"/>
                <w:color w:val="auto"/>
                <w:sz w:val="24"/>
              </w:rPr>
              <w:t>2.地下水环境</w:t>
            </w:r>
          </w:p>
          <w:p w14:paraId="5F1660BC">
            <w:pPr>
              <w:pStyle w:val="43"/>
              <w:spacing w:line="360" w:lineRule="auto"/>
              <w:ind w:firstLine="480"/>
              <w:rPr>
                <w:rFonts w:ascii="Times New Roman" w:hAnsi="Times New Roman"/>
                <w:color w:val="auto"/>
                <w:sz w:val="24"/>
              </w:rPr>
            </w:pPr>
            <w:r>
              <w:rPr>
                <w:rFonts w:ascii="Times New Roman" w:hAnsi="Times New Roman"/>
                <w:color w:val="auto"/>
                <w:sz w:val="24"/>
              </w:rPr>
              <w:t>本项目厂界外500m范围内不存在地下水集中式饮用水水源和热水、矿泉水、温泉等特殊地下水资源。</w:t>
            </w:r>
          </w:p>
          <w:p w14:paraId="1D22203F">
            <w:pPr>
              <w:pStyle w:val="43"/>
              <w:spacing w:line="360" w:lineRule="auto"/>
              <w:ind w:firstLine="480"/>
              <w:rPr>
                <w:rFonts w:hint="default" w:ascii="Times New Roman" w:hAnsi="Times New Roman"/>
                <w:color w:val="auto"/>
                <w:sz w:val="24"/>
              </w:rPr>
            </w:pPr>
            <w:r>
              <w:rPr>
                <w:rFonts w:ascii="Times New Roman" w:hAnsi="Times New Roman"/>
                <w:color w:val="auto"/>
                <w:sz w:val="24"/>
              </w:rPr>
              <w:t>3.生态环境</w:t>
            </w:r>
          </w:p>
          <w:p w14:paraId="0C1388C7">
            <w:pPr>
              <w:pStyle w:val="43"/>
              <w:spacing w:line="360" w:lineRule="auto"/>
              <w:ind w:firstLine="480"/>
              <w:rPr>
                <w:rFonts w:ascii="Times New Roman" w:hAnsi="Times New Roman"/>
                <w:color w:val="auto"/>
                <w:sz w:val="24"/>
              </w:rPr>
            </w:pPr>
            <w:r>
              <w:rPr>
                <w:color w:val="auto"/>
                <w:sz w:val="24"/>
              </w:rPr>
              <w:t>本项目租用</w:t>
            </w:r>
            <w:r>
              <w:rPr>
                <w:color w:val="auto"/>
                <w:kern w:val="0"/>
                <w:sz w:val="24"/>
              </w:rPr>
              <w:t>吉兴产业园</w:t>
            </w:r>
            <w:r>
              <w:rPr>
                <w:rFonts w:hint="default" w:ascii="Times New Roman" w:hAnsi="Times New Roman"/>
                <w:color w:val="auto"/>
                <w:kern w:val="0"/>
                <w:sz w:val="24"/>
              </w:rPr>
              <w:t>B</w:t>
            </w:r>
            <w:r>
              <w:rPr>
                <w:color w:val="auto"/>
                <w:kern w:val="0"/>
                <w:sz w:val="24"/>
              </w:rPr>
              <w:t>区</w:t>
            </w:r>
            <w:r>
              <w:rPr>
                <w:rFonts w:hint="eastAsia" w:ascii="Times New Roman" w:hAnsi="Times New Roman"/>
                <w:color w:val="auto"/>
                <w:kern w:val="0"/>
                <w:sz w:val="24"/>
                <w:lang w:val="en-US" w:eastAsia="zh-CN"/>
              </w:rPr>
              <w:t>4-1</w:t>
            </w:r>
            <w:r>
              <w:rPr>
                <w:color w:val="auto"/>
                <w:kern w:val="0"/>
                <w:sz w:val="24"/>
              </w:rPr>
              <w:t>栋厂房1层</w:t>
            </w:r>
            <w:r>
              <w:rPr>
                <w:rFonts w:ascii="Times New Roman" w:hAnsi="Times New Roman"/>
                <w:color w:val="auto"/>
                <w:sz w:val="24"/>
              </w:rPr>
              <w:t>，</w:t>
            </w:r>
            <w:r>
              <w:rPr>
                <w:color w:val="auto"/>
                <w:sz w:val="24"/>
              </w:rPr>
              <w:t>不新增占地，</w:t>
            </w:r>
            <w:r>
              <w:rPr>
                <w:rFonts w:ascii="Times New Roman" w:hAnsi="Times New Roman"/>
                <w:color w:val="auto"/>
                <w:sz w:val="24"/>
              </w:rPr>
              <w:t>不会对生态环境产生影响。</w:t>
            </w:r>
          </w:p>
          <w:p w14:paraId="508F6E5A">
            <w:pPr>
              <w:pStyle w:val="43"/>
              <w:spacing w:line="360" w:lineRule="auto"/>
              <w:ind w:firstLine="480"/>
              <w:rPr>
                <w:rFonts w:ascii="Times New Roman" w:hAnsi="Times New Roman"/>
                <w:color w:val="auto"/>
                <w:sz w:val="24"/>
              </w:rPr>
            </w:pPr>
            <w:r>
              <w:rPr>
                <w:rFonts w:ascii="Times New Roman" w:hAnsi="Times New Roman"/>
                <w:color w:val="auto"/>
                <w:sz w:val="24"/>
              </w:rPr>
              <w:t>4.环境空气</w:t>
            </w:r>
          </w:p>
          <w:p w14:paraId="03B12133">
            <w:pPr>
              <w:pStyle w:val="43"/>
              <w:spacing w:line="360" w:lineRule="auto"/>
              <w:ind w:firstLine="480"/>
              <w:rPr>
                <w:color w:val="auto"/>
              </w:rPr>
            </w:pPr>
            <w:r>
              <w:rPr>
                <w:rFonts w:hint="default" w:ascii="Times New Roman" w:hAnsi="Times New Roman"/>
                <w:color w:val="auto"/>
                <w:sz w:val="24"/>
              </w:rPr>
              <w:t>本项目厂界外500</w:t>
            </w:r>
            <w:r>
              <w:rPr>
                <w:rFonts w:ascii="Times New Roman" w:hAnsi="Times New Roman"/>
                <w:color w:val="auto"/>
                <w:sz w:val="24"/>
              </w:rPr>
              <w:t>m</w:t>
            </w:r>
            <w:r>
              <w:rPr>
                <w:rFonts w:hint="default" w:ascii="Times New Roman" w:hAnsi="Times New Roman"/>
                <w:color w:val="auto"/>
                <w:sz w:val="24"/>
              </w:rPr>
              <w:t>范围内不存在自然保护区、风景名胜区、文化区</w:t>
            </w:r>
            <w:r>
              <w:rPr>
                <w:rFonts w:ascii="Times New Roman" w:hAnsi="Times New Roman"/>
                <w:color w:val="auto"/>
                <w:sz w:val="24"/>
              </w:rPr>
              <w:t>和文教区以及居民区</w:t>
            </w:r>
            <w:r>
              <w:rPr>
                <w:rFonts w:hint="default" w:ascii="Times New Roman" w:hAnsi="Times New Roman"/>
                <w:color w:val="auto"/>
                <w:sz w:val="24"/>
              </w:rPr>
              <w:t>。</w:t>
            </w:r>
          </w:p>
        </w:tc>
      </w:tr>
      <w:tr w14:paraId="385667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27" w:type="pct"/>
            <w:noWrap w:val="0"/>
            <w:tcMar>
              <w:left w:w="28" w:type="dxa"/>
              <w:right w:w="28" w:type="dxa"/>
            </w:tcMar>
            <w:vAlign w:val="center"/>
          </w:tcPr>
          <w:p w14:paraId="5C665023">
            <w:pPr>
              <w:adjustRightInd w:val="0"/>
              <w:snapToGrid w:val="0"/>
              <w:jc w:val="center"/>
              <w:rPr>
                <w:rFonts w:hint="eastAsia" w:ascii="宋体" w:hAnsi="宋体" w:cs="宋体"/>
                <w:kern w:val="0"/>
                <w:sz w:val="24"/>
              </w:rPr>
            </w:pPr>
            <w:r>
              <w:rPr>
                <w:rFonts w:hint="eastAsia" w:ascii="宋体" w:hAnsi="宋体" w:cs="宋体"/>
                <w:kern w:val="0"/>
                <w:sz w:val="24"/>
              </w:rPr>
              <w:t>污染</w:t>
            </w:r>
          </w:p>
          <w:p w14:paraId="4436D226">
            <w:pPr>
              <w:adjustRightInd w:val="0"/>
              <w:snapToGrid w:val="0"/>
              <w:jc w:val="center"/>
              <w:rPr>
                <w:rFonts w:hint="eastAsia" w:ascii="宋体" w:hAnsi="宋体" w:cs="宋体"/>
                <w:kern w:val="0"/>
                <w:sz w:val="24"/>
              </w:rPr>
            </w:pPr>
            <w:r>
              <w:rPr>
                <w:rFonts w:hint="eastAsia" w:ascii="宋体" w:hAnsi="宋体" w:cs="宋体"/>
                <w:kern w:val="0"/>
                <w:sz w:val="24"/>
              </w:rPr>
              <w:t>物排</w:t>
            </w:r>
          </w:p>
          <w:p w14:paraId="4FF423E2">
            <w:pPr>
              <w:adjustRightInd w:val="0"/>
              <w:snapToGrid w:val="0"/>
              <w:jc w:val="center"/>
              <w:rPr>
                <w:rFonts w:hint="eastAsia" w:ascii="宋体" w:hAnsi="宋体" w:cs="宋体"/>
                <w:kern w:val="0"/>
                <w:sz w:val="24"/>
              </w:rPr>
            </w:pPr>
            <w:r>
              <w:rPr>
                <w:rFonts w:hint="eastAsia" w:ascii="宋体" w:hAnsi="宋体" w:cs="宋体"/>
                <w:kern w:val="0"/>
                <w:sz w:val="24"/>
              </w:rPr>
              <w:t>放控</w:t>
            </w:r>
          </w:p>
          <w:p w14:paraId="651CCA46">
            <w:pPr>
              <w:adjustRightInd w:val="0"/>
              <w:snapToGrid w:val="0"/>
              <w:jc w:val="center"/>
              <w:rPr>
                <w:rFonts w:hint="eastAsia" w:ascii="宋体" w:hAnsi="宋体" w:cs="宋体"/>
                <w:kern w:val="0"/>
                <w:sz w:val="24"/>
              </w:rPr>
            </w:pPr>
            <w:r>
              <w:rPr>
                <w:rFonts w:hint="eastAsia" w:ascii="宋体" w:hAnsi="宋体" w:cs="宋体"/>
                <w:kern w:val="0"/>
                <w:sz w:val="24"/>
              </w:rPr>
              <w:t>制标</w:t>
            </w:r>
          </w:p>
          <w:p w14:paraId="1717407A">
            <w:pPr>
              <w:adjustRightInd w:val="0"/>
              <w:snapToGrid w:val="0"/>
              <w:jc w:val="center"/>
              <w:rPr>
                <w:rFonts w:ascii="宋体" w:hAnsi="宋体" w:cs="宋体"/>
                <w:kern w:val="0"/>
                <w:szCs w:val="21"/>
              </w:rPr>
            </w:pPr>
            <w:r>
              <w:rPr>
                <w:rFonts w:hint="eastAsia" w:ascii="宋体" w:hAnsi="宋体" w:cs="宋体"/>
                <w:kern w:val="0"/>
                <w:sz w:val="24"/>
              </w:rPr>
              <w:t>准</w:t>
            </w:r>
          </w:p>
        </w:tc>
        <w:tc>
          <w:tcPr>
            <w:tcW w:w="4772" w:type="pct"/>
            <w:noWrap w:val="0"/>
            <w:vAlign w:val="center"/>
          </w:tcPr>
          <w:p w14:paraId="16ABDEF0">
            <w:pPr>
              <w:pStyle w:val="10"/>
              <w:spacing w:before="120" w:beforeLines="50" w:after="0" w:line="360" w:lineRule="auto"/>
              <w:ind w:left="0" w:leftChars="0" w:firstLine="482" w:firstLineChars="200"/>
              <w:rPr>
                <w:b/>
                <w:bCs/>
              </w:rPr>
            </w:pPr>
            <w:r>
              <w:rPr>
                <w:b/>
                <w:bCs/>
              </w:rPr>
              <w:t>1、废水</w:t>
            </w:r>
          </w:p>
          <w:p w14:paraId="58C58E59">
            <w:pPr>
              <w:spacing w:line="360" w:lineRule="auto"/>
              <w:ind w:firstLine="480" w:firstLineChars="200"/>
              <w:rPr>
                <w:b/>
                <w:sz w:val="24"/>
              </w:rPr>
            </w:pPr>
            <w:r>
              <w:rPr>
                <w:sz w:val="24"/>
                <w:lang w:val="en-GB"/>
              </w:rPr>
              <w:t>本项目</w:t>
            </w:r>
            <w:r>
              <w:rPr>
                <w:rFonts w:hint="eastAsia"/>
                <w:sz w:val="24"/>
                <w:lang w:val="en-GB"/>
              </w:rPr>
              <w:t>研磨机冷却水循环使用，不外排。实验设备清洗废水</w:t>
            </w:r>
            <w:r>
              <w:rPr>
                <w:rFonts w:hint="eastAsia"/>
                <w:sz w:val="24"/>
                <w:lang w:val="en-GB" w:eastAsia="zh-CN"/>
              </w:rPr>
              <w:t>及实验室地面清洗废水</w:t>
            </w:r>
            <w:r>
              <w:rPr>
                <w:rFonts w:hint="eastAsia"/>
                <w:sz w:val="24"/>
              </w:rPr>
              <w:t>桶装收集后按危废处理，交有资质单位处理，</w:t>
            </w:r>
            <w:r>
              <w:rPr>
                <w:rFonts w:hint="eastAsia" w:eastAsia="宋体"/>
                <w:i/>
                <w:iCs/>
                <w:sz w:val="24"/>
                <w:u w:val="single"/>
                <w:lang w:eastAsia="zh-CN"/>
              </w:rPr>
              <w:t>员工就餐依托园区内食堂</w:t>
            </w:r>
            <w:r>
              <w:rPr>
                <w:rFonts w:eastAsia="Calibri"/>
                <w:i/>
                <w:iCs/>
                <w:sz w:val="24"/>
                <w:u w:val="single"/>
              </w:rPr>
              <w:t>。</w:t>
            </w:r>
            <w:r>
              <w:rPr>
                <w:rFonts w:hint="eastAsia" w:eastAsia="宋体"/>
                <w:i/>
                <w:iCs/>
                <w:sz w:val="24"/>
                <w:u w:val="single"/>
                <w:lang w:eastAsia="zh-CN"/>
              </w:rPr>
              <w:t>无食堂废水产生，</w:t>
            </w:r>
            <w:r>
              <w:rPr>
                <w:rFonts w:hint="eastAsia"/>
                <w:sz w:val="24"/>
              </w:rPr>
              <w:t>生活污水</w:t>
            </w:r>
            <w:r>
              <w:rPr>
                <w:rFonts w:hint="eastAsia"/>
                <w:sz w:val="24"/>
                <w:lang w:val="en-US" w:eastAsia="zh-CN"/>
              </w:rPr>
              <w:t>排入园区提供的</w:t>
            </w:r>
            <w:bookmarkStart w:id="12" w:name="_GoBack"/>
            <w:bookmarkEnd w:id="12"/>
            <w:r>
              <w:rPr>
                <w:rFonts w:hint="eastAsia"/>
                <w:sz w:val="24"/>
                <w:lang w:val="en-US" w:eastAsia="zh-CN"/>
              </w:rPr>
              <w:t>化粪池，</w:t>
            </w:r>
            <w:r>
              <w:rPr>
                <w:rFonts w:hint="eastAsia"/>
                <w:sz w:val="24"/>
                <w:lang w:eastAsia="zh-CN"/>
              </w:rPr>
              <w:t>由园区定期清淘用作农肥，待长春北湖科技开发区污水处理厂运行后，经市政管网排入该污水厂处理后排入干雾海河</w:t>
            </w:r>
            <w:r>
              <w:rPr>
                <w:sz w:val="24"/>
                <w:lang w:val="en-GB"/>
              </w:rPr>
              <w:t>，</w:t>
            </w:r>
            <w:r>
              <w:rPr>
                <w:sz w:val="24"/>
              </w:rPr>
              <w:t>根据《污水综合排放标准》</w:t>
            </w:r>
            <w:r>
              <w:rPr>
                <w:rFonts w:hint="eastAsia"/>
                <w:sz w:val="24"/>
              </w:rPr>
              <w:t>（</w:t>
            </w:r>
            <w:r>
              <w:rPr>
                <w:sz w:val="24"/>
              </w:rPr>
              <w:t>GB8978-1996</w:t>
            </w:r>
            <w:r>
              <w:rPr>
                <w:rFonts w:hint="eastAsia"/>
                <w:sz w:val="24"/>
              </w:rPr>
              <w:t>）</w:t>
            </w:r>
            <w:r>
              <w:rPr>
                <w:sz w:val="24"/>
              </w:rPr>
              <w:t>中的有关规定，排入设置二级污水处理厂的城镇排</w:t>
            </w:r>
            <w:r>
              <w:rPr>
                <w:rFonts w:hint="eastAsia"/>
                <w:sz w:val="24"/>
              </w:rPr>
              <w:t>水系统的污水，执行三级排放标准。其标准值见下表。</w:t>
            </w:r>
          </w:p>
          <w:p w14:paraId="4CD4FAAC">
            <w:pPr>
              <w:pStyle w:val="94"/>
              <w:numPr>
                <w:ilvl w:val="0"/>
                <w:numId w:val="0"/>
              </w:numPr>
              <w:adjustRightInd/>
              <w:snapToGrid/>
              <w:spacing w:line="240" w:lineRule="auto"/>
              <w:rPr>
                <w:b/>
                <w:color w:val="auto"/>
                <w:kern w:val="2"/>
                <w:szCs w:val="24"/>
                <w:lang w:val="zh-CN"/>
              </w:rPr>
            </w:pPr>
            <w:r>
              <w:rPr>
                <w:rFonts w:hint="eastAsia"/>
                <w:b/>
                <w:color w:val="auto"/>
                <w:kern w:val="2"/>
                <w:szCs w:val="24"/>
              </w:rPr>
              <w:t xml:space="preserve">表3-5  </w:t>
            </w:r>
            <w:r>
              <w:rPr>
                <w:b/>
                <w:color w:val="auto"/>
                <w:kern w:val="2"/>
                <w:szCs w:val="24"/>
                <w:lang w:bidi="ar"/>
              </w:rPr>
              <w:t xml:space="preserve"> </w:t>
            </w:r>
            <w:r>
              <w:rPr>
                <w:rFonts w:hint="eastAsia" w:ascii="宋体" w:hAnsi="宋体" w:cs="宋体"/>
                <w:b/>
                <w:color w:val="auto"/>
                <w:kern w:val="2"/>
                <w:szCs w:val="24"/>
                <w:lang w:bidi="ar"/>
              </w:rPr>
              <w:t>污水综合排放标准   单位：</w:t>
            </w:r>
            <w:r>
              <w:rPr>
                <w:b/>
                <w:color w:val="auto"/>
                <w:kern w:val="2"/>
                <w:szCs w:val="24"/>
                <w:lang w:bidi="ar"/>
              </w:rPr>
              <w:t>mg/L</w:t>
            </w:r>
          </w:p>
          <w:tbl>
            <w:tblPr>
              <w:tblStyle w:val="27"/>
              <w:tblW w:w="4997" w:type="pct"/>
              <w:tblInd w:w="0" w:type="dxa"/>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1128"/>
              <w:gridCol w:w="1615"/>
              <w:gridCol w:w="1620"/>
              <w:gridCol w:w="1622"/>
              <w:gridCol w:w="3300"/>
            </w:tblGrid>
            <w:tr w14:paraId="6DBFA0FE">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607" w:type="pct"/>
                  <w:tcBorders>
                    <w:top w:val="single" w:color="auto" w:sz="12" w:space="0"/>
                    <w:left w:val="nil"/>
                    <w:bottom w:val="single" w:color="auto" w:sz="4" w:space="0"/>
                    <w:right w:val="single" w:color="auto" w:sz="4" w:space="0"/>
                  </w:tcBorders>
                  <w:noWrap w:val="0"/>
                  <w:vAlign w:val="center"/>
                </w:tcPr>
                <w:p w14:paraId="603FBEA8">
                  <w:pPr>
                    <w:jc w:val="center"/>
                    <w:rPr>
                      <w:szCs w:val="21"/>
                    </w:rPr>
                  </w:pPr>
                  <w:r>
                    <w:rPr>
                      <w:rFonts w:hint="eastAsia" w:ascii="宋体" w:hAnsi="宋体" w:cs="宋体"/>
                      <w:szCs w:val="21"/>
                      <w:lang w:bidi="ar"/>
                    </w:rPr>
                    <w:t>序号</w:t>
                  </w:r>
                </w:p>
              </w:tc>
              <w:tc>
                <w:tcPr>
                  <w:tcW w:w="869" w:type="pct"/>
                  <w:tcBorders>
                    <w:top w:val="single" w:color="auto" w:sz="12" w:space="0"/>
                    <w:left w:val="nil"/>
                    <w:bottom w:val="single" w:color="auto" w:sz="4" w:space="0"/>
                    <w:right w:val="single" w:color="auto" w:sz="4" w:space="0"/>
                  </w:tcBorders>
                  <w:noWrap w:val="0"/>
                  <w:vAlign w:val="center"/>
                </w:tcPr>
                <w:p w14:paraId="05E1FF9A">
                  <w:pPr>
                    <w:jc w:val="center"/>
                    <w:rPr>
                      <w:szCs w:val="21"/>
                    </w:rPr>
                  </w:pPr>
                  <w:r>
                    <w:rPr>
                      <w:rFonts w:hint="eastAsia" w:ascii="宋体" w:hAnsi="宋体" w:cs="宋体"/>
                      <w:szCs w:val="21"/>
                      <w:lang w:bidi="ar"/>
                    </w:rPr>
                    <w:t>污染物</w:t>
                  </w:r>
                </w:p>
              </w:tc>
              <w:tc>
                <w:tcPr>
                  <w:tcW w:w="872" w:type="pct"/>
                  <w:tcBorders>
                    <w:top w:val="single" w:color="auto" w:sz="12" w:space="0"/>
                    <w:left w:val="nil"/>
                    <w:bottom w:val="single" w:color="auto" w:sz="4" w:space="0"/>
                    <w:right w:val="single" w:color="auto" w:sz="4" w:space="0"/>
                  </w:tcBorders>
                  <w:noWrap w:val="0"/>
                  <w:vAlign w:val="center"/>
                </w:tcPr>
                <w:p w14:paraId="4E1896EC">
                  <w:pPr>
                    <w:jc w:val="center"/>
                    <w:rPr>
                      <w:szCs w:val="21"/>
                    </w:rPr>
                  </w:pPr>
                  <w:r>
                    <w:rPr>
                      <w:rFonts w:hint="eastAsia" w:ascii="宋体" w:hAnsi="宋体" w:cs="宋体"/>
                      <w:szCs w:val="21"/>
                      <w:lang w:bidi="ar"/>
                    </w:rPr>
                    <w:t>单位</w:t>
                  </w:r>
                </w:p>
              </w:tc>
              <w:tc>
                <w:tcPr>
                  <w:tcW w:w="873" w:type="pct"/>
                  <w:tcBorders>
                    <w:top w:val="single" w:color="auto" w:sz="12" w:space="0"/>
                    <w:left w:val="nil"/>
                    <w:bottom w:val="single" w:color="auto" w:sz="4" w:space="0"/>
                    <w:right w:val="single" w:color="auto" w:sz="4" w:space="0"/>
                  </w:tcBorders>
                  <w:noWrap w:val="0"/>
                  <w:vAlign w:val="center"/>
                </w:tcPr>
                <w:p w14:paraId="3A698EC9">
                  <w:pPr>
                    <w:jc w:val="center"/>
                    <w:rPr>
                      <w:szCs w:val="21"/>
                    </w:rPr>
                  </w:pPr>
                  <w:r>
                    <w:rPr>
                      <w:rFonts w:hint="eastAsia" w:ascii="宋体" w:hAnsi="宋体" w:cs="宋体"/>
                      <w:szCs w:val="21"/>
                      <w:lang w:bidi="ar"/>
                    </w:rPr>
                    <w:t>标准值</w:t>
                  </w:r>
                </w:p>
              </w:tc>
              <w:tc>
                <w:tcPr>
                  <w:tcW w:w="1776" w:type="pct"/>
                  <w:tcBorders>
                    <w:top w:val="single" w:color="auto" w:sz="12" w:space="0"/>
                    <w:left w:val="nil"/>
                    <w:bottom w:val="single" w:color="auto" w:sz="4" w:space="0"/>
                    <w:right w:val="nil"/>
                  </w:tcBorders>
                  <w:noWrap w:val="0"/>
                  <w:vAlign w:val="center"/>
                </w:tcPr>
                <w:p w14:paraId="560835C9">
                  <w:pPr>
                    <w:jc w:val="center"/>
                    <w:rPr>
                      <w:szCs w:val="21"/>
                    </w:rPr>
                  </w:pPr>
                  <w:r>
                    <w:rPr>
                      <w:rFonts w:hint="eastAsia" w:ascii="宋体" w:hAnsi="宋体" w:cs="宋体"/>
                      <w:szCs w:val="21"/>
                      <w:lang w:bidi="ar"/>
                    </w:rPr>
                    <w:t>标准来源</w:t>
                  </w:r>
                </w:p>
              </w:tc>
            </w:tr>
            <w:tr w14:paraId="39DA0A6A">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607" w:type="pct"/>
                  <w:tcBorders>
                    <w:top w:val="single" w:color="auto" w:sz="4" w:space="0"/>
                    <w:left w:val="nil"/>
                    <w:bottom w:val="single" w:color="auto" w:sz="4" w:space="0"/>
                    <w:right w:val="single" w:color="auto" w:sz="4" w:space="0"/>
                  </w:tcBorders>
                  <w:noWrap w:val="0"/>
                  <w:vAlign w:val="center"/>
                </w:tcPr>
                <w:p w14:paraId="306AF6B7">
                  <w:pPr>
                    <w:jc w:val="center"/>
                    <w:rPr>
                      <w:szCs w:val="21"/>
                    </w:rPr>
                  </w:pPr>
                  <w:r>
                    <w:rPr>
                      <w:szCs w:val="21"/>
                      <w:lang w:bidi="ar"/>
                    </w:rPr>
                    <w:t>1</w:t>
                  </w:r>
                </w:p>
              </w:tc>
              <w:tc>
                <w:tcPr>
                  <w:tcW w:w="869" w:type="pct"/>
                  <w:tcBorders>
                    <w:top w:val="single" w:color="auto" w:sz="4" w:space="0"/>
                    <w:left w:val="nil"/>
                    <w:bottom w:val="single" w:color="auto" w:sz="4" w:space="0"/>
                    <w:right w:val="single" w:color="auto" w:sz="4" w:space="0"/>
                  </w:tcBorders>
                  <w:noWrap w:val="0"/>
                  <w:vAlign w:val="center"/>
                </w:tcPr>
                <w:p w14:paraId="014450E4">
                  <w:pPr>
                    <w:jc w:val="center"/>
                    <w:rPr>
                      <w:szCs w:val="21"/>
                    </w:rPr>
                  </w:pPr>
                  <w:r>
                    <w:rPr>
                      <w:szCs w:val="21"/>
                      <w:lang w:bidi="ar"/>
                    </w:rPr>
                    <w:t>pH</w:t>
                  </w:r>
                </w:p>
              </w:tc>
              <w:tc>
                <w:tcPr>
                  <w:tcW w:w="872" w:type="pct"/>
                  <w:tcBorders>
                    <w:top w:val="single" w:color="auto" w:sz="4" w:space="0"/>
                    <w:left w:val="nil"/>
                    <w:bottom w:val="single" w:color="auto" w:sz="4" w:space="0"/>
                    <w:right w:val="single" w:color="auto" w:sz="4" w:space="0"/>
                  </w:tcBorders>
                  <w:noWrap w:val="0"/>
                  <w:vAlign w:val="center"/>
                </w:tcPr>
                <w:p w14:paraId="56DE98AA">
                  <w:pPr>
                    <w:jc w:val="center"/>
                    <w:rPr>
                      <w:szCs w:val="21"/>
                    </w:rPr>
                  </w:pPr>
                  <w:r>
                    <w:rPr>
                      <w:rFonts w:hint="eastAsia" w:ascii="宋体" w:hAnsi="宋体" w:cs="宋体"/>
                      <w:szCs w:val="21"/>
                      <w:lang w:bidi="ar"/>
                    </w:rPr>
                    <w:t>无量纲</w:t>
                  </w:r>
                </w:p>
              </w:tc>
              <w:tc>
                <w:tcPr>
                  <w:tcW w:w="873" w:type="pct"/>
                  <w:tcBorders>
                    <w:top w:val="single" w:color="auto" w:sz="4" w:space="0"/>
                    <w:left w:val="nil"/>
                    <w:bottom w:val="single" w:color="auto" w:sz="4" w:space="0"/>
                    <w:right w:val="single" w:color="auto" w:sz="4" w:space="0"/>
                  </w:tcBorders>
                  <w:noWrap w:val="0"/>
                  <w:vAlign w:val="center"/>
                </w:tcPr>
                <w:p w14:paraId="7884CB8A">
                  <w:pPr>
                    <w:jc w:val="center"/>
                    <w:rPr>
                      <w:szCs w:val="21"/>
                    </w:rPr>
                  </w:pPr>
                  <w:r>
                    <w:rPr>
                      <w:szCs w:val="21"/>
                      <w:lang w:bidi="ar"/>
                    </w:rPr>
                    <w:t>6-9</w:t>
                  </w:r>
                </w:p>
              </w:tc>
              <w:tc>
                <w:tcPr>
                  <w:tcW w:w="1776" w:type="pct"/>
                  <w:vMerge w:val="restart"/>
                  <w:tcBorders>
                    <w:top w:val="nil"/>
                    <w:left w:val="nil"/>
                    <w:right w:val="nil"/>
                  </w:tcBorders>
                  <w:noWrap w:val="0"/>
                  <w:vAlign w:val="center"/>
                </w:tcPr>
                <w:p w14:paraId="1972E64A">
                  <w:pPr>
                    <w:jc w:val="center"/>
                    <w:rPr>
                      <w:szCs w:val="21"/>
                    </w:rPr>
                  </w:pPr>
                  <w:r>
                    <w:rPr>
                      <w:rFonts w:hint="eastAsia" w:ascii="宋体" w:hAnsi="宋体" w:cs="宋体"/>
                      <w:bCs/>
                      <w:szCs w:val="21"/>
                      <w:lang w:bidi="ar"/>
                    </w:rPr>
                    <w:t>《污水综合排放标准》（</w:t>
                  </w:r>
                  <w:r>
                    <w:rPr>
                      <w:bCs/>
                      <w:szCs w:val="21"/>
                      <w:lang w:bidi="ar"/>
                    </w:rPr>
                    <w:t>GB8978-1996</w:t>
                  </w:r>
                  <w:r>
                    <w:rPr>
                      <w:rFonts w:hint="eastAsia" w:ascii="宋体" w:hAnsi="宋体" w:cs="宋体"/>
                      <w:bCs/>
                      <w:szCs w:val="21"/>
                      <w:lang w:bidi="ar"/>
                    </w:rPr>
                    <w:t>）中三级排放</w:t>
                  </w:r>
                  <w:r>
                    <w:rPr>
                      <w:rFonts w:hint="eastAsia" w:ascii="宋体" w:hAnsi="宋体" w:cs="宋体"/>
                      <w:szCs w:val="21"/>
                      <w:lang w:bidi="ar"/>
                    </w:rPr>
                    <w:t>标准</w:t>
                  </w:r>
                </w:p>
              </w:tc>
            </w:tr>
            <w:tr w14:paraId="766EB852">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607" w:type="pct"/>
                  <w:tcBorders>
                    <w:top w:val="single" w:color="auto" w:sz="4" w:space="0"/>
                    <w:left w:val="nil"/>
                    <w:bottom w:val="single" w:color="auto" w:sz="4" w:space="0"/>
                    <w:right w:val="single" w:color="auto" w:sz="4" w:space="0"/>
                  </w:tcBorders>
                  <w:noWrap w:val="0"/>
                  <w:vAlign w:val="center"/>
                </w:tcPr>
                <w:p w14:paraId="5F618414">
                  <w:pPr>
                    <w:jc w:val="center"/>
                    <w:rPr>
                      <w:szCs w:val="21"/>
                    </w:rPr>
                  </w:pPr>
                  <w:r>
                    <w:rPr>
                      <w:szCs w:val="21"/>
                      <w:lang w:bidi="ar"/>
                    </w:rPr>
                    <w:t>2</w:t>
                  </w:r>
                </w:p>
              </w:tc>
              <w:tc>
                <w:tcPr>
                  <w:tcW w:w="869" w:type="pct"/>
                  <w:tcBorders>
                    <w:top w:val="single" w:color="auto" w:sz="4" w:space="0"/>
                    <w:left w:val="nil"/>
                    <w:bottom w:val="single" w:color="auto" w:sz="4" w:space="0"/>
                    <w:right w:val="single" w:color="auto" w:sz="4" w:space="0"/>
                  </w:tcBorders>
                  <w:noWrap w:val="0"/>
                  <w:vAlign w:val="center"/>
                </w:tcPr>
                <w:p w14:paraId="26426359">
                  <w:pPr>
                    <w:jc w:val="center"/>
                    <w:rPr>
                      <w:szCs w:val="21"/>
                    </w:rPr>
                  </w:pPr>
                  <w:r>
                    <w:rPr>
                      <w:szCs w:val="21"/>
                      <w:lang w:bidi="ar"/>
                    </w:rPr>
                    <w:t>COD</w:t>
                  </w:r>
                </w:p>
              </w:tc>
              <w:tc>
                <w:tcPr>
                  <w:tcW w:w="872" w:type="pct"/>
                  <w:tcBorders>
                    <w:top w:val="single" w:color="auto" w:sz="4" w:space="0"/>
                    <w:left w:val="nil"/>
                    <w:bottom w:val="single" w:color="auto" w:sz="4" w:space="0"/>
                    <w:right w:val="single" w:color="auto" w:sz="4" w:space="0"/>
                  </w:tcBorders>
                  <w:noWrap w:val="0"/>
                  <w:vAlign w:val="center"/>
                </w:tcPr>
                <w:p w14:paraId="1B63476F">
                  <w:pPr>
                    <w:jc w:val="center"/>
                    <w:rPr>
                      <w:szCs w:val="21"/>
                    </w:rPr>
                  </w:pPr>
                  <w:r>
                    <w:rPr>
                      <w:szCs w:val="21"/>
                      <w:lang w:bidi="ar"/>
                    </w:rPr>
                    <w:t>mg/L</w:t>
                  </w:r>
                </w:p>
              </w:tc>
              <w:tc>
                <w:tcPr>
                  <w:tcW w:w="873" w:type="pct"/>
                  <w:tcBorders>
                    <w:top w:val="single" w:color="auto" w:sz="4" w:space="0"/>
                    <w:left w:val="nil"/>
                    <w:bottom w:val="single" w:color="auto" w:sz="4" w:space="0"/>
                    <w:right w:val="single" w:color="auto" w:sz="4" w:space="0"/>
                  </w:tcBorders>
                  <w:noWrap w:val="0"/>
                  <w:vAlign w:val="center"/>
                </w:tcPr>
                <w:p w14:paraId="10E171D9">
                  <w:pPr>
                    <w:jc w:val="center"/>
                    <w:rPr>
                      <w:szCs w:val="21"/>
                    </w:rPr>
                  </w:pPr>
                  <w:r>
                    <w:rPr>
                      <w:szCs w:val="21"/>
                      <w:lang w:bidi="ar"/>
                    </w:rPr>
                    <w:t>500</w:t>
                  </w:r>
                </w:p>
              </w:tc>
              <w:tc>
                <w:tcPr>
                  <w:tcW w:w="1776" w:type="pct"/>
                  <w:vMerge w:val="continue"/>
                  <w:tcBorders>
                    <w:left w:val="nil"/>
                    <w:right w:val="nil"/>
                  </w:tcBorders>
                  <w:noWrap w:val="0"/>
                  <w:vAlign w:val="center"/>
                </w:tcPr>
                <w:p w14:paraId="5C2B0CBB">
                  <w:pPr>
                    <w:jc w:val="center"/>
                    <w:rPr>
                      <w:sz w:val="20"/>
                      <w:szCs w:val="20"/>
                    </w:rPr>
                  </w:pPr>
                </w:p>
              </w:tc>
            </w:tr>
            <w:tr w14:paraId="461790E5">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07" w:type="pct"/>
                  <w:tcBorders>
                    <w:top w:val="single" w:color="auto" w:sz="4" w:space="0"/>
                    <w:left w:val="nil"/>
                    <w:bottom w:val="single" w:color="auto" w:sz="4" w:space="0"/>
                    <w:right w:val="single" w:color="auto" w:sz="4" w:space="0"/>
                  </w:tcBorders>
                  <w:noWrap w:val="0"/>
                  <w:vAlign w:val="center"/>
                </w:tcPr>
                <w:p w14:paraId="53EFF131">
                  <w:pPr>
                    <w:jc w:val="center"/>
                    <w:rPr>
                      <w:szCs w:val="21"/>
                    </w:rPr>
                  </w:pPr>
                  <w:r>
                    <w:rPr>
                      <w:szCs w:val="21"/>
                      <w:lang w:bidi="ar"/>
                    </w:rPr>
                    <w:t>3</w:t>
                  </w:r>
                </w:p>
              </w:tc>
              <w:tc>
                <w:tcPr>
                  <w:tcW w:w="869" w:type="pct"/>
                  <w:tcBorders>
                    <w:top w:val="single" w:color="auto" w:sz="4" w:space="0"/>
                    <w:left w:val="nil"/>
                    <w:bottom w:val="single" w:color="auto" w:sz="4" w:space="0"/>
                    <w:right w:val="single" w:color="auto" w:sz="4" w:space="0"/>
                  </w:tcBorders>
                  <w:noWrap w:val="0"/>
                  <w:vAlign w:val="center"/>
                </w:tcPr>
                <w:p w14:paraId="7CB6132C">
                  <w:pPr>
                    <w:jc w:val="center"/>
                    <w:rPr>
                      <w:szCs w:val="21"/>
                    </w:rPr>
                  </w:pPr>
                  <w:r>
                    <w:rPr>
                      <w:szCs w:val="21"/>
                      <w:lang w:bidi="ar"/>
                    </w:rPr>
                    <w:t>BOD</w:t>
                  </w:r>
                  <w:r>
                    <w:rPr>
                      <w:szCs w:val="21"/>
                      <w:vertAlign w:val="subscript"/>
                      <w:lang w:bidi="ar"/>
                    </w:rPr>
                    <w:t>5</w:t>
                  </w:r>
                </w:p>
              </w:tc>
              <w:tc>
                <w:tcPr>
                  <w:tcW w:w="872" w:type="pct"/>
                  <w:tcBorders>
                    <w:top w:val="single" w:color="auto" w:sz="4" w:space="0"/>
                    <w:left w:val="nil"/>
                    <w:bottom w:val="single" w:color="auto" w:sz="4" w:space="0"/>
                    <w:right w:val="single" w:color="auto" w:sz="4" w:space="0"/>
                  </w:tcBorders>
                  <w:noWrap w:val="0"/>
                  <w:vAlign w:val="center"/>
                </w:tcPr>
                <w:p w14:paraId="0F1AB6AA">
                  <w:pPr>
                    <w:jc w:val="center"/>
                    <w:rPr>
                      <w:szCs w:val="21"/>
                    </w:rPr>
                  </w:pPr>
                  <w:r>
                    <w:rPr>
                      <w:szCs w:val="21"/>
                      <w:lang w:bidi="ar"/>
                    </w:rPr>
                    <w:t>mg/L</w:t>
                  </w:r>
                </w:p>
              </w:tc>
              <w:tc>
                <w:tcPr>
                  <w:tcW w:w="873" w:type="pct"/>
                  <w:tcBorders>
                    <w:top w:val="single" w:color="auto" w:sz="4" w:space="0"/>
                    <w:left w:val="nil"/>
                    <w:bottom w:val="single" w:color="auto" w:sz="4" w:space="0"/>
                    <w:right w:val="single" w:color="auto" w:sz="4" w:space="0"/>
                  </w:tcBorders>
                  <w:noWrap w:val="0"/>
                  <w:vAlign w:val="center"/>
                </w:tcPr>
                <w:p w14:paraId="5717C8B3">
                  <w:pPr>
                    <w:jc w:val="center"/>
                    <w:rPr>
                      <w:szCs w:val="21"/>
                    </w:rPr>
                  </w:pPr>
                  <w:r>
                    <w:rPr>
                      <w:szCs w:val="21"/>
                      <w:lang w:bidi="ar"/>
                    </w:rPr>
                    <w:t>300</w:t>
                  </w:r>
                </w:p>
              </w:tc>
              <w:tc>
                <w:tcPr>
                  <w:tcW w:w="1776" w:type="pct"/>
                  <w:vMerge w:val="continue"/>
                  <w:tcBorders>
                    <w:left w:val="nil"/>
                    <w:right w:val="nil"/>
                  </w:tcBorders>
                  <w:noWrap w:val="0"/>
                  <w:vAlign w:val="center"/>
                </w:tcPr>
                <w:p w14:paraId="62F7C077">
                  <w:pPr>
                    <w:jc w:val="center"/>
                    <w:rPr>
                      <w:sz w:val="20"/>
                      <w:szCs w:val="20"/>
                    </w:rPr>
                  </w:pPr>
                </w:p>
              </w:tc>
            </w:tr>
            <w:tr w14:paraId="26A7E9A8">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607" w:type="pct"/>
                  <w:tcBorders>
                    <w:top w:val="single" w:color="auto" w:sz="4" w:space="0"/>
                    <w:left w:val="nil"/>
                    <w:bottom w:val="single" w:color="auto" w:sz="4" w:space="0"/>
                    <w:right w:val="single" w:color="auto" w:sz="4" w:space="0"/>
                  </w:tcBorders>
                  <w:noWrap w:val="0"/>
                  <w:vAlign w:val="center"/>
                </w:tcPr>
                <w:p w14:paraId="58486A25">
                  <w:pPr>
                    <w:jc w:val="center"/>
                    <w:rPr>
                      <w:szCs w:val="21"/>
                    </w:rPr>
                  </w:pPr>
                  <w:r>
                    <w:rPr>
                      <w:szCs w:val="21"/>
                      <w:lang w:bidi="ar"/>
                    </w:rPr>
                    <w:t>4</w:t>
                  </w:r>
                </w:p>
              </w:tc>
              <w:tc>
                <w:tcPr>
                  <w:tcW w:w="869" w:type="pct"/>
                  <w:tcBorders>
                    <w:top w:val="single" w:color="auto" w:sz="4" w:space="0"/>
                    <w:left w:val="nil"/>
                    <w:bottom w:val="single" w:color="auto" w:sz="4" w:space="0"/>
                    <w:right w:val="single" w:color="auto" w:sz="4" w:space="0"/>
                  </w:tcBorders>
                  <w:noWrap w:val="0"/>
                  <w:vAlign w:val="center"/>
                </w:tcPr>
                <w:p w14:paraId="7E82D7A2">
                  <w:pPr>
                    <w:jc w:val="center"/>
                    <w:rPr>
                      <w:szCs w:val="21"/>
                    </w:rPr>
                  </w:pPr>
                  <w:r>
                    <w:rPr>
                      <w:szCs w:val="21"/>
                      <w:lang w:bidi="ar"/>
                    </w:rPr>
                    <w:t>SS</w:t>
                  </w:r>
                </w:p>
              </w:tc>
              <w:tc>
                <w:tcPr>
                  <w:tcW w:w="872" w:type="pct"/>
                  <w:tcBorders>
                    <w:top w:val="single" w:color="auto" w:sz="4" w:space="0"/>
                    <w:left w:val="nil"/>
                    <w:bottom w:val="single" w:color="auto" w:sz="4" w:space="0"/>
                    <w:right w:val="single" w:color="auto" w:sz="4" w:space="0"/>
                  </w:tcBorders>
                  <w:noWrap w:val="0"/>
                  <w:vAlign w:val="center"/>
                </w:tcPr>
                <w:p w14:paraId="21F66F58">
                  <w:pPr>
                    <w:jc w:val="center"/>
                    <w:rPr>
                      <w:szCs w:val="21"/>
                    </w:rPr>
                  </w:pPr>
                  <w:r>
                    <w:rPr>
                      <w:szCs w:val="21"/>
                      <w:lang w:bidi="ar"/>
                    </w:rPr>
                    <w:t>mg/L</w:t>
                  </w:r>
                </w:p>
              </w:tc>
              <w:tc>
                <w:tcPr>
                  <w:tcW w:w="873" w:type="pct"/>
                  <w:tcBorders>
                    <w:top w:val="single" w:color="auto" w:sz="4" w:space="0"/>
                    <w:left w:val="nil"/>
                    <w:bottom w:val="single" w:color="auto" w:sz="4" w:space="0"/>
                    <w:right w:val="single" w:color="auto" w:sz="4" w:space="0"/>
                  </w:tcBorders>
                  <w:noWrap w:val="0"/>
                  <w:vAlign w:val="center"/>
                </w:tcPr>
                <w:p w14:paraId="65F57955">
                  <w:pPr>
                    <w:jc w:val="center"/>
                    <w:rPr>
                      <w:szCs w:val="21"/>
                    </w:rPr>
                  </w:pPr>
                  <w:r>
                    <w:rPr>
                      <w:szCs w:val="21"/>
                      <w:lang w:bidi="ar"/>
                    </w:rPr>
                    <w:t>400</w:t>
                  </w:r>
                </w:p>
              </w:tc>
              <w:tc>
                <w:tcPr>
                  <w:tcW w:w="1776" w:type="pct"/>
                  <w:vMerge w:val="continue"/>
                  <w:tcBorders>
                    <w:left w:val="nil"/>
                    <w:right w:val="nil"/>
                  </w:tcBorders>
                  <w:noWrap w:val="0"/>
                  <w:vAlign w:val="center"/>
                </w:tcPr>
                <w:p w14:paraId="0345910F">
                  <w:pPr>
                    <w:jc w:val="center"/>
                    <w:rPr>
                      <w:sz w:val="20"/>
                      <w:szCs w:val="20"/>
                    </w:rPr>
                  </w:pPr>
                </w:p>
              </w:tc>
            </w:tr>
            <w:tr w14:paraId="2EF83584">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607" w:type="pct"/>
                  <w:tcBorders>
                    <w:top w:val="single" w:color="auto" w:sz="4" w:space="0"/>
                    <w:left w:val="nil"/>
                    <w:bottom w:val="single" w:color="auto" w:sz="12" w:space="0"/>
                    <w:right w:val="single" w:color="auto" w:sz="4" w:space="0"/>
                  </w:tcBorders>
                  <w:noWrap w:val="0"/>
                  <w:vAlign w:val="center"/>
                </w:tcPr>
                <w:p w14:paraId="2DAC5500">
                  <w:pPr>
                    <w:jc w:val="center"/>
                    <w:rPr>
                      <w:szCs w:val="21"/>
                    </w:rPr>
                  </w:pPr>
                  <w:r>
                    <w:rPr>
                      <w:szCs w:val="21"/>
                      <w:lang w:bidi="ar"/>
                    </w:rPr>
                    <w:t>5</w:t>
                  </w:r>
                </w:p>
              </w:tc>
              <w:tc>
                <w:tcPr>
                  <w:tcW w:w="869" w:type="pct"/>
                  <w:tcBorders>
                    <w:top w:val="single" w:color="auto" w:sz="4" w:space="0"/>
                    <w:left w:val="nil"/>
                    <w:bottom w:val="single" w:color="auto" w:sz="12" w:space="0"/>
                    <w:right w:val="single" w:color="auto" w:sz="4" w:space="0"/>
                  </w:tcBorders>
                  <w:noWrap w:val="0"/>
                  <w:vAlign w:val="center"/>
                </w:tcPr>
                <w:p w14:paraId="26C9ADD2">
                  <w:pPr>
                    <w:jc w:val="center"/>
                    <w:rPr>
                      <w:szCs w:val="21"/>
                    </w:rPr>
                  </w:pPr>
                  <w:r>
                    <w:rPr>
                      <w:szCs w:val="21"/>
                      <w:lang w:bidi="ar"/>
                    </w:rPr>
                    <w:t>NH</w:t>
                  </w:r>
                  <w:r>
                    <w:rPr>
                      <w:szCs w:val="21"/>
                      <w:vertAlign w:val="subscript"/>
                      <w:lang w:bidi="ar"/>
                    </w:rPr>
                    <w:t>3</w:t>
                  </w:r>
                  <w:r>
                    <w:rPr>
                      <w:szCs w:val="21"/>
                      <w:lang w:bidi="ar"/>
                    </w:rPr>
                    <w:t>-N</w:t>
                  </w:r>
                </w:p>
              </w:tc>
              <w:tc>
                <w:tcPr>
                  <w:tcW w:w="872" w:type="pct"/>
                  <w:tcBorders>
                    <w:top w:val="single" w:color="auto" w:sz="4" w:space="0"/>
                    <w:left w:val="nil"/>
                    <w:bottom w:val="single" w:color="auto" w:sz="12" w:space="0"/>
                    <w:right w:val="single" w:color="auto" w:sz="4" w:space="0"/>
                  </w:tcBorders>
                  <w:noWrap w:val="0"/>
                  <w:vAlign w:val="center"/>
                </w:tcPr>
                <w:p w14:paraId="638449DC">
                  <w:pPr>
                    <w:jc w:val="center"/>
                    <w:rPr>
                      <w:szCs w:val="21"/>
                    </w:rPr>
                  </w:pPr>
                  <w:r>
                    <w:rPr>
                      <w:szCs w:val="21"/>
                      <w:lang w:bidi="ar"/>
                    </w:rPr>
                    <w:t>mg/L</w:t>
                  </w:r>
                </w:p>
              </w:tc>
              <w:tc>
                <w:tcPr>
                  <w:tcW w:w="873" w:type="pct"/>
                  <w:tcBorders>
                    <w:top w:val="single" w:color="auto" w:sz="4" w:space="0"/>
                    <w:left w:val="nil"/>
                    <w:bottom w:val="single" w:color="auto" w:sz="12" w:space="0"/>
                    <w:right w:val="single" w:color="auto" w:sz="4" w:space="0"/>
                  </w:tcBorders>
                  <w:noWrap w:val="0"/>
                  <w:vAlign w:val="center"/>
                </w:tcPr>
                <w:p w14:paraId="3AB20DC4">
                  <w:pPr>
                    <w:jc w:val="center"/>
                    <w:rPr>
                      <w:szCs w:val="21"/>
                    </w:rPr>
                  </w:pPr>
                  <w:r>
                    <w:rPr>
                      <w:szCs w:val="21"/>
                      <w:lang w:bidi="ar"/>
                    </w:rPr>
                    <w:t>-</w:t>
                  </w:r>
                </w:p>
              </w:tc>
              <w:tc>
                <w:tcPr>
                  <w:tcW w:w="1776" w:type="pct"/>
                  <w:vMerge w:val="continue"/>
                  <w:tcBorders>
                    <w:left w:val="nil"/>
                    <w:right w:val="nil"/>
                  </w:tcBorders>
                  <w:noWrap w:val="0"/>
                  <w:vAlign w:val="center"/>
                </w:tcPr>
                <w:p w14:paraId="69AF07FA">
                  <w:pPr>
                    <w:jc w:val="center"/>
                    <w:rPr>
                      <w:sz w:val="20"/>
                      <w:szCs w:val="20"/>
                    </w:rPr>
                  </w:pPr>
                </w:p>
              </w:tc>
            </w:tr>
          </w:tbl>
          <w:p w14:paraId="5A81D113">
            <w:pPr>
              <w:pStyle w:val="44"/>
              <w:spacing w:before="48" w:after="48"/>
              <w:rPr>
                <w:sz w:val="24"/>
                <w:lang w:val="en-GB"/>
              </w:rPr>
            </w:pPr>
          </w:p>
          <w:p w14:paraId="4012C0DB">
            <w:pPr>
              <w:spacing w:line="360" w:lineRule="auto"/>
              <w:ind w:firstLine="480" w:firstLineChars="200"/>
              <w:rPr>
                <w:sz w:val="24"/>
              </w:rPr>
            </w:pPr>
            <w:r>
              <w:rPr>
                <w:rFonts w:hint="eastAsia" w:ascii="宋体" w:hAnsi="宋体"/>
                <w:sz w:val="24"/>
                <w:lang w:eastAsia="zh-CN"/>
              </w:rPr>
              <w:t>长春北湖科技开发区污水处理厂</w:t>
            </w:r>
            <w:r>
              <w:rPr>
                <w:sz w:val="24"/>
              </w:rPr>
              <w:t>出水水质执行</w:t>
            </w:r>
            <w:r>
              <w:rPr>
                <w:rFonts w:hint="eastAsia"/>
                <w:sz w:val="24"/>
              </w:rPr>
              <w:t>《城镇污水处理厂水污染物排放标准》（GB18918-2002）中一级A标准（COD、氨氮指标执行超低排放标准</w:t>
            </w:r>
            <w:r>
              <w:rPr>
                <w:rFonts w:hint="eastAsia"/>
                <w:sz w:val="24"/>
                <w:lang w:eastAsia="zh-CN"/>
              </w:rPr>
              <w:t>）</w:t>
            </w:r>
            <w:r>
              <w:rPr>
                <w:rFonts w:hint="eastAsia"/>
                <w:sz w:val="24"/>
              </w:rPr>
              <w:t>，处理达标后排放至</w:t>
            </w:r>
            <w:r>
              <w:rPr>
                <w:rFonts w:hint="eastAsia"/>
                <w:sz w:val="24"/>
                <w:lang w:eastAsia="zh-CN"/>
              </w:rPr>
              <w:t>干雾海河</w:t>
            </w:r>
            <w:r>
              <w:rPr>
                <w:rFonts w:hint="eastAsia"/>
                <w:sz w:val="24"/>
              </w:rPr>
              <w:t>，</w:t>
            </w:r>
            <w:r>
              <w:rPr>
                <w:sz w:val="24"/>
              </w:rPr>
              <w:t>详见</w:t>
            </w:r>
            <w:r>
              <w:rPr>
                <w:rFonts w:hint="eastAsia"/>
                <w:sz w:val="24"/>
              </w:rPr>
              <w:t>下表</w:t>
            </w:r>
            <w:r>
              <w:rPr>
                <w:sz w:val="24"/>
              </w:rPr>
              <w:t>。</w:t>
            </w:r>
          </w:p>
          <w:p w14:paraId="0945CB9E">
            <w:pPr>
              <w:ind w:firstLine="482" w:firstLineChars="200"/>
              <w:jc w:val="center"/>
              <w:rPr>
                <w:lang w:val="zh-CN"/>
              </w:rPr>
            </w:pPr>
            <w:r>
              <w:rPr>
                <w:b/>
                <w:bCs/>
                <w:sz w:val="24"/>
                <w:lang w:val="zh-CN"/>
              </w:rPr>
              <w:t>表</w:t>
            </w:r>
            <w:r>
              <w:rPr>
                <w:rFonts w:hint="eastAsia"/>
                <w:b/>
                <w:bCs/>
                <w:sz w:val="24"/>
              </w:rPr>
              <w:t>3-6</w:t>
            </w:r>
            <w:r>
              <w:rPr>
                <w:b/>
                <w:bCs/>
                <w:sz w:val="24"/>
                <w:lang w:val="zh-CN"/>
              </w:rPr>
              <w:t xml:space="preserve">  城镇污水处理厂污染物排放标准</w:t>
            </w:r>
          </w:p>
          <w:tbl>
            <w:tblPr>
              <w:tblStyle w:val="27"/>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899"/>
              <w:gridCol w:w="3607"/>
              <w:gridCol w:w="2778"/>
            </w:tblGrid>
            <w:tr w14:paraId="3FC27B2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61" w:type="pct"/>
                  <w:noWrap w:val="0"/>
                  <w:vAlign w:val="center"/>
                </w:tcPr>
                <w:p w14:paraId="0271B3C5">
                  <w:pPr>
                    <w:adjustRightInd w:val="0"/>
                    <w:snapToGrid w:val="0"/>
                    <w:jc w:val="center"/>
                    <w:rPr>
                      <w:szCs w:val="21"/>
                    </w:rPr>
                  </w:pPr>
                  <w:r>
                    <w:rPr>
                      <w:szCs w:val="21"/>
                    </w:rPr>
                    <w:t>污染物名称</w:t>
                  </w:r>
                </w:p>
              </w:tc>
              <w:tc>
                <w:tcPr>
                  <w:tcW w:w="1942" w:type="pct"/>
                  <w:noWrap w:val="0"/>
                  <w:vAlign w:val="center"/>
                </w:tcPr>
                <w:p w14:paraId="19BFF862">
                  <w:pPr>
                    <w:adjustRightInd w:val="0"/>
                    <w:snapToGrid w:val="0"/>
                    <w:jc w:val="center"/>
                    <w:rPr>
                      <w:szCs w:val="21"/>
                    </w:rPr>
                  </w:pPr>
                  <w:r>
                    <w:rPr>
                      <w:szCs w:val="21"/>
                    </w:rPr>
                    <w:t>最高允许浓度</w:t>
                  </w:r>
                </w:p>
              </w:tc>
              <w:tc>
                <w:tcPr>
                  <w:tcW w:w="1496" w:type="pct"/>
                  <w:noWrap w:val="0"/>
                  <w:vAlign w:val="center"/>
                </w:tcPr>
                <w:p w14:paraId="54EE8078">
                  <w:pPr>
                    <w:adjustRightInd w:val="0"/>
                    <w:snapToGrid w:val="0"/>
                    <w:jc w:val="center"/>
                    <w:rPr>
                      <w:szCs w:val="21"/>
                    </w:rPr>
                  </w:pPr>
                  <w:r>
                    <w:rPr>
                      <w:szCs w:val="21"/>
                    </w:rPr>
                    <w:t>标准来源</w:t>
                  </w:r>
                </w:p>
              </w:tc>
            </w:tr>
            <w:tr w14:paraId="7D9E450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61" w:type="pct"/>
                  <w:noWrap w:val="0"/>
                  <w:vAlign w:val="center"/>
                </w:tcPr>
                <w:p w14:paraId="5B89E2CF">
                  <w:pPr>
                    <w:adjustRightInd w:val="0"/>
                    <w:snapToGrid w:val="0"/>
                    <w:jc w:val="center"/>
                    <w:rPr>
                      <w:szCs w:val="21"/>
                    </w:rPr>
                  </w:pPr>
                  <w:r>
                    <w:t>pH</w:t>
                  </w:r>
                </w:p>
              </w:tc>
              <w:tc>
                <w:tcPr>
                  <w:tcW w:w="1942" w:type="pct"/>
                  <w:noWrap w:val="0"/>
                  <w:vAlign w:val="center"/>
                </w:tcPr>
                <w:p w14:paraId="2274E38A">
                  <w:pPr>
                    <w:adjustRightInd w:val="0"/>
                    <w:snapToGrid w:val="0"/>
                    <w:jc w:val="center"/>
                    <w:rPr>
                      <w:szCs w:val="21"/>
                    </w:rPr>
                  </w:pPr>
                  <w:r>
                    <w:rPr>
                      <w:szCs w:val="21"/>
                    </w:rPr>
                    <w:t>6-9（无量纲）</w:t>
                  </w:r>
                </w:p>
              </w:tc>
              <w:tc>
                <w:tcPr>
                  <w:tcW w:w="1496" w:type="pct"/>
                  <w:vMerge w:val="restart"/>
                  <w:noWrap w:val="0"/>
                  <w:vAlign w:val="center"/>
                </w:tcPr>
                <w:p w14:paraId="2A4613BC">
                  <w:pPr>
                    <w:adjustRightInd w:val="0"/>
                    <w:snapToGrid w:val="0"/>
                    <w:jc w:val="center"/>
                    <w:rPr>
                      <w:szCs w:val="21"/>
                    </w:rPr>
                  </w:pPr>
                  <w:r>
                    <w:rPr>
                      <w:rFonts w:hint="eastAsia"/>
                      <w:szCs w:val="21"/>
                    </w:rPr>
                    <w:t>《城镇污水处理厂水污染物排放标准》（GB18918-2002）中一级A标准（COD、氨氮、总磷指标执行超低排放标准</w:t>
                  </w:r>
                  <w:r>
                    <w:rPr>
                      <w:rFonts w:hint="eastAsia"/>
                      <w:szCs w:val="21"/>
                      <w:lang w:eastAsia="zh-CN"/>
                    </w:rPr>
                    <w:t>）</w:t>
                  </w:r>
                </w:p>
              </w:tc>
            </w:tr>
            <w:tr w14:paraId="110DAC2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61" w:type="pct"/>
                  <w:noWrap w:val="0"/>
                  <w:vAlign w:val="center"/>
                </w:tcPr>
                <w:p w14:paraId="4BB21DD8">
                  <w:pPr>
                    <w:adjustRightInd w:val="0"/>
                    <w:snapToGrid w:val="0"/>
                    <w:jc w:val="center"/>
                    <w:rPr>
                      <w:szCs w:val="21"/>
                    </w:rPr>
                  </w:pPr>
                  <w:r>
                    <w:t>COD</w:t>
                  </w:r>
                </w:p>
              </w:tc>
              <w:tc>
                <w:tcPr>
                  <w:tcW w:w="1942" w:type="pct"/>
                  <w:noWrap w:val="0"/>
                  <w:vAlign w:val="center"/>
                </w:tcPr>
                <w:p w14:paraId="48DBA77D">
                  <w:pPr>
                    <w:adjustRightInd w:val="0"/>
                    <w:snapToGrid w:val="0"/>
                    <w:jc w:val="center"/>
                    <w:rPr>
                      <w:szCs w:val="21"/>
                    </w:rPr>
                  </w:pPr>
                  <w:r>
                    <w:rPr>
                      <w:rFonts w:hint="eastAsia"/>
                      <w:szCs w:val="21"/>
                      <w:lang w:val="en-US" w:eastAsia="zh-CN"/>
                    </w:rPr>
                    <w:t>40</w:t>
                  </w:r>
                  <w:r>
                    <w:rPr>
                      <w:szCs w:val="21"/>
                    </w:rPr>
                    <w:t>mg/L</w:t>
                  </w:r>
                </w:p>
              </w:tc>
              <w:tc>
                <w:tcPr>
                  <w:tcW w:w="1496" w:type="pct"/>
                  <w:vMerge w:val="continue"/>
                  <w:noWrap w:val="0"/>
                  <w:vAlign w:val="center"/>
                </w:tcPr>
                <w:p w14:paraId="3F029A0E">
                  <w:pPr>
                    <w:adjustRightInd w:val="0"/>
                    <w:snapToGrid w:val="0"/>
                    <w:jc w:val="center"/>
                    <w:rPr>
                      <w:szCs w:val="21"/>
                    </w:rPr>
                  </w:pPr>
                </w:p>
              </w:tc>
            </w:tr>
            <w:tr w14:paraId="06133AD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61" w:type="pct"/>
                  <w:noWrap w:val="0"/>
                  <w:vAlign w:val="center"/>
                </w:tcPr>
                <w:p w14:paraId="37AB57E3">
                  <w:pPr>
                    <w:adjustRightInd w:val="0"/>
                    <w:snapToGrid w:val="0"/>
                    <w:jc w:val="center"/>
                    <w:rPr>
                      <w:szCs w:val="21"/>
                    </w:rPr>
                  </w:pPr>
                  <w:r>
                    <w:t>BOD</w:t>
                  </w:r>
                  <w:r>
                    <w:rPr>
                      <w:vertAlign w:val="subscript"/>
                    </w:rPr>
                    <w:t>5</w:t>
                  </w:r>
                </w:p>
              </w:tc>
              <w:tc>
                <w:tcPr>
                  <w:tcW w:w="1942" w:type="pct"/>
                  <w:noWrap w:val="0"/>
                  <w:vAlign w:val="center"/>
                </w:tcPr>
                <w:p w14:paraId="39E9A4B9">
                  <w:pPr>
                    <w:adjustRightInd w:val="0"/>
                    <w:snapToGrid w:val="0"/>
                    <w:jc w:val="center"/>
                    <w:rPr>
                      <w:spacing w:val="4"/>
                      <w:szCs w:val="21"/>
                    </w:rPr>
                  </w:pPr>
                  <w:r>
                    <w:rPr>
                      <w:rFonts w:hint="eastAsia"/>
                      <w:szCs w:val="21"/>
                      <w:lang w:val="en-US" w:eastAsia="zh-CN"/>
                    </w:rPr>
                    <w:t>10</w:t>
                  </w:r>
                  <w:r>
                    <w:rPr>
                      <w:szCs w:val="21"/>
                    </w:rPr>
                    <w:t>mg/L</w:t>
                  </w:r>
                </w:p>
              </w:tc>
              <w:tc>
                <w:tcPr>
                  <w:tcW w:w="1496" w:type="pct"/>
                  <w:vMerge w:val="continue"/>
                  <w:noWrap w:val="0"/>
                  <w:vAlign w:val="center"/>
                </w:tcPr>
                <w:p w14:paraId="5713F435">
                  <w:pPr>
                    <w:widowControl/>
                    <w:adjustRightInd w:val="0"/>
                    <w:snapToGrid w:val="0"/>
                    <w:jc w:val="left"/>
                    <w:rPr>
                      <w:szCs w:val="21"/>
                    </w:rPr>
                  </w:pPr>
                </w:p>
              </w:tc>
            </w:tr>
            <w:tr w14:paraId="62A62E3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61" w:type="pct"/>
                  <w:noWrap w:val="0"/>
                  <w:vAlign w:val="center"/>
                </w:tcPr>
                <w:p w14:paraId="4D3CEADD">
                  <w:pPr>
                    <w:adjustRightInd w:val="0"/>
                    <w:snapToGrid w:val="0"/>
                    <w:jc w:val="center"/>
                    <w:rPr>
                      <w:szCs w:val="21"/>
                    </w:rPr>
                  </w:pPr>
                  <w:r>
                    <w:t>SS</w:t>
                  </w:r>
                </w:p>
              </w:tc>
              <w:tc>
                <w:tcPr>
                  <w:tcW w:w="1942" w:type="pct"/>
                  <w:noWrap w:val="0"/>
                  <w:vAlign w:val="center"/>
                </w:tcPr>
                <w:p w14:paraId="02D35D82">
                  <w:pPr>
                    <w:adjustRightInd w:val="0"/>
                    <w:snapToGrid w:val="0"/>
                    <w:jc w:val="center"/>
                    <w:rPr>
                      <w:spacing w:val="4"/>
                      <w:szCs w:val="21"/>
                    </w:rPr>
                  </w:pPr>
                  <w:r>
                    <w:rPr>
                      <w:szCs w:val="21"/>
                    </w:rPr>
                    <w:t>10mg/L</w:t>
                  </w:r>
                </w:p>
              </w:tc>
              <w:tc>
                <w:tcPr>
                  <w:tcW w:w="1496" w:type="pct"/>
                  <w:vMerge w:val="continue"/>
                  <w:noWrap w:val="0"/>
                  <w:vAlign w:val="center"/>
                </w:tcPr>
                <w:p w14:paraId="6632A95D">
                  <w:pPr>
                    <w:widowControl/>
                    <w:adjustRightInd w:val="0"/>
                    <w:snapToGrid w:val="0"/>
                    <w:jc w:val="left"/>
                    <w:rPr>
                      <w:szCs w:val="21"/>
                    </w:rPr>
                  </w:pPr>
                </w:p>
              </w:tc>
            </w:tr>
            <w:tr w14:paraId="42588BD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61" w:type="pct"/>
                  <w:noWrap w:val="0"/>
                  <w:vAlign w:val="center"/>
                </w:tcPr>
                <w:p w14:paraId="4882227E">
                  <w:pPr>
                    <w:adjustRightInd w:val="0"/>
                    <w:snapToGrid w:val="0"/>
                    <w:jc w:val="center"/>
                    <w:rPr>
                      <w:szCs w:val="21"/>
                    </w:rPr>
                  </w:pPr>
                  <w:r>
                    <w:rPr>
                      <w:szCs w:val="21"/>
                    </w:rPr>
                    <w:t>氨氮</w:t>
                  </w:r>
                </w:p>
              </w:tc>
              <w:tc>
                <w:tcPr>
                  <w:tcW w:w="1942" w:type="pct"/>
                  <w:noWrap w:val="0"/>
                  <w:vAlign w:val="center"/>
                </w:tcPr>
                <w:p w14:paraId="285AE0B7">
                  <w:pPr>
                    <w:adjustRightInd w:val="0"/>
                    <w:snapToGrid w:val="0"/>
                    <w:jc w:val="center"/>
                    <w:rPr>
                      <w:spacing w:val="4"/>
                      <w:szCs w:val="21"/>
                    </w:rPr>
                  </w:pPr>
                  <w:r>
                    <w:rPr>
                      <w:rFonts w:hint="eastAsia"/>
                      <w:szCs w:val="21"/>
                      <w:lang w:val="en-US" w:eastAsia="zh-CN"/>
                    </w:rPr>
                    <w:t>1</w:t>
                  </w:r>
                  <w:r>
                    <w:rPr>
                      <w:szCs w:val="21"/>
                    </w:rPr>
                    <w:t>mg/L</w:t>
                  </w:r>
                </w:p>
              </w:tc>
              <w:tc>
                <w:tcPr>
                  <w:tcW w:w="1496" w:type="pct"/>
                  <w:vMerge w:val="continue"/>
                  <w:noWrap w:val="0"/>
                  <w:vAlign w:val="center"/>
                </w:tcPr>
                <w:p w14:paraId="1F01A94A">
                  <w:pPr>
                    <w:widowControl/>
                    <w:adjustRightInd w:val="0"/>
                    <w:snapToGrid w:val="0"/>
                    <w:jc w:val="left"/>
                    <w:rPr>
                      <w:szCs w:val="21"/>
                    </w:rPr>
                  </w:pPr>
                </w:p>
              </w:tc>
            </w:tr>
          </w:tbl>
          <w:p w14:paraId="585D9324">
            <w:pPr>
              <w:pStyle w:val="10"/>
              <w:spacing w:before="120" w:beforeLines="50" w:after="0"/>
              <w:ind w:left="0" w:leftChars="0" w:firstLine="482" w:firstLineChars="200"/>
              <w:rPr>
                <w:b/>
                <w:bCs/>
              </w:rPr>
            </w:pPr>
          </w:p>
          <w:p w14:paraId="1454762E">
            <w:pPr>
              <w:pStyle w:val="10"/>
              <w:spacing w:before="120" w:beforeLines="50" w:after="0" w:line="360" w:lineRule="auto"/>
              <w:ind w:left="0" w:leftChars="0" w:firstLine="482" w:firstLineChars="200"/>
              <w:rPr>
                <w:b/>
                <w:bCs/>
              </w:rPr>
            </w:pPr>
            <w:r>
              <w:rPr>
                <w:b/>
                <w:bCs/>
              </w:rPr>
              <w:t>2、</w:t>
            </w:r>
            <w:r>
              <w:rPr>
                <w:b/>
                <w:bCs/>
                <w:highlight w:val="none"/>
              </w:rPr>
              <w:t>废气</w:t>
            </w:r>
          </w:p>
          <w:p w14:paraId="1C9BFE04">
            <w:pPr>
              <w:pStyle w:val="96"/>
              <w:snapToGrid/>
              <w:spacing w:beforeLines="0"/>
              <w:ind w:firstLine="480"/>
              <w:rPr>
                <w:rFonts w:hint="eastAsia" w:ascii="Times New Roman"/>
                <w:bCs/>
              </w:rPr>
            </w:pPr>
            <w:r>
              <w:rPr>
                <w:rFonts w:hint="eastAsia" w:ascii="Times New Roman"/>
                <w:bCs/>
              </w:rPr>
              <w:t>喷涂</w:t>
            </w:r>
            <w:r>
              <w:rPr>
                <w:rFonts w:ascii="Times New Roman"/>
                <w:bCs/>
              </w:rPr>
              <w:t>和烘干排放的漆雾、</w:t>
            </w:r>
            <w:r>
              <w:rPr>
                <w:rFonts w:hint="eastAsia" w:ascii="Times New Roman"/>
                <w:bCs/>
              </w:rPr>
              <w:t>NMHC</w:t>
            </w:r>
            <w:r>
              <w:rPr>
                <w:rFonts w:ascii="Times New Roman"/>
                <w:bCs/>
              </w:rPr>
              <w:t>、甲苯排放标准执行《大气污染物综合排放标准》</w:t>
            </w:r>
            <w:r>
              <w:rPr>
                <w:rFonts w:ascii="Times New Roman"/>
              </w:rPr>
              <w:t>（GB16297-1996）中新污染源</w:t>
            </w:r>
            <w:r>
              <w:rPr>
                <w:rFonts w:ascii="Times New Roman"/>
                <w:bCs/>
              </w:rPr>
              <w:t>二级排放标准限值和无组织排放监控浓度限值要求；</w:t>
            </w:r>
            <w:r>
              <w:rPr>
                <w:rFonts w:hint="eastAsia" w:ascii="Times New Roman"/>
                <w:bCs/>
                <w:lang w:eastAsia="zh-CN"/>
              </w:rPr>
              <w:t>制备实验及喷涂实验无组织废气</w:t>
            </w:r>
            <w:r>
              <w:rPr>
                <w:rFonts w:hint="eastAsia" w:ascii="Times New Roman"/>
                <w:bCs/>
              </w:rPr>
              <w:t>NMHC</w:t>
            </w:r>
            <w:r>
              <w:rPr>
                <w:rFonts w:ascii="Times New Roman"/>
                <w:bCs/>
              </w:rPr>
              <w:t>、甲苯排放标准执行《挥发性有机物无组织排放控制标准》（GB37822-2019）中厂区内VOCs无组织特别排放限值。</w:t>
            </w:r>
            <w:r>
              <w:rPr>
                <w:rFonts w:hint="eastAsia" w:ascii="Times New Roman"/>
                <w:bCs/>
              </w:rPr>
              <w:t>喷</w:t>
            </w:r>
            <w:r>
              <w:rPr>
                <w:rFonts w:hint="eastAsia" w:ascii="Times New Roman"/>
                <w:bCs/>
                <w:lang w:eastAsia="zh-CN"/>
              </w:rPr>
              <w:t>砂</w:t>
            </w:r>
            <w:r>
              <w:rPr>
                <w:rFonts w:hint="eastAsia" w:ascii="Times New Roman"/>
                <w:bCs/>
              </w:rPr>
              <w:t>工序颗粒物执行</w:t>
            </w:r>
            <w:r>
              <w:rPr>
                <w:rFonts w:ascii="Times New Roman"/>
                <w:bCs/>
              </w:rPr>
              <w:t>《大气污染物综合排放标准》</w:t>
            </w:r>
            <w:r>
              <w:rPr>
                <w:rFonts w:ascii="Times New Roman"/>
              </w:rPr>
              <w:t>（GB</w:t>
            </w:r>
            <w:r>
              <w:rPr>
                <w:rFonts w:ascii="Times New Roman"/>
                <w:bCs/>
              </w:rPr>
              <w:t>16297-1996）中新污染源二级排放标准限值和无组织排放监控浓度限值要求</w:t>
            </w:r>
            <w:r>
              <w:rPr>
                <w:rFonts w:hint="eastAsia" w:ascii="Times New Roman"/>
                <w:bCs/>
              </w:rPr>
              <w:t>。</w:t>
            </w:r>
          </w:p>
          <w:p w14:paraId="036C21E8">
            <w:pPr>
              <w:pStyle w:val="96"/>
              <w:snapToGrid/>
              <w:spacing w:beforeLines="0"/>
              <w:ind w:firstLine="480"/>
              <w:rPr>
                <w:rFonts w:hint="eastAsia" w:ascii="Times New Roman"/>
                <w:bCs/>
              </w:rPr>
            </w:pPr>
            <w:r>
              <w:rPr>
                <w:rFonts w:hint="eastAsia" w:ascii="Times New Roman"/>
                <w:bCs/>
                <w:lang w:val="zh-CN"/>
              </w:rPr>
              <w:t>根据《大气污染物综合排放标准》（GB16297-1996）7.1、7.2、7.3规定：“7.1排气筒高度除须遵守表列排放速率标准值外，还应高出周围200m半径范围的建筑5m以上，不能达到该要求的排气筒，应按其对应的表列排放速率标准值严格50%执行”。新污染源的排气筒一般不应低于15m，本项目</w:t>
            </w:r>
            <w:r>
              <w:rPr>
                <w:rFonts w:hint="eastAsia" w:ascii="Times New Roman"/>
                <w:bCs/>
                <w:lang w:val="en-US" w:eastAsia="zh-CN"/>
              </w:rPr>
              <w:t>200m半径范围内最高建筑物为10-2栋</w:t>
            </w:r>
            <w:r>
              <w:rPr>
                <w:rFonts w:hint="eastAsia" w:ascii="Times New Roman"/>
                <w:bCs/>
                <w:lang w:val="zh-CN"/>
              </w:rPr>
              <w:t>厂房建筑为</w:t>
            </w:r>
            <w:r>
              <w:rPr>
                <w:rFonts w:hint="eastAsia" w:ascii="Times New Roman"/>
                <w:bCs/>
              </w:rPr>
              <w:t>5</w:t>
            </w:r>
            <w:r>
              <w:rPr>
                <w:rFonts w:hint="eastAsia" w:ascii="Times New Roman"/>
                <w:bCs/>
                <w:lang w:val="zh-CN"/>
              </w:rPr>
              <w:t>层，高度约为</w:t>
            </w:r>
            <w:r>
              <w:rPr>
                <w:rFonts w:hint="eastAsia" w:ascii="Times New Roman"/>
                <w:bCs/>
              </w:rPr>
              <w:t>22.8</w:t>
            </w:r>
            <w:r>
              <w:rPr>
                <w:rFonts w:hint="eastAsia" w:ascii="Times New Roman"/>
                <w:bCs/>
                <w:lang w:val="zh-CN"/>
              </w:rPr>
              <w:t>m，本项目</w:t>
            </w:r>
            <w:r>
              <w:rPr>
                <w:rFonts w:hint="eastAsia" w:ascii="Times New Roman"/>
                <w:bCs/>
                <w:lang w:val="en-US" w:eastAsia="zh-CN"/>
              </w:rPr>
              <w:t>DA001及DA002</w:t>
            </w:r>
            <w:r>
              <w:rPr>
                <w:rFonts w:hint="eastAsia" w:ascii="Times New Roman"/>
                <w:bCs/>
                <w:lang w:val="zh-CN"/>
              </w:rPr>
              <w:t>排气筒高度均为</w:t>
            </w:r>
            <w:r>
              <w:rPr>
                <w:rFonts w:hint="eastAsia" w:ascii="Times New Roman"/>
                <w:bCs/>
                <w:lang w:val="en-US" w:eastAsia="zh-CN"/>
              </w:rPr>
              <w:t>15m</w:t>
            </w:r>
            <w:r>
              <w:rPr>
                <w:rFonts w:hint="eastAsia" w:ascii="Times New Roman"/>
                <w:bCs/>
                <w:lang w:val="zh-CN"/>
              </w:rPr>
              <w:t>。故</w:t>
            </w:r>
            <w:r>
              <w:rPr>
                <w:rFonts w:hint="eastAsia" w:ascii="Times New Roman"/>
                <w:bCs/>
              </w:rPr>
              <w:t>喷涂</w:t>
            </w:r>
            <w:r>
              <w:rPr>
                <w:rFonts w:ascii="Times New Roman"/>
                <w:bCs/>
              </w:rPr>
              <w:t>和烘干排放的漆雾、</w:t>
            </w:r>
            <w:r>
              <w:rPr>
                <w:rFonts w:hint="eastAsia" w:ascii="Times New Roman"/>
                <w:bCs/>
              </w:rPr>
              <w:t>NMHC</w:t>
            </w:r>
            <w:r>
              <w:rPr>
                <w:rFonts w:ascii="Times New Roman"/>
                <w:bCs/>
              </w:rPr>
              <w:t>、甲苯</w:t>
            </w:r>
            <w:r>
              <w:rPr>
                <w:rFonts w:hint="eastAsia" w:ascii="Times New Roman"/>
                <w:bCs/>
                <w:lang w:val="zh-CN"/>
              </w:rPr>
              <w:t>排放速率需严格50%执行，</w:t>
            </w:r>
            <w:r>
              <w:rPr>
                <w:rFonts w:hint="eastAsia" w:ascii="Times New Roman"/>
                <w:bCs/>
              </w:rPr>
              <w:t>喷</w:t>
            </w:r>
            <w:r>
              <w:rPr>
                <w:rFonts w:hint="eastAsia" w:ascii="Times New Roman"/>
                <w:bCs/>
                <w:lang w:eastAsia="zh-CN"/>
              </w:rPr>
              <w:t>砂</w:t>
            </w:r>
            <w:r>
              <w:rPr>
                <w:rFonts w:hint="eastAsia" w:ascii="Times New Roman"/>
                <w:bCs/>
              </w:rPr>
              <w:t>工序颗粒物</w:t>
            </w:r>
            <w:r>
              <w:rPr>
                <w:rFonts w:hint="eastAsia" w:ascii="Times New Roman"/>
                <w:bCs/>
                <w:lang w:val="zh-CN"/>
              </w:rPr>
              <w:t>排放速率需严格50%执行。</w:t>
            </w:r>
            <w:r>
              <w:rPr>
                <w:rFonts w:hint="eastAsia" w:ascii="Times New Roman"/>
                <w:bCs/>
              </w:rPr>
              <w:t>详见下表。</w:t>
            </w:r>
          </w:p>
          <w:p w14:paraId="2B9CC236">
            <w:pPr>
              <w:pStyle w:val="96"/>
              <w:snapToGrid/>
              <w:spacing w:beforeLines="0"/>
              <w:ind w:firstLine="480"/>
              <w:rPr>
                <w:rFonts w:hint="eastAsia" w:ascii="Times New Roman"/>
                <w:bCs/>
              </w:rPr>
            </w:pPr>
          </w:p>
          <w:p w14:paraId="38E427CE">
            <w:pPr>
              <w:pStyle w:val="61"/>
              <w:tabs>
                <w:tab w:val="clear" w:pos="3437"/>
              </w:tabs>
              <w:spacing w:before="120"/>
              <w:rPr>
                <w:rFonts w:hint="eastAsia"/>
                <w:lang w:val="zh-CN"/>
              </w:rPr>
            </w:pPr>
            <w:r>
              <w:rPr>
                <w:rFonts w:hint="eastAsia"/>
                <w:lang w:val="zh-CN"/>
              </w:rPr>
              <w:t>表</w:t>
            </w:r>
            <w:r>
              <w:rPr>
                <w:rFonts w:hint="eastAsia"/>
              </w:rPr>
              <w:t xml:space="preserve">3-7 </w:t>
            </w:r>
            <w:r>
              <w:rPr>
                <w:rFonts w:hint="eastAsia"/>
                <w:lang w:val="zh-CN"/>
              </w:rPr>
              <w:t xml:space="preserve"> 大气污染物综合排放标准</w:t>
            </w:r>
          </w:p>
          <w:tbl>
            <w:tblPr>
              <w:tblStyle w:val="27"/>
              <w:tblW w:w="499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65"/>
              <w:gridCol w:w="1778"/>
              <w:gridCol w:w="1287"/>
              <w:gridCol w:w="1739"/>
              <w:gridCol w:w="1443"/>
              <w:gridCol w:w="1672"/>
            </w:tblGrid>
            <w:tr w14:paraId="294D4DC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5" w:type="pct"/>
                  <w:vMerge w:val="restart"/>
                  <w:noWrap w:val="0"/>
                  <w:vAlign w:val="center"/>
                </w:tcPr>
                <w:p w14:paraId="06660385">
                  <w:pPr>
                    <w:jc w:val="center"/>
                  </w:pPr>
                  <w:r>
                    <w:t>污染物</w:t>
                  </w:r>
                </w:p>
              </w:tc>
              <w:tc>
                <w:tcPr>
                  <w:tcW w:w="957" w:type="pct"/>
                  <w:vMerge w:val="restart"/>
                  <w:noWrap w:val="0"/>
                  <w:vAlign w:val="center"/>
                </w:tcPr>
                <w:p w14:paraId="3BB37716">
                  <w:pPr>
                    <w:jc w:val="center"/>
                  </w:pPr>
                  <w:r>
                    <w:t>最高允许排放浓度（mg/m</w:t>
                  </w:r>
                  <w:r>
                    <w:rPr>
                      <w:vertAlign w:val="superscript"/>
                    </w:rPr>
                    <w:t>3</w:t>
                  </w:r>
                  <w:r>
                    <w:t>）</w:t>
                  </w:r>
                </w:p>
              </w:tc>
              <w:tc>
                <w:tcPr>
                  <w:tcW w:w="693" w:type="pct"/>
                  <w:vMerge w:val="restart"/>
                  <w:noWrap w:val="0"/>
                  <w:vAlign w:val="center"/>
                </w:tcPr>
                <w:p w14:paraId="553E8D1B">
                  <w:pPr>
                    <w:jc w:val="center"/>
                  </w:pPr>
                  <w:r>
                    <w:t>排气筒高度（m）</w:t>
                  </w:r>
                </w:p>
              </w:tc>
              <w:tc>
                <w:tcPr>
                  <w:tcW w:w="936" w:type="pct"/>
                  <w:vMerge w:val="restart"/>
                  <w:noWrap w:val="0"/>
                  <w:vAlign w:val="center"/>
                </w:tcPr>
                <w:p w14:paraId="082D2976">
                  <w:pPr>
                    <w:jc w:val="center"/>
                  </w:pPr>
                  <w:r>
                    <w:t>最高允许排放速率（kg/h）</w:t>
                  </w:r>
                </w:p>
              </w:tc>
              <w:tc>
                <w:tcPr>
                  <w:tcW w:w="1677" w:type="pct"/>
                  <w:gridSpan w:val="2"/>
                  <w:noWrap w:val="0"/>
                  <w:vAlign w:val="center"/>
                </w:tcPr>
                <w:p w14:paraId="636DED29">
                  <w:pPr>
                    <w:jc w:val="center"/>
                  </w:pPr>
                  <w:r>
                    <w:t>厂界无组织排放监控浓度限值</w:t>
                  </w:r>
                </w:p>
              </w:tc>
            </w:tr>
            <w:tr w14:paraId="61FE572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5" w:type="pct"/>
                  <w:vMerge w:val="continue"/>
                  <w:noWrap w:val="0"/>
                  <w:vAlign w:val="center"/>
                </w:tcPr>
                <w:p w14:paraId="26C98CAD">
                  <w:pPr>
                    <w:jc w:val="center"/>
                  </w:pPr>
                </w:p>
              </w:tc>
              <w:tc>
                <w:tcPr>
                  <w:tcW w:w="957" w:type="pct"/>
                  <w:vMerge w:val="continue"/>
                  <w:noWrap w:val="0"/>
                  <w:vAlign w:val="center"/>
                </w:tcPr>
                <w:p w14:paraId="78412368">
                  <w:pPr>
                    <w:jc w:val="center"/>
                  </w:pPr>
                </w:p>
              </w:tc>
              <w:tc>
                <w:tcPr>
                  <w:tcW w:w="693" w:type="pct"/>
                  <w:vMerge w:val="continue"/>
                  <w:noWrap w:val="0"/>
                  <w:vAlign w:val="center"/>
                </w:tcPr>
                <w:p w14:paraId="425E00DA">
                  <w:pPr>
                    <w:jc w:val="center"/>
                  </w:pPr>
                </w:p>
              </w:tc>
              <w:tc>
                <w:tcPr>
                  <w:tcW w:w="936" w:type="pct"/>
                  <w:vMerge w:val="continue"/>
                  <w:noWrap w:val="0"/>
                  <w:vAlign w:val="center"/>
                </w:tcPr>
                <w:p w14:paraId="665B887E">
                  <w:pPr>
                    <w:jc w:val="center"/>
                  </w:pPr>
                </w:p>
              </w:tc>
              <w:tc>
                <w:tcPr>
                  <w:tcW w:w="777" w:type="pct"/>
                  <w:noWrap w:val="0"/>
                  <w:vAlign w:val="center"/>
                </w:tcPr>
                <w:p w14:paraId="54567531">
                  <w:pPr>
                    <w:jc w:val="center"/>
                  </w:pPr>
                  <w:r>
                    <w:t>监控点</w:t>
                  </w:r>
                </w:p>
              </w:tc>
              <w:tc>
                <w:tcPr>
                  <w:tcW w:w="900" w:type="pct"/>
                  <w:noWrap w:val="0"/>
                  <w:vAlign w:val="center"/>
                </w:tcPr>
                <w:p w14:paraId="0D25E4C9">
                  <w:pPr>
                    <w:jc w:val="center"/>
                  </w:pPr>
                  <w:r>
                    <w:t>浓度（mg/m</w:t>
                  </w:r>
                  <w:r>
                    <w:rPr>
                      <w:vertAlign w:val="superscript"/>
                    </w:rPr>
                    <w:t>3</w:t>
                  </w:r>
                  <w:r>
                    <w:t>）</w:t>
                  </w:r>
                </w:p>
              </w:tc>
            </w:tr>
            <w:tr w14:paraId="27BE7E1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5" w:type="pct"/>
                  <w:noWrap w:val="0"/>
                  <w:vAlign w:val="center"/>
                </w:tcPr>
                <w:p w14:paraId="310848CF">
                  <w:pPr>
                    <w:jc w:val="center"/>
                  </w:pPr>
                  <w:r>
                    <w:rPr>
                      <w:rFonts w:hint="eastAsia"/>
                    </w:rPr>
                    <w:t>NMHC</w:t>
                  </w:r>
                </w:p>
              </w:tc>
              <w:tc>
                <w:tcPr>
                  <w:tcW w:w="957" w:type="pct"/>
                  <w:noWrap w:val="0"/>
                  <w:vAlign w:val="center"/>
                </w:tcPr>
                <w:p w14:paraId="6AD63EBF">
                  <w:pPr>
                    <w:jc w:val="center"/>
                  </w:pPr>
                  <w:r>
                    <w:t>120</w:t>
                  </w:r>
                </w:p>
              </w:tc>
              <w:tc>
                <w:tcPr>
                  <w:tcW w:w="693" w:type="pct"/>
                  <w:noWrap w:val="0"/>
                  <w:vAlign w:val="center"/>
                </w:tcPr>
                <w:p w14:paraId="62075670">
                  <w:pPr>
                    <w:jc w:val="center"/>
                    <w:rPr>
                      <w:rFonts w:hint="default" w:eastAsia="宋体"/>
                      <w:lang w:val="en-US" w:eastAsia="zh-CN"/>
                    </w:rPr>
                  </w:pPr>
                  <w:r>
                    <w:rPr>
                      <w:rFonts w:hint="eastAsia"/>
                      <w:lang w:val="en-US" w:eastAsia="zh-CN"/>
                    </w:rPr>
                    <w:t>15</w:t>
                  </w:r>
                </w:p>
              </w:tc>
              <w:tc>
                <w:tcPr>
                  <w:tcW w:w="936" w:type="pct"/>
                  <w:noWrap w:val="0"/>
                  <w:vAlign w:val="center"/>
                </w:tcPr>
                <w:p w14:paraId="2EAFB4F0">
                  <w:pPr>
                    <w:jc w:val="center"/>
                    <w:rPr>
                      <w:rFonts w:hint="eastAsia" w:eastAsia="宋体"/>
                      <w:lang w:eastAsia="zh-CN"/>
                    </w:rPr>
                  </w:pPr>
                  <w:r>
                    <w:rPr>
                      <w:rFonts w:hint="eastAsia"/>
                      <w:lang w:val="en-US" w:eastAsia="zh-CN"/>
                    </w:rPr>
                    <w:t>5</w:t>
                  </w:r>
                </w:p>
              </w:tc>
              <w:tc>
                <w:tcPr>
                  <w:tcW w:w="777" w:type="pct"/>
                  <w:vMerge w:val="restart"/>
                  <w:noWrap w:val="0"/>
                  <w:vAlign w:val="center"/>
                </w:tcPr>
                <w:p w14:paraId="598B3E7E">
                  <w:pPr>
                    <w:jc w:val="center"/>
                  </w:pPr>
                  <w:r>
                    <w:t>周界外浓度最高点</w:t>
                  </w:r>
                </w:p>
              </w:tc>
              <w:tc>
                <w:tcPr>
                  <w:tcW w:w="900" w:type="pct"/>
                  <w:noWrap w:val="0"/>
                  <w:vAlign w:val="center"/>
                </w:tcPr>
                <w:p w14:paraId="21F0F6B9">
                  <w:pPr>
                    <w:jc w:val="center"/>
                  </w:pPr>
                  <w:r>
                    <w:t>4.0</w:t>
                  </w:r>
                </w:p>
              </w:tc>
            </w:tr>
            <w:tr w14:paraId="34BEC70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5" w:type="pct"/>
                  <w:noWrap w:val="0"/>
                  <w:vAlign w:val="center"/>
                </w:tcPr>
                <w:p w14:paraId="5EE7115E">
                  <w:pPr>
                    <w:jc w:val="center"/>
                  </w:pPr>
                  <w:r>
                    <w:rPr>
                      <w:rFonts w:hint="eastAsia"/>
                    </w:rPr>
                    <w:t>甲苯</w:t>
                  </w:r>
                </w:p>
              </w:tc>
              <w:tc>
                <w:tcPr>
                  <w:tcW w:w="957" w:type="pct"/>
                  <w:noWrap w:val="0"/>
                  <w:vAlign w:val="center"/>
                </w:tcPr>
                <w:p w14:paraId="066B195C">
                  <w:pPr>
                    <w:jc w:val="center"/>
                  </w:pPr>
                  <w:r>
                    <w:rPr>
                      <w:rFonts w:hint="eastAsia"/>
                    </w:rPr>
                    <w:t>40</w:t>
                  </w:r>
                </w:p>
              </w:tc>
              <w:tc>
                <w:tcPr>
                  <w:tcW w:w="693" w:type="pct"/>
                  <w:noWrap w:val="0"/>
                  <w:vAlign w:val="center"/>
                </w:tcPr>
                <w:p w14:paraId="2E8A7F5F">
                  <w:pPr>
                    <w:jc w:val="center"/>
                    <w:rPr>
                      <w:rFonts w:hint="default" w:eastAsia="宋体"/>
                      <w:lang w:val="en-US" w:eastAsia="zh-CN"/>
                    </w:rPr>
                  </w:pPr>
                  <w:r>
                    <w:rPr>
                      <w:rFonts w:hint="eastAsia"/>
                      <w:lang w:val="en-US" w:eastAsia="zh-CN"/>
                    </w:rPr>
                    <w:t>15</w:t>
                  </w:r>
                </w:p>
              </w:tc>
              <w:tc>
                <w:tcPr>
                  <w:tcW w:w="936" w:type="pct"/>
                  <w:noWrap w:val="0"/>
                  <w:vAlign w:val="center"/>
                </w:tcPr>
                <w:p w14:paraId="0E913261">
                  <w:pPr>
                    <w:jc w:val="center"/>
                    <w:rPr>
                      <w:rFonts w:hint="default" w:eastAsia="宋体"/>
                      <w:lang w:val="en-US" w:eastAsia="zh-CN"/>
                    </w:rPr>
                  </w:pPr>
                  <w:r>
                    <w:rPr>
                      <w:rFonts w:hint="eastAsia"/>
                      <w:lang w:val="en-US" w:eastAsia="zh-CN"/>
                    </w:rPr>
                    <w:t>1.55</w:t>
                  </w:r>
                </w:p>
              </w:tc>
              <w:tc>
                <w:tcPr>
                  <w:tcW w:w="777" w:type="pct"/>
                  <w:vMerge w:val="continue"/>
                  <w:noWrap w:val="0"/>
                  <w:vAlign w:val="center"/>
                </w:tcPr>
                <w:p w14:paraId="0DCB2299">
                  <w:pPr>
                    <w:jc w:val="center"/>
                  </w:pPr>
                </w:p>
              </w:tc>
              <w:tc>
                <w:tcPr>
                  <w:tcW w:w="900" w:type="pct"/>
                  <w:noWrap w:val="0"/>
                  <w:vAlign w:val="center"/>
                </w:tcPr>
                <w:p w14:paraId="550DF54C">
                  <w:pPr>
                    <w:jc w:val="center"/>
                  </w:pPr>
                  <w:r>
                    <w:rPr>
                      <w:rFonts w:hint="eastAsia"/>
                    </w:rPr>
                    <w:t>2.4</w:t>
                  </w:r>
                </w:p>
              </w:tc>
            </w:tr>
            <w:tr w14:paraId="672EF0B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5" w:type="pct"/>
                  <w:noWrap w:val="0"/>
                  <w:vAlign w:val="center"/>
                </w:tcPr>
                <w:p w14:paraId="00A84650">
                  <w:pPr>
                    <w:jc w:val="center"/>
                    <w:rPr>
                      <w:rFonts w:hint="eastAsia"/>
                    </w:rPr>
                  </w:pPr>
                  <w:r>
                    <w:rPr>
                      <w:rFonts w:hint="eastAsia"/>
                    </w:rPr>
                    <w:t>颗粒物</w:t>
                  </w:r>
                </w:p>
              </w:tc>
              <w:tc>
                <w:tcPr>
                  <w:tcW w:w="957" w:type="pct"/>
                  <w:noWrap w:val="0"/>
                  <w:vAlign w:val="center"/>
                </w:tcPr>
                <w:p w14:paraId="0D16BE82">
                  <w:pPr>
                    <w:jc w:val="center"/>
                  </w:pPr>
                  <w:r>
                    <w:rPr>
                      <w:rFonts w:hint="eastAsia"/>
                    </w:rPr>
                    <w:t>120</w:t>
                  </w:r>
                </w:p>
              </w:tc>
              <w:tc>
                <w:tcPr>
                  <w:tcW w:w="693" w:type="pct"/>
                  <w:noWrap w:val="0"/>
                  <w:vAlign w:val="center"/>
                </w:tcPr>
                <w:p w14:paraId="6696A746">
                  <w:pPr>
                    <w:jc w:val="center"/>
                    <w:rPr>
                      <w:rFonts w:hint="default" w:eastAsia="宋体"/>
                      <w:lang w:val="en-US" w:eastAsia="zh-CN"/>
                    </w:rPr>
                  </w:pPr>
                  <w:r>
                    <w:rPr>
                      <w:rFonts w:hint="eastAsia"/>
                      <w:lang w:val="en-US" w:eastAsia="zh-CN"/>
                    </w:rPr>
                    <w:t>15</w:t>
                  </w:r>
                </w:p>
              </w:tc>
              <w:tc>
                <w:tcPr>
                  <w:tcW w:w="936" w:type="pct"/>
                  <w:noWrap w:val="0"/>
                  <w:vAlign w:val="center"/>
                </w:tcPr>
                <w:p w14:paraId="72F16945">
                  <w:pPr>
                    <w:jc w:val="center"/>
                    <w:rPr>
                      <w:rFonts w:hint="default" w:eastAsia="宋体"/>
                      <w:lang w:val="en-US" w:eastAsia="zh-CN"/>
                    </w:rPr>
                  </w:pPr>
                  <w:r>
                    <w:rPr>
                      <w:rFonts w:hint="eastAsia"/>
                      <w:lang w:val="en-US" w:eastAsia="zh-CN"/>
                    </w:rPr>
                    <w:t>1.75</w:t>
                  </w:r>
                </w:p>
              </w:tc>
              <w:tc>
                <w:tcPr>
                  <w:tcW w:w="777" w:type="pct"/>
                  <w:vMerge w:val="continue"/>
                  <w:noWrap w:val="0"/>
                  <w:vAlign w:val="center"/>
                </w:tcPr>
                <w:p w14:paraId="6B2B3BF3">
                  <w:pPr>
                    <w:jc w:val="center"/>
                  </w:pPr>
                </w:p>
              </w:tc>
              <w:tc>
                <w:tcPr>
                  <w:tcW w:w="900" w:type="pct"/>
                  <w:noWrap w:val="0"/>
                  <w:vAlign w:val="center"/>
                </w:tcPr>
                <w:p w14:paraId="2C87695D">
                  <w:pPr>
                    <w:jc w:val="center"/>
                  </w:pPr>
                  <w:r>
                    <w:rPr>
                      <w:rFonts w:hint="eastAsia"/>
                    </w:rPr>
                    <w:t>1.0</w:t>
                  </w:r>
                </w:p>
              </w:tc>
            </w:tr>
          </w:tbl>
          <w:p w14:paraId="64F8C4E8">
            <w:pPr>
              <w:pStyle w:val="61"/>
              <w:tabs>
                <w:tab w:val="clear" w:pos="3437"/>
              </w:tabs>
              <w:spacing w:before="120"/>
              <w:rPr>
                <w:rFonts w:hint="eastAsia"/>
                <w:lang w:val="zh-CN"/>
              </w:rPr>
            </w:pPr>
            <w:r>
              <w:rPr>
                <w:rFonts w:hint="eastAsia"/>
                <w:lang w:val="zh-CN"/>
              </w:rPr>
              <w:t>表</w:t>
            </w:r>
            <w:r>
              <w:rPr>
                <w:rFonts w:hint="eastAsia"/>
              </w:rPr>
              <w:t>3-</w:t>
            </w:r>
            <w:r>
              <w:rPr>
                <w:rFonts w:hint="eastAsia"/>
                <w:lang w:val="en-US" w:eastAsia="zh-CN"/>
              </w:rPr>
              <w:t>8</w:t>
            </w:r>
            <w:r>
              <w:rPr>
                <w:rFonts w:hint="eastAsia"/>
              </w:rPr>
              <w:t xml:space="preserve"> </w:t>
            </w:r>
            <w:r>
              <w:rPr>
                <w:rFonts w:hint="eastAsia"/>
                <w:lang w:val="zh-CN"/>
              </w:rPr>
              <w:t xml:space="preserve"> 厂区内挥发性有机物无组织排放标准</w:t>
            </w:r>
          </w:p>
          <w:tbl>
            <w:tblPr>
              <w:tblStyle w:val="27"/>
              <w:tblW w:w="499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046"/>
              <w:gridCol w:w="2125"/>
              <w:gridCol w:w="2764"/>
              <w:gridCol w:w="2349"/>
            </w:tblGrid>
            <w:tr w14:paraId="03FFCC1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2" w:type="pct"/>
                  <w:noWrap w:val="0"/>
                  <w:vAlign w:val="center"/>
                </w:tcPr>
                <w:p w14:paraId="3C189557">
                  <w:pPr>
                    <w:jc w:val="center"/>
                  </w:pPr>
                  <w:r>
                    <w:t>污染物</w:t>
                  </w:r>
                </w:p>
              </w:tc>
              <w:tc>
                <w:tcPr>
                  <w:tcW w:w="1144" w:type="pct"/>
                  <w:noWrap w:val="0"/>
                  <w:vAlign w:val="center"/>
                </w:tcPr>
                <w:p w14:paraId="09A0642D">
                  <w:pPr>
                    <w:jc w:val="center"/>
                    <w:rPr>
                      <w:rFonts w:hint="eastAsia" w:eastAsia="宋体"/>
                      <w:lang w:eastAsia="zh-CN"/>
                    </w:rPr>
                  </w:pPr>
                  <w:r>
                    <w:rPr>
                      <w:rFonts w:hint="eastAsia"/>
                      <w:lang w:eastAsia="zh-CN"/>
                    </w:rPr>
                    <w:t>特别排放限值</w:t>
                  </w:r>
                </w:p>
              </w:tc>
              <w:tc>
                <w:tcPr>
                  <w:tcW w:w="1488" w:type="pct"/>
                  <w:noWrap w:val="0"/>
                  <w:vAlign w:val="center"/>
                </w:tcPr>
                <w:p w14:paraId="19181CEE">
                  <w:pPr>
                    <w:jc w:val="center"/>
                    <w:rPr>
                      <w:rFonts w:hint="eastAsia" w:eastAsia="宋体"/>
                      <w:lang w:eastAsia="zh-CN"/>
                    </w:rPr>
                  </w:pPr>
                  <w:r>
                    <w:rPr>
                      <w:rFonts w:hint="eastAsia"/>
                      <w:lang w:eastAsia="zh-CN"/>
                    </w:rPr>
                    <w:t>限值含义</w:t>
                  </w:r>
                </w:p>
              </w:tc>
              <w:tc>
                <w:tcPr>
                  <w:tcW w:w="1265" w:type="pct"/>
                  <w:noWrap w:val="0"/>
                  <w:vAlign w:val="center"/>
                </w:tcPr>
                <w:p w14:paraId="20339C49">
                  <w:pPr>
                    <w:jc w:val="center"/>
                    <w:rPr>
                      <w:rFonts w:hint="eastAsia" w:eastAsia="宋体"/>
                      <w:lang w:eastAsia="zh-CN"/>
                    </w:rPr>
                  </w:pPr>
                  <w:r>
                    <w:rPr>
                      <w:rFonts w:hint="eastAsia"/>
                      <w:lang w:eastAsia="zh-CN"/>
                    </w:rPr>
                    <w:t>无组织排放监控点位</w:t>
                  </w:r>
                </w:p>
              </w:tc>
            </w:tr>
            <w:tr w14:paraId="1FA97AE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102" w:type="pct"/>
                  <w:vMerge w:val="restart"/>
                  <w:noWrap w:val="0"/>
                  <w:vAlign w:val="center"/>
                </w:tcPr>
                <w:p w14:paraId="62D65CC0">
                  <w:pPr>
                    <w:jc w:val="center"/>
                  </w:pPr>
                  <w:r>
                    <w:rPr>
                      <w:rFonts w:hint="eastAsia"/>
                    </w:rPr>
                    <w:t>NMHC</w:t>
                  </w:r>
                </w:p>
              </w:tc>
              <w:tc>
                <w:tcPr>
                  <w:tcW w:w="1144" w:type="pct"/>
                  <w:noWrap w:val="0"/>
                  <w:vAlign w:val="center"/>
                </w:tcPr>
                <w:p w14:paraId="335039EB">
                  <w:pPr>
                    <w:jc w:val="center"/>
                    <w:rPr>
                      <w:rFonts w:hint="eastAsia" w:eastAsia="宋体"/>
                      <w:lang w:eastAsia="zh-CN"/>
                    </w:rPr>
                  </w:pPr>
                  <w:r>
                    <w:rPr>
                      <w:rFonts w:hint="eastAsia"/>
                      <w:lang w:val="en-US" w:eastAsia="zh-CN"/>
                    </w:rPr>
                    <w:t>6</w:t>
                  </w:r>
                </w:p>
              </w:tc>
              <w:tc>
                <w:tcPr>
                  <w:tcW w:w="1488" w:type="pct"/>
                  <w:noWrap w:val="0"/>
                  <w:vAlign w:val="center"/>
                </w:tcPr>
                <w:p w14:paraId="494323C8">
                  <w:pPr>
                    <w:jc w:val="center"/>
                    <w:rPr>
                      <w:rFonts w:hint="default" w:eastAsia="宋体"/>
                      <w:lang w:val="en-US" w:eastAsia="zh-CN"/>
                    </w:rPr>
                  </w:pPr>
                  <w:r>
                    <w:rPr>
                      <w:rFonts w:hint="eastAsia"/>
                      <w:lang w:eastAsia="zh-CN"/>
                    </w:rPr>
                    <w:t>监控点处</w:t>
                  </w:r>
                  <w:r>
                    <w:rPr>
                      <w:rFonts w:hint="eastAsia"/>
                      <w:lang w:val="en-US" w:eastAsia="zh-CN"/>
                    </w:rPr>
                    <w:t>1小时平均浓度值</w:t>
                  </w:r>
                </w:p>
              </w:tc>
              <w:tc>
                <w:tcPr>
                  <w:tcW w:w="1265" w:type="pct"/>
                  <w:vMerge w:val="restart"/>
                  <w:noWrap w:val="0"/>
                  <w:vAlign w:val="center"/>
                </w:tcPr>
                <w:p w14:paraId="687E8392">
                  <w:pPr>
                    <w:jc w:val="center"/>
                    <w:rPr>
                      <w:rFonts w:hint="eastAsia" w:eastAsia="宋体"/>
                      <w:lang w:eastAsia="zh-CN"/>
                    </w:rPr>
                  </w:pPr>
                  <w:r>
                    <w:rPr>
                      <w:rFonts w:hint="eastAsia"/>
                      <w:lang w:eastAsia="zh-CN"/>
                    </w:rPr>
                    <w:t>实验车间门窗或通风口处</w:t>
                  </w:r>
                </w:p>
              </w:tc>
            </w:tr>
            <w:tr w14:paraId="2756F2A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102" w:type="pct"/>
                  <w:vMerge w:val="continue"/>
                  <w:noWrap w:val="0"/>
                  <w:vAlign w:val="center"/>
                </w:tcPr>
                <w:p w14:paraId="05CB334E">
                  <w:pPr>
                    <w:jc w:val="center"/>
                    <w:rPr>
                      <w:rFonts w:hint="eastAsia"/>
                    </w:rPr>
                  </w:pPr>
                </w:p>
              </w:tc>
              <w:tc>
                <w:tcPr>
                  <w:tcW w:w="1144" w:type="pct"/>
                  <w:noWrap w:val="0"/>
                  <w:vAlign w:val="center"/>
                </w:tcPr>
                <w:p w14:paraId="72B8DB0E">
                  <w:pPr>
                    <w:jc w:val="center"/>
                    <w:rPr>
                      <w:rFonts w:hint="default" w:eastAsia="宋体"/>
                      <w:lang w:val="en-US" w:eastAsia="zh-CN"/>
                    </w:rPr>
                  </w:pPr>
                  <w:r>
                    <w:rPr>
                      <w:rFonts w:hint="eastAsia"/>
                      <w:lang w:val="en-US" w:eastAsia="zh-CN"/>
                    </w:rPr>
                    <w:t>20</w:t>
                  </w:r>
                </w:p>
              </w:tc>
              <w:tc>
                <w:tcPr>
                  <w:tcW w:w="1488" w:type="pct"/>
                  <w:noWrap w:val="0"/>
                  <w:vAlign w:val="center"/>
                </w:tcPr>
                <w:p w14:paraId="76F49319">
                  <w:pPr>
                    <w:jc w:val="center"/>
                    <w:rPr>
                      <w:rFonts w:hint="eastAsia"/>
                    </w:rPr>
                  </w:pPr>
                  <w:r>
                    <w:rPr>
                      <w:rFonts w:hint="eastAsia"/>
                      <w:lang w:val="en-US" w:eastAsia="zh-CN"/>
                    </w:rPr>
                    <w:t>监控点处任意一次浓度值</w:t>
                  </w:r>
                </w:p>
              </w:tc>
              <w:tc>
                <w:tcPr>
                  <w:tcW w:w="1265" w:type="pct"/>
                  <w:vMerge w:val="continue"/>
                  <w:noWrap w:val="0"/>
                  <w:vAlign w:val="center"/>
                </w:tcPr>
                <w:p w14:paraId="2D4C7C76">
                  <w:pPr>
                    <w:jc w:val="center"/>
                    <w:rPr>
                      <w:rFonts w:hint="eastAsia"/>
                    </w:rPr>
                  </w:pPr>
                </w:p>
              </w:tc>
            </w:tr>
          </w:tbl>
          <w:p w14:paraId="05BE4E0E">
            <w:pPr>
              <w:pStyle w:val="10"/>
              <w:spacing w:before="120" w:beforeLines="50" w:after="0" w:line="240" w:lineRule="auto"/>
              <w:rPr>
                <w:rFonts w:hint="eastAsia"/>
                <w:b/>
              </w:rPr>
            </w:pPr>
          </w:p>
          <w:p w14:paraId="3DC35003">
            <w:pPr>
              <w:pStyle w:val="10"/>
              <w:spacing w:before="120" w:beforeLines="50" w:after="0" w:line="360" w:lineRule="auto"/>
            </w:pPr>
            <w:r>
              <w:rPr>
                <w:rFonts w:hint="eastAsia"/>
                <w:b/>
              </w:rPr>
              <w:t>3、</w:t>
            </w:r>
            <w:r>
              <w:rPr>
                <w:b/>
                <w:bCs/>
              </w:rPr>
              <w:t>噪声</w:t>
            </w:r>
          </w:p>
          <w:p w14:paraId="5DF2E850">
            <w:pPr>
              <w:pStyle w:val="10"/>
              <w:spacing w:after="0" w:line="360" w:lineRule="auto"/>
              <w:ind w:left="0" w:leftChars="0" w:firstLine="480" w:firstLineChars="200"/>
              <w:rPr>
                <w:rFonts w:hint="eastAsia"/>
                <w:szCs w:val="22"/>
              </w:rPr>
            </w:pPr>
            <w:r>
              <w:rPr>
                <w:szCs w:val="22"/>
              </w:rPr>
              <w:t>本项目</w:t>
            </w:r>
            <w:r>
              <w:rPr>
                <w:rFonts w:hint="eastAsia"/>
                <w:szCs w:val="22"/>
              </w:rPr>
              <w:t>施工</w:t>
            </w:r>
            <w:r>
              <w:rPr>
                <w:szCs w:val="22"/>
              </w:rPr>
              <w:t>噪声执行《建筑施工场界环境噪声排放标准》（GB12523-2011）中标准限值，详见下表</w:t>
            </w:r>
            <w:r>
              <w:rPr>
                <w:rFonts w:hint="eastAsia"/>
                <w:szCs w:val="22"/>
              </w:rPr>
              <w:t>。</w:t>
            </w:r>
          </w:p>
          <w:p w14:paraId="6D38686C">
            <w:pPr>
              <w:pStyle w:val="61"/>
              <w:tabs>
                <w:tab w:val="clear" w:pos="3437"/>
              </w:tabs>
              <w:spacing w:before="120"/>
            </w:pPr>
            <w:r>
              <w:rPr>
                <w:rFonts w:hint="eastAsia"/>
              </w:rPr>
              <w:t>表3-</w:t>
            </w:r>
            <w:r>
              <w:rPr>
                <w:rFonts w:hint="eastAsia"/>
                <w:lang w:val="en-US" w:eastAsia="zh-CN"/>
              </w:rPr>
              <w:t>9</w:t>
            </w:r>
            <w:r>
              <w:t xml:space="preserve">  建筑施工场界噪声限值 单位：LeqdB(A)</w:t>
            </w:r>
          </w:p>
          <w:tbl>
            <w:tblPr>
              <w:tblStyle w:val="27"/>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554"/>
              <w:gridCol w:w="4669"/>
            </w:tblGrid>
            <w:tr w14:paraId="216E342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23" w:type="dxa"/>
                  <w:gridSpan w:val="2"/>
                  <w:noWrap w:val="0"/>
                  <w:vAlign w:val="center"/>
                </w:tcPr>
                <w:p w14:paraId="6FA460E2">
                  <w:pPr>
                    <w:widowControl/>
                    <w:jc w:val="center"/>
                    <w:rPr>
                      <w:kern w:val="0"/>
                      <w:szCs w:val="21"/>
                    </w:rPr>
                  </w:pPr>
                  <w:r>
                    <w:rPr>
                      <w:kern w:val="0"/>
                      <w:szCs w:val="21"/>
                    </w:rPr>
                    <w:t>噪声限值</w:t>
                  </w:r>
                </w:p>
              </w:tc>
            </w:tr>
            <w:tr w14:paraId="605170E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54" w:type="dxa"/>
                  <w:noWrap w:val="0"/>
                  <w:vAlign w:val="center"/>
                </w:tcPr>
                <w:p w14:paraId="41328771">
                  <w:pPr>
                    <w:jc w:val="center"/>
                    <w:rPr>
                      <w:kern w:val="0"/>
                      <w:szCs w:val="21"/>
                    </w:rPr>
                  </w:pPr>
                  <w:r>
                    <w:rPr>
                      <w:kern w:val="0"/>
                      <w:szCs w:val="21"/>
                    </w:rPr>
                    <w:t>昼间</w:t>
                  </w:r>
                </w:p>
              </w:tc>
              <w:tc>
                <w:tcPr>
                  <w:tcW w:w="4669" w:type="dxa"/>
                  <w:noWrap w:val="0"/>
                  <w:vAlign w:val="center"/>
                </w:tcPr>
                <w:p w14:paraId="564CCFA6">
                  <w:pPr>
                    <w:jc w:val="center"/>
                    <w:rPr>
                      <w:kern w:val="0"/>
                      <w:szCs w:val="21"/>
                    </w:rPr>
                  </w:pPr>
                  <w:r>
                    <w:rPr>
                      <w:kern w:val="0"/>
                      <w:szCs w:val="21"/>
                    </w:rPr>
                    <w:t>夜间</w:t>
                  </w:r>
                </w:p>
              </w:tc>
            </w:tr>
            <w:tr w14:paraId="339CB7A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54" w:type="dxa"/>
                  <w:noWrap w:val="0"/>
                  <w:vAlign w:val="center"/>
                </w:tcPr>
                <w:p w14:paraId="47018AC2">
                  <w:pPr>
                    <w:widowControl/>
                    <w:jc w:val="center"/>
                    <w:rPr>
                      <w:kern w:val="0"/>
                      <w:szCs w:val="21"/>
                    </w:rPr>
                  </w:pPr>
                  <w:r>
                    <w:rPr>
                      <w:kern w:val="0"/>
                      <w:szCs w:val="21"/>
                    </w:rPr>
                    <w:t>70</w:t>
                  </w:r>
                </w:p>
              </w:tc>
              <w:tc>
                <w:tcPr>
                  <w:tcW w:w="4669" w:type="dxa"/>
                  <w:noWrap w:val="0"/>
                  <w:vAlign w:val="center"/>
                </w:tcPr>
                <w:p w14:paraId="39900A4A">
                  <w:pPr>
                    <w:widowControl/>
                    <w:jc w:val="center"/>
                    <w:rPr>
                      <w:kern w:val="0"/>
                      <w:szCs w:val="21"/>
                    </w:rPr>
                  </w:pPr>
                  <w:r>
                    <w:rPr>
                      <w:kern w:val="0"/>
                      <w:szCs w:val="21"/>
                    </w:rPr>
                    <w:t>55</w:t>
                  </w:r>
                </w:p>
              </w:tc>
            </w:tr>
          </w:tbl>
          <w:p w14:paraId="1796F157">
            <w:pPr>
              <w:spacing w:line="360" w:lineRule="auto"/>
              <w:ind w:firstLine="420" w:firstLineChars="200"/>
            </w:pPr>
          </w:p>
          <w:p w14:paraId="21301C77">
            <w:pPr>
              <w:spacing w:line="360" w:lineRule="auto"/>
              <w:ind w:firstLine="480" w:firstLineChars="200"/>
              <w:rPr>
                <w:rFonts w:hint="eastAsia"/>
              </w:rPr>
            </w:pPr>
            <w:r>
              <w:rPr>
                <w:rFonts w:hint="eastAsia"/>
                <w:sz w:val="24"/>
                <w:szCs w:val="32"/>
              </w:rPr>
              <w:t>根据长春市声功能区划图（2023年版）</w:t>
            </w:r>
            <w:r>
              <w:rPr>
                <w:rFonts w:hint="eastAsia"/>
                <w:kern w:val="0"/>
                <w:sz w:val="24"/>
              </w:rPr>
              <w:t>，项目位于声环境3类区，</w:t>
            </w:r>
            <w:r>
              <w:rPr>
                <w:sz w:val="24"/>
                <w:szCs w:val="32"/>
              </w:rPr>
              <w:t>运营期噪声执行《工业企业厂界环境噪声排放标准》（GB12348-2008）中的</w:t>
            </w:r>
            <w:r>
              <w:rPr>
                <w:rFonts w:hint="eastAsia"/>
                <w:sz w:val="24"/>
                <w:szCs w:val="32"/>
              </w:rPr>
              <w:t>3</w:t>
            </w:r>
            <w:r>
              <w:rPr>
                <w:sz w:val="24"/>
                <w:szCs w:val="32"/>
              </w:rPr>
              <w:t>类区标准，详见下表。</w:t>
            </w:r>
          </w:p>
          <w:p w14:paraId="765534BB">
            <w:pPr>
              <w:pStyle w:val="61"/>
              <w:tabs>
                <w:tab w:val="clear" w:pos="3437"/>
              </w:tabs>
              <w:spacing w:before="120"/>
            </w:pPr>
            <w:r>
              <w:rPr>
                <w:rFonts w:hint="eastAsia"/>
              </w:rPr>
              <w:t>表3-</w:t>
            </w:r>
            <w:r>
              <w:rPr>
                <w:rFonts w:hint="eastAsia"/>
                <w:lang w:val="en-US" w:eastAsia="zh-CN"/>
              </w:rPr>
              <w:t>10</w:t>
            </w:r>
            <w:r>
              <w:rPr>
                <w:rFonts w:hint="eastAsia"/>
              </w:rPr>
              <w:t xml:space="preserve"> </w:t>
            </w:r>
            <w:r>
              <w:t xml:space="preserve"> 工业企业厂界环境噪声排放标准    单位：dB（A）</w:t>
            </w:r>
          </w:p>
          <w:tbl>
            <w:tblPr>
              <w:tblStyle w:val="27"/>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791"/>
              <w:gridCol w:w="2354"/>
              <w:gridCol w:w="2360"/>
              <w:gridCol w:w="2782"/>
            </w:tblGrid>
            <w:tr w14:paraId="7E77BFD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64" w:type="pct"/>
                  <w:vMerge w:val="restart"/>
                  <w:noWrap w:val="0"/>
                  <w:vAlign w:val="center"/>
                </w:tcPr>
                <w:p w14:paraId="47175A18">
                  <w:pPr>
                    <w:widowControl/>
                    <w:jc w:val="center"/>
                    <w:rPr>
                      <w:kern w:val="0"/>
                      <w:szCs w:val="21"/>
                    </w:rPr>
                  </w:pPr>
                  <w:r>
                    <w:rPr>
                      <w:kern w:val="0"/>
                      <w:szCs w:val="21"/>
                    </w:rPr>
                    <w:t>类别</w:t>
                  </w:r>
                </w:p>
              </w:tc>
              <w:tc>
                <w:tcPr>
                  <w:tcW w:w="2537" w:type="pct"/>
                  <w:gridSpan w:val="2"/>
                  <w:noWrap w:val="0"/>
                  <w:vAlign w:val="center"/>
                </w:tcPr>
                <w:p w14:paraId="2B6FCE5C">
                  <w:pPr>
                    <w:widowControl/>
                    <w:jc w:val="center"/>
                    <w:rPr>
                      <w:kern w:val="0"/>
                      <w:szCs w:val="21"/>
                    </w:rPr>
                  </w:pPr>
                  <w:r>
                    <w:rPr>
                      <w:kern w:val="0"/>
                      <w:szCs w:val="21"/>
                    </w:rPr>
                    <w:t>标准值</w:t>
                  </w:r>
                </w:p>
              </w:tc>
              <w:tc>
                <w:tcPr>
                  <w:tcW w:w="1497" w:type="pct"/>
                  <w:vMerge w:val="restart"/>
                  <w:noWrap w:val="0"/>
                  <w:vAlign w:val="center"/>
                </w:tcPr>
                <w:p w14:paraId="2E9BE679">
                  <w:pPr>
                    <w:widowControl/>
                    <w:jc w:val="center"/>
                    <w:rPr>
                      <w:kern w:val="0"/>
                      <w:szCs w:val="21"/>
                    </w:rPr>
                  </w:pPr>
                  <w:r>
                    <w:rPr>
                      <w:kern w:val="0"/>
                      <w:szCs w:val="21"/>
                    </w:rPr>
                    <w:t>标准来源</w:t>
                  </w:r>
                </w:p>
              </w:tc>
            </w:tr>
            <w:tr w14:paraId="1FBD18F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64" w:type="pct"/>
                  <w:vMerge w:val="continue"/>
                  <w:noWrap w:val="0"/>
                  <w:vAlign w:val="center"/>
                </w:tcPr>
                <w:p w14:paraId="03520D75">
                  <w:pPr>
                    <w:widowControl/>
                    <w:jc w:val="center"/>
                    <w:rPr>
                      <w:kern w:val="0"/>
                      <w:szCs w:val="21"/>
                    </w:rPr>
                  </w:pPr>
                </w:p>
              </w:tc>
              <w:tc>
                <w:tcPr>
                  <w:tcW w:w="1267" w:type="pct"/>
                  <w:noWrap w:val="0"/>
                  <w:vAlign w:val="center"/>
                </w:tcPr>
                <w:p w14:paraId="2E6505B1">
                  <w:pPr>
                    <w:widowControl/>
                    <w:jc w:val="center"/>
                    <w:rPr>
                      <w:kern w:val="0"/>
                      <w:szCs w:val="21"/>
                    </w:rPr>
                  </w:pPr>
                  <w:r>
                    <w:rPr>
                      <w:kern w:val="0"/>
                      <w:szCs w:val="21"/>
                    </w:rPr>
                    <w:t>昼间</w:t>
                  </w:r>
                </w:p>
              </w:tc>
              <w:tc>
                <w:tcPr>
                  <w:tcW w:w="1270" w:type="pct"/>
                  <w:noWrap w:val="0"/>
                  <w:vAlign w:val="center"/>
                </w:tcPr>
                <w:p w14:paraId="0EDD0DCB">
                  <w:pPr>
                    <w:widowControl/>
                    <w:jc w:val="center"/>
                    <w:rPr>
                      <w:kern w:val="0"/>
                      <w:szCs w:val="21"/>
                    </w:rPr>
                  </w:pPr>
                  <w:r>
                    <w:rPr>
                      <w:kern w:val="0"/>
                      <w:szCs w:val="21"/>
                    </w:rPr>
                    <w:t>夜间</w:t>
                  </w:r>
                </w:p>
              </w:tc>
              <w:tc>
                <w:tcPr>
                  <w:tcW w:w="1497" w:type="pct"/>
                  <w:vMerge w:val="continue"/>
                  <w:noWrap w:val="0"/>
                  <w:vAlign w:val="center"/>
                </w:tcPr>
                <w:p w14:paraId="3C41A3AA">
                  <w:pPr>
                    <w:widowControl/>
                    <w:jc w:val="center"/>
                    <w:rPr>
                      <w:kern w:val="0"/>
                      <w:szCs w:val="21"/>
                    </w:rPr>
                  </w:pPr>
                </w:p>
              </w:tc>
            </w:tr>
            <w:tr w14:paraId="081C7BB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4" w:type="pct"/>
                  <w:noWrap w:val="0"/>
                  <w:vAlign w:val="center"/>
                </w:tcPr>
                <w:p w14:paraId="03BE9676">
                  <w:pPr>
                    <w:widowControl/>
                    <w:jc w:val="center"/>
                    <w:rPr>
                      <w:kern w:val="0"/>
                      <w:szCs w:val="21"/>
                    </w:rPr>
                  </w:pPr>
                  <w:r>
                    <w:rPr>
                      <w:rFonts w:hint="eastAsia"/>
                      <w:kern w:val="0"/>
                      <w:szCs w:val="21"/>
                    </w:rPr>
                    <w:t>3</w:t>
                  </w:r>
                  <w:r>
                    <w:rPr>
                      <w:kern w:val="0"/>
                      <w:szCs w:val="21"/>
                    </w:rPr>
                    <w:t>类</w:t>
                  </w:r>
                </w:p>
              </w:tc>
              <w:tc>
                <w:tcPr>
                  <w:tcW w:w="1267" w:type="pct"/>
                  <w:noWrap w:val="0"/>
                  <w:vAlign w:val="center"/>
                </w:tcPr>
                <w:p w14:paraId="6CE475AC">
                  <w:pPr>
                    <w:widowControl/>
                    <w:jc w:val="center"/>
                    <w:rPr>
                      <w:kern w:val="0"/>
                      <w:szCs w:val="21"/>
                    </w:rPr>
                  </w:pPr>
                  <w:r>
                    <w:rPr>
                      <w:rFonts w:hint="eastAsia"/>
                      <w:kern w:val="0"/>
                      <w:szCs w:val="21"/>
                    </w:rPr>
                    <w:t>65</w:t>
                  </w:r>
                </w:p>
              </w:tc>
              <w:tc>
                <w:tcPr>
                  <w:tcW w:w="1270" w:type="pct"/>
                  <w:noWrap w:val="0"/>
                  <w:vAlign w:val="center"/>
                </w:tcPr>
                <w:p w14:paraId="079650DC">
                  <w:pPr>
                    <w:widowControl/>
                    <w:jc w:val="center"/>
                    <w:rPr>
                      <w:kern w:val="0"/>
                      <w:szCs w:val="21"/>
                    </w:rPr>
                  </w:pPr>
                  <w:r>
                    <w:rPr>
                      <w:rFonts w:hint="eastAsia"/>
                      <w:kern w:val="0"/>
                      <w:szCs w:val="21"/>
                    </w:rPr>
                    <w:t>55</w:t>
                  </w:r>
                </w:p>
              </w:tc>
              <w:tc>
                <w:tcPr>
                  <w:tcW w:w="1497" w:type="pct"/>
                  <w:noWrap w:val="0"/>
                  <w:vAlign w:val="center"/>
                </w:tcPr>
                <w:p w14:paraId="2BC6B466">
                  <w:pPr>
                    <w:widowControl/>
                    <w:jc w:val="center"/>
                    <w:rPr>
                      <w:kern w:val="0"/>
                      <w:szCs w:val="21"/>
                    </w:rPr>
                  </w:pPr>
                  <w:r>
                    <w:rPr>
                      <w:kern w:val="0"/>
                      <w:szCs w:val="21"/>
                    </w:rPr>
                    <w:t>《工业企业厂界环境噪声排放标准》（GB12348-2008）</w:t>
                  </w:r>
                </w:p>
              </w:tc>
            </w:tr>
          </w:tbl>
          <w:p w14:paraId="65A2496C">
            <w:pPr>
              <w:ind w:firstLine="482" w:firstLineChars="200"/>
              <w:rPr>
                <w:rFonts w:hint="eastAsia"/>
                <w:b/>
                <w:sz w:val="24"/>
              </w:rPr>
            </w:pPr>
          </w:p>
          <w:p w14:paraId="6BE06599">
            <w:pPr>
              <w:spacing w:line="500" w:lineRule="exact"/>
              <w:ind w:firstLine="482" w:firstLineChars="200"/>
              <w:rPr>
                <w:b/>
                <w:sz w:val="24"/>
              </w:rPr>
            </w:pPr>
            <w:r>
              <w:rPr>
                <w:rFonts w:hint="eastAsia"/>
                <w:b/>
                <w:sz w:val="24"/>
              </w:rPr>
              <w:t>4、</w:t>
            </w:r>
            <w:r>
              <w:rPr>
                <w:b/>
                <w:sz w:val="24"/>
              </w:rPr>
              <w:t>固体废物</w:t>
            </w:r>
          </w:p>
          <w:p w14:paraId="7943B919">
            <w:pPr>
              <w:spacing w:line="500" w:lineRule="exact"/>
              <w:ind w:firstLine="480" w:firstLineChars="200"/>
              <w:rPr>
                <w:rFonts w:hint="eastAsia" w:ascii="宋体" w:hAnsi="宋体" w:cs="宋体"/>
                <w:kern w:val="0"/>
                <w:szCs w:val="21"/>
              </w:rPr>
            </w:pPr>
            <w:r>
              <w:rPr>
                <w:bCs/>
                <w:sz w:val="24"/>
                <w:szCs w:val="22"/>
              </w:rPr>
              <w:t>项目产生的一般固体废弃物贮存</w:t>
            </w:r>
            <w:r>
              <w:rPr>
                <w:rFonts w:hint="eastAsia"/>
                <w:bCs/>
                <w:sz w:val="24"/>
                <w:szCs w:val="22"/>
              </w:rPr>
              <w:t>过程应满足《一般工业固体废物贮存和填埋污染控制标准》（GB18599-2020）中相应防渗漏、防雨淋、防扬尘等环境保护要求。危险废物执行《危险废物贮存污染控制标准》（GB18597-2023）。</w:t>
            </w:r>
          </w:p>
        </w:tc>
      </w:tr>
      <w:tr w14:paraId="59B24F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7" w:type="pct"/>
            <w:noWrap w:val="0"/>
            <w:vAlign w:val="center"/>
          </w:tcPr>
          <w:p w14:paraId="073BF2A8">
            <w:pPr>
              <w:adjustRightInd w:val="0"/>
              <w:snapToGrid w:val="0"/>
              <w:jc w:val="center"/>
              <w:rPr>
                <w:rFonts w:hint="eastAsia" w:ascii="宋体" w:hAnsi="宋体" w:cs="宋体"/>
                <w:kern w:val="0"/>
                <w:sz w:val="24"/>
              </w:rPr>
            </w:pPr>
            <w:r>
              <w:rPr>
                <w:rFonts w:hint="eastAsia" w:ascii="宋体" w:hAnsi="宋体" w:cs="宋体"/>
                <w:kern w:val="0"/>
                <w:sz w:val="24"/>
              </w:rPr>
              <w:t>总量</w:t>
            </w:r>
          </w:p>
          <w:p w14:paraId="6B7FDBBD">
            <w:pPr>
              <w:adjustRightInd w:val="0"/>
              <w:snapToGrid w:val="0"/>
              <w:jc w:val="center"/>
              <w:rPr>
                <w:rFonts w:hint="eastAsia" w:ascii="宋体" w:hAnsi="宋体" w:cs="宋体"/>
                <w:kern w:val="0"/>
                <w:sz w:val="24"/>
              </w:rPr>
            </w:pPr>
            <w:r>
              <w:rPr>
                <w:rFonts w:hint="eastAsia" w:ascii="宋体" w:hAnsi="宋体" w:cs="宋体"/>
                <w:kern w:val="0"/>
                <w:sz w:val="24"/>
              </w:rPr>
              <w:t>控制</w:t>
            </w:r>
          </w:p>
          <w:p w14:paraId="17448B72">
            <w:pPr>
              <w:adjustRightInd w:val="0"/>
              <w:snapToGrid w:val="0"/>
              <w:jc w:val="center"/>
              <w:rPr>
                <w:rFonts w:ascii="宋体" w:hAnsi="宋体" w:cs="宋体"/>
                <w:kern w:val="0"/>
                <w:szCs w:val="21"/>
              </w:rPr>
            </w:pPr>
            <w:r>
              <w:rPr>
                <w:rFonts w:hint="eastAsia" w:ascii="宋体" w:hAnsi="宋体" w:cs="宋体"/>
                <w:kern w:val="0"/>
                <w:sz w:val="24"/>
              </w:rPr>
              <w:t>指标</w:t>
            </w:r>
          </w:p>
        </w:tc>
        <w:tc>
          <w:tcPr>
            <w:tcW w:w="4772" w:type="pct"/>
            <w:noWrap w:val="0"/>
            <w:vAlign w:val="center"/>
          </w:tcPr>
          <w:p w14:paraId="38312570">
            <w:pPr>
              <w:spacing w:line="360" w:lineRule="auto"/>
              <w:ind w:firstLine="480"/>
              <w:rPr>
                <w:sz w:val="24"/>
              </w:rPr>
            </w:pPr>
            <w:r>
              <w:rPr>
                <w:rFonts w:hint="eastAsia"/>
                <w:sz w:val="24"/>
              </w:rPr>
              <w:t>根据吉林省生态环境厅《关于进一步明确建设项目主要污染物排放总量审核有关事宜的复函》，对COD、NH</w:t>
            </w:r>
            <w:r>
              <w:rPr>
                <w:rFonts w:hint="eastAsia"/>
                <w:sz w:val="24"/>
                <w:vertAlign w:val="subscript"/>
              </w:rPr>
              <w:t>3</w:t>
            </w:r>
            <w:r>
              <w:rPr>
                <w:rFonts w:hint="eastAsia"/>
                <w:sz w:val="24"/>
              </w:rPr>
              <w:t>-N、SO</w:t>
            </w:r>
            <w:r>
              <w:rPr>
                <w:rFonts w:hint="eastAsia"/>
                <w:sz w:val="24"/>
                <w:vertAlign w:val="subscript"/>
              </w:rPr>
              <w:t>2</w:t>
            </w:r>
            <w:r>
              <w:rPr>
                <w:rFonts w:hint="eastAsia"/>
                <w:sz w:val="24"/>
              </w:rPr>
              <w:t>、NOx、NMHC、颗粒物等污染物实施总量控制。根据复函，对建设项</w:t>
            </w:r>
            <w:r>
              <w:rPr>
                <w:rFonts w:hint="eastAsia"/>
                <w:sz w:val="24"/>
                <w:lang w:eastAsia="zh-CN"/>
              </w:rPr>
              <w:t>目</w:t>
            </w:r>
            <w:r>
              <w:rPr>
                <w:rFonts w:hint="eastAsia"/>
                <w:sz w:val="24"/>
              </w:rPr>
              <w:t>污染物排放总量审核实施分类管理，按照行业排污绩效，将建设项目污染物排放总量分为重点行业排放管理，一般行业排放管理和其他行业排放管理三类管理方式。</w:t>
            </w:r>
          </w:p>
          <w:p w14:paraId="40257EC5">
            <w:pPr>
              <w:spacing w:line="360" w:lineRule="auto"/>
              <w:ind w:firstLine="480"/>
              <w:rPr>
                <w:sz w:val="24"/>
              </w:rPr>
            </w:pPr>
            <w:r>
              <w:rPr>
                <w:rFonts w:hint="eastAsia"/>
                <w:sz w:val="24"/>
              </w:rPr>
              <w:t>本项目不涉及主要排放口，属于其他行业。其他行业因排污量很少或基本不新增排污量，在环评审批过程中予以豁免主要污染物总量审核。各级环评审批部门应自行建立统计台账，纳入环境管理。</w:t>
            </w:r>
          </w:p>
          <w:p w14:paraId="6F1D8D78">
            <w:pPr>
              <w:spacing w:line="360" w:lineRule="auto"/>
              <w:ind w:firstLine="480"/>
              <w:rPr>
                <w:sz w:val="24"/>
              </w:rPr>
            </w:pPr>
            <w:r>
              <w:rPr>
                <w:rFonts w:hint="eastAsia"/>
                <w:sz w:val="24"/>
              </w:rPr>
              <w:t>本项目生活污水排入园区</w:t>
            </w:r>
            <w:r>
              <w:rPr>
                <w:rFonts w:hint="eastAsia"/>
                <w:sz w:val="24"/>
                <w:lang w:eastAsia="zh-CN"/>
              </w:rPr>
              <w:t>化粪池</w:t>
            </w:r>
            <w:r>
              <w:rPr>
                <w:rFonts w:hint="eastAsia"/>
                <w:sz w:val="24"/>
              </w:rPr>
              <w:t>，由园区定期清淘用作农肥，由园区定期清淘用作农肥，待长春北湖科技开发区污水处理厂运行后，经市政管网排入该污水厂处理后排入干雾海河。项目废水总量控制指标已纳入长春北湖科技开发区污水处理厂，本项目无需重复申请NH</w:t>
            </w:r>
            <w:r>
              <w:rPr>
                <w:rFonts w:hint="eastAsia"/>
                <w:sz w:val="24"/>
                <w:vertAlign w:val="subscript"/>
              </w:rPr>
              <w:t>3</w:t>
            </w:r>
            <w:r>
              <w:rPr>
                <w:rFonts w:hint="eastAsia"/>
                <w:sz w:val="24"/>
              </w:rPr>
              <w:t>-N及COD的总量控制指标。</w:t>
            </w:r>
          </w:p>
          <w:p w14:paraId="25A20248">
            <w:pPr>
              <w:spacing w:line="360" w:lineRule="auto"/>
              <w:ind w:firstLine="480"/>
            </w:pPr>
            <w:r>
              <w:rPr>
                <w:rFonts w:hint="eastAsia"/>
                <w:sz w:val="24"/>
              </w:rPr>
              <w:t>项目</w:t>
            </w:r>
            <w:r>
              <w:rPr>
                <w:rFonts w:hint="eastAsia"/>
                <w:sz w:val="24"/>
                <w:lang w:eastAsia="zh-CN"/>
              </w:rPr>
              <w:t>投料、出料、</w:t>
            </w:r>
            <w:r>
              <w:rPr>
                <w:rFonts w:hint="eastAsia"/>
                <w:sz w:val="24"/>
              </w:rPr>
              <w:t>喷砂、喷涂及烘干等实验环节污染物排放量为：NMHC0.</w:t>
            </w:r>
            <w:r>
              <w:rPr>
                <w:rFonts w:hint="eastAsia"/>
                <w:sz w:val="24"/>
                <w:lang w:val="en-US" w:eastAsia="zh-CN"/>
              </w:rPr>
              <w:t>414</w:t>
            </w:r>
            <w:r>
              <w:rPr>
                <w:rFonts w:hint="eastAsia"/>
                <w:sz w:val="24"/>
              </w:rPr>
              <w:t>t/a、颗粒物0.</w:t>
            </w:r>
            <w:r>
              <w:rPr>
                <w:rFonts w:hint="eastAsia"/>
                <w:sz w:val="24"/>
                <w:lang w:val="en-US" w:eastAsia="zh-CN"/>
              </w:rPr>
              <w:t>0228</w:t>
            </w:r>
            <w:r>
              <w:rPr>
                <w:rFonts w:hint="eastAsia"/>
                <w:sz w:val="24"/>
              </w:rPr>
              <w:t>t/a。</w:t>
            </w:r>
          </w:p>
        </w:tc>
      </w:tr>
    </w:tbl>
    <w:p w14:paraId="75917FE3">
      <w:pPr>
        <w:pStyle w:val="23"/>
        <w:spacing w:after="120" w:afterLines="50" w:afterAutospacing="0"/>
        <w:jc w:val="center"/>
        <w:outlineLvl w:val="0"/>
        <w:rPr>
          <w:rFonts w:ascii="黑体" w:hAnsi="黑体" w:eastAsia="黑体"/>
          <w:snapToGrid w:val="0"/>
          <w:sz w:val="30"/>
          <w:szCs w:val="30"/>
        </w:rPr>
      </w:pPr>
      <w:r>
        <w:rPr>
          <w:rFonts w:ascii="黑体" w:hAnsi="黑体" w:eastAsia="黑体"/>
          <w:snapToGrid w:val="0"/>
          <w:sz w:val="36"/>
          <w:szCs w:val="36"/>
        </w:rPr>
        <w:br w:type="page"/>
      </w:r>
      <w:r>
        <w:rPr>
          <w:rFonts w:hint="eastAsia" w:ascii="黑体" w:hAnsi="黑体" w:eastAsia="黑体"/>
          <w:snapToGrid w:val="0"/>
          <w:sz w:val="30"/>
          <w:szCs w:val="30"/>
        </w:rPr>
        <w:t>四、主要环境影响和保护措施</w:t>
      </w:r>
    </w:p>
    <w:tbl>
      <w:tblPr>
        <w:tblStyle w:val="27"/>
        <w:tblW w:w="507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01"/>
        <w:gridCol w:w="9738"/>
      </w:tblGrid>
      <w:tr w14:paraId="011AA0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8" w:type="pct"/>
            <w:noWrap w:val="0"/>
            <w:tcMar>
              <w:left w:w="28" w:type="dxa"/>
              <w:right w:w="28" w:type="dxa"/>
            </w:tcMar>
            <w:vAlign w:val="center"/>
          </w:tcPr>
          <w:p w14:paraId="321797FA">
            <w:pPr>
              <w:pStyle w:val="23"/>
              <w:adjustRightInd w:val="0"/>
              <w:snapToGrid w:val="0"/>
              <w:spacing w:before="0" w:beforeAutospacing="0" w:after="0" w:afterAutospacing="0"/>
              <w:jc w:val="center"/>
              <w:rPr>
                <w:rFonts w:ascii="Times New Roman" w:hAnsi="Times New Roman"/>
                <w:kern w:val="2"/>
                <w:szCs w:val="24"/>
              </w:rPr>
            </w:pPr>
            <w:r>
              <w:rPr>
                <w:rFonts w:ascii="Times New Roman" w:hAnsi="Times New Roman"/>
                <w:kern w:val="2"/>
                <w:szCs w:val="24"/>
              </w:rPr>
              <w:t>施工</w:t>
            </w:r>
          </w:p>
          <w:p w14:paraId="10DE696D">
            <w:pPr>
              <w:pStyle w:val="23"/>
              <w:adjustRightInd w:val="0"/>
              <w:snapToGrid w:val="0"/>
              <w:spacing w:before="0" w:beforeAutospacing="0" w:after="0" w:afterAutospacing="0"/>
              <w:jc w:val="center"/>
              <w:rPr>
                <w:rFonts w:ascii="Times New Roman" w:hAnsi="Times New Roman"/>
                <w:kern w:val="2"/>
                <w:szCs w:val="24"/>
              </w:rPr>
            </w:pPr>
            <w:r>
              <w:rPr>
                <w:rFonts w:ascii="Times New Roman" w:hAnsi="Times New Roman"/>
                <w:kern w:val="2"/>
                <w:szCs w:val="24"/>
              </w:rPr>
              <w:t>期环</w:t>
            </w:r>
          </w:p>
          <w:p w14:paraId="356B838F">
            <w:pPr>
              <w:pStyle w:val="23"/>
              <w:adjustRightInd w:val="0"/>
              <w:snapToGrid w:val="0"/>
              <w:spacing w:before="0" w:beforeAutospacing="0" w:after="0" w:afterAutospacing="0"/>
              <w:jc w:val="center"/>
              <w:rPr>
                <w:rFonts w:ascii="Times New Roman" w:hAnsi="Times New Roman"/>
                <w:kern w:val="2"/>
                <w:szCs w:val="24"/>
              </w:rPr>
            </w:pPr>
            <w:r>
              <w:rPr>
                <w:rFonts w:ascii="Times New Roman" w:hAnsi="Times New Roman"/>
                <w:kern w:val="2"/>
                <w:szCs w:val="24"/>
              </w:rPr>
              <w:t>境保</w:t>
            </w:r>
          </w:p>
          <w:p w14:paraId="7A98C4D8">
            <w:pPr>
              <w:pStyle w:val="23"/>
              <w:adjustRightInd w:val="0"/>
              <w:snapToGrid w:val="0"/>
              <w:spacing w:before="0" w:beforeAutospacing="0" w:after="0" w:afterAutospacing="0"/>
              <w:jc w:val="center"/>
              <w:rPr>
                <w:rFonts w:ascii="Times New Roman" w:hAnsi="Times New Roman"/>
                <w:kern w:val="2"/>
                <w:szCs w:val="24"/>
              </w:rPr>
            </w:pPr>
            <w:r>
              <w:rPr>
                <w:rFonts w:ascii="Times New Roman" w:hAnsi="Times New Roman"/>
                <w:kern w:val="2"/>
                <w:szCs w:val="24"/>
              </w:rPr>
              <w:t>护措</w:t>
            </w:r>
          </w:p>
          <w:p w14:paraId="0016937E">
            <w:pPr>
              <w:pStyle w:val="23"/>
              <w:adjustRightInd w:val="0"/>
              <w:snapToGrid w:val="0"/>
              <w:spacing w:before="0" w:beforeAutospacing="0" w:after="0" w:afterAutospacing="0"/>
              <w:jc w:val="center"/>
              <w:rPr>
                <w:rFonts w:ascii="Times New Roman" w:hAnsi="Times New Roman"/>
                <w:bCs/>
                <w:kern w:val="2"/>
                <w:sz w:val="21"/>
                <w:szCs w:val="21"/>
              </w:rPr>
            </w:pPr>
            <w:r>
              <w:rPr>
                <w:rFonts w:ascii="Times New Roman" w:hAnsi="Times New Roman"/>
                <w:kern w:val="2"/>
                <w:szCs w:val="24"/>
              </w:rPr>
              <w:t>施</w:t>
            </w:r>
          </w:p>
        </w:tc>
        <w:tc>
          <w:tcPr>
            <w:tcW w:w="4791" w:type="pct"/>
            <w:noWrap w:val="0"/>
            <w:vAlign w:val="center"/>
          </w:tcPr>
          <w:p w14:paraId="6812C8A1">
            <w:pPr>
              <w:snapToGrid w:val="0"/>
              <w:spacing w:line="360" w:lineRule="auto"/>
              <w:ind w:firstLine="480" w:firstLineChars="200"/>
              <w:rPr>
                <w:rFonts w:hint="eastAsia" w:ascii="Times New Roman" w:hAnsi="Times New Roman" w:eastAsia="宋体" w:cs="Times New Roman"/>
                <w:bCs/>
                <w:i/>
                <w:iCs/>
                <w:sz w:val="24"/>
                <w:u w:val="single"/>
                <w:lang w:eastAsia="zh-CN"/>
              </w:rPr>
            </w:pPr>
            <w:r>
              <w:rPr>
                <w:rFonts w:hint="eastAsia" w:ascii="Times New Roman" w:hAnsi="Times New Roman" w:eastAsia="宋体" w:cs="Times New Roman"/>
                <w:bCs/>
                <w:i/>
                <w:iCs/>
                <w:sz w:val="24"/>
                <w:u w:val="single"/>
              </w:rPr>
              <w:t>本项目</w:t>
            </w:r>
            <w:r>
              <w:rPr>
                <w:rFonts w:hint="eastAsia"/>
                <w:i/>
                <w:iCs/>
                <w:sz w:val="24"/>
                <w:u w:val="single"/>
              </w:rPr>
              <w:t>租用</w:t>
            </w:r>
            <w:r>
              <w:rPr>
                <w:rFonts w:hint="eastAsia"/>
                <w:i/>
                <w:iCs/>
                <w:kern w:val="0"/>
                <w:sz w:val="24"/>
                <w:u w:val="single"/>
              </w:rPr>
              <w:t>吉林省长春市北湖科技开发区吉兴产业园B区</w:t>
            </w:r>
            <w:r>
              <w:rPr>
                <w:rFonts w:hint="eastAsia"/>
                <w:i/>
                <w:iCs/>
                <w:kern w:val="0"/>
                <w:sz w:val="24"/>
                <w:u w:val="single"/>
                <w:lang w:val="en-US" w:eastAsia="zh-CN"/>
              </w:rPr>
              <w:t>4-1</w:t>
            </w:r>
            <w:r>
              <w:rPr>
                <w:rFonts w:hint="eastAsia"/>
                <w:i/>
                <w:iCs/>
                <w:kern w:val="0"/>
                <w:sz w:val="24"/>
                <w:u w:val="single"/>
              </w:rPr>
              <w:t>栋厂房1层</w:t>
            </w:r>
            <w:r>
              <w:rPr>
                <w:rFonts w:hint="eastAsia" w:ascii="Times New Roman" w:hAnsi="Times New Roman" w:eastAsia="宋体" w:cs="Times New Roman"/>
                <w:bCs/>
                <w:i/>
                <w:iCs/>
                <w:sz w:val="24"/>
                <w:u w:val="single"/>
              </w:rPr>
              <w:t>，施工期基本不涉及土建工程，只对现有建筑物进行改造装修。因此，项目施工期影响主要为装修过程及少量设备安装过程产生的环境影响。但施工期周期较短，施工面较小，只要企业加强施工期管理，避免夜间施工，则本项目施工期影响较小。施工期主要采取的污染防治措施如下</w:t>
            </w:r>
            <w:r>
              <w:rPr>
                <w:rFonts w:hint="eastAsia" w:ascii="Times New Roman" w:hAnsi="Times New Roman" w:eastAsia="宋体" w:cs="Times New Roman"/>
                <w:bCs/>
                <w:i/>
                <w:iCs/>
                <w:sz w:val="24"/>
                <w:u w:val="single"/>
                <w:lang w:eastAsia="zh-CN"/>
              </w:rPr>
              <w:t>：</w:t>
            </w:r>
          </w:p>
          <w:p w14:paraId="783ABA6D">
            <w:pPr>
              <w:spacing w:line="360" w:lineRule="auto"/>
              <w:ind w:firstLine="482" w:firstLineChars="200"/>
              <w:rPr>
                <w:b/>
                <w:bCs/>
                <w:i/>
                <w:iCs/>
                <w:sz w:val="24"/>
                <w:szCs w:val="32"/>
                <w:u w:val="single"/>
              </w:rPr>
            </w:pPr>
            <w:r>
              <w:rPr>
                <w:rFonts w:hint="eastAsia"/>
                <w:b/>
                <w:bCs/>
                <w:i/>
                <w:iCs/>
                <w:sz w:val="24"/>
                <w:szCs w:val="32"/>
                <w:u w:val="single"/>
              </w:rPr>
              <w:t>1、</w:t>
            </w:r>
            <w:r>
              <w:rPr>
                <w:b/>
                <w:bCs/>
                <w:i/>
                <w:iCs/>
                <w:sz w:val="24"/>
                <w:szCs w:val="32"/>
                <w:u w:val="single"/>
              </w:rPr>
              <w:t>施工期废气污染防治措施</w:t>
            </w:r>
          </w:p>
          <w:p w14:paraId="279F1E5F">
            <w:pPr>
              <w:spacing w:line="360" w:lineRule="auto"/>
              <w:ind w:firstLine="480" w:firstLineChars="200"/>
              <w:rPr>
                <w:i/>
                <w:iCs/>
                <w:sz w:val="24"/>
                <w:szCs w:val="32"/>
                <w:u w:val="single"/>
              </w:rPr>
            </w:pPr>
            <w:r>
              <w:rPr>
                <w:i/>
                <w:iCs/>
                <w:sz w:val="24"/>
                <w:szCs w:val="32"/>
                <w:u w:val="single"/>
              </w:rPr>
              <w:t>为使施工过程中产生的粉尘对周围环境空气的影响降低到</w:t>
            </w:r>
            <w:r>
              <w:rPr>
                <w:rFonts w:hint="eastAsia"/>
                <w:i/>
                <w:iCs/>
                <w:sz w:val="24"/>
                <w:szCs w:val="32"/>
                <w:u w:val="single"/>
                <w:lang w:eastAsia="zh-CN"/>
              </w:rPr>
              <w:t>最低程度</w:t>
            </w:r>
            <w:r>
              <w:rPr>
                <w:i/>
                <w:iCs/>
                <w:sz w:val="24"/>
                <w:szCs w:val="32"/>
                <w:u w:val="single"/>
              </w:rPr>
              <w:t>，建议采取以下防护措施：对容易产生扬尘的建筑材料应放在室内，专人管理，避免散装水泥、砂石等物料露天堆放；运输车辆在运载散粒状建筑材料时，应按载重量装载并且设有苫布遮盖等防护措施</w:t>
            </w:r>
            <w:r>
              <w:rPr>
                <w:rFonts w:hint="eastAsia"/>
                <w:i/>
                <w:iCs/>
                <w:sz w:val="24"/>
                <w:szCs w:val="32"/>
                <w:u w:val="single"/>
                <w:lang w:eastAsia="zh-CN"/>
              </w:rPr>
              <w:t>，及时清除建筑装修垃圾，并对建筑垃圾堆放场所采取洒水抑尘措施；施工过程中尽可能关闭门窗；建议装修时尽可能选用绿色环保建筑材料，使用环保油漆，以减轻有机废气污染</w:t>
            </w:r>
            <w:r>
              <w:rPr>
                <w:i/>
                <w:iCs/>
                <w:sz w:val="24"/>
                <w:szCs w:val="32"/>
                <w:u w:val="single"/>
              </w:rPr>
              <w:t>。</w:t>
            </w:r>
          </w:p>
          <w:p w14:paraId="3B1801D7">
            <w:pPr>
              <w:spacing w:line="360" w:lineRule="auto"/>
              <w:ind w:firstLine="482" w:firstLineChars="200"/>
              <w:rPr>
                <w:b/>
                <w:bCs/>
                <w:i/>
                <w:iCs/>
                <w:sz w:val="24"/>
                <w:szCs w:val="32"/>
                <w:u w:val="single"/>
              </w:rPr>
            </w:pPr>
            <w:r>
              <w:rPr>
                <w:rFonts w:hint="eastAsia"/>
                <w:b/>
                <w:bCs/>
                <w:i/>
                <w:iCs/>
                <w:sz w:val="24"/>
                <w:szCs w:val="32"/>
                <w:u w:val="single"/>
              </w:rPr>
              <w:t>2、</w:t>
            </w:r>
            <w:r>
              <w:rPr>
                <w:b/>
                <w:bCs/>
                <w:i/>
                <w:iCs/>
                <w:sz w:val="24"/>
                <w:szCs w:val="32"/>
                <w:u w:val="single"/>
              </w:rPr>
              <w:t>施工期废水污染防治措施</w:t>
            </w:r>
          </w:p>
          <w:p w14:paraId="5302481C">
            <w:pPr>
              <w:spacing w:line="360" w:lineRule="auto"/>
              <w:ind w:firstLine="480" w:firstLineChars="200"/>
              <w:rPr>
                <w:i/>
                <w:iCs/>
                <w:sz w:val="24"/>
                <w:u w:val="single"/>
              </w:rPr>
            </w:pPr>
            <w:r>
              <w:rPr>
                <w:i/>
                <w:iCs/>
                <w:sz w:val="24"/>
                <w:szCs w:val="32"/>
                <w:u w:val="single"/>
              </w:rPr>
              <w:t>施工期废水主要生活污水，</w:t>
            </w:r>
            <w:r>
              <w:rPr>
                <w:rFonts w:hint="eastAsia"/>
                <w:i/>
                <w:iCs/>
                <w:sz w:val="24"/>
                <w:szCs w:val="32"/>
                <w:u w:val="single"/>
              </w:rPr>
              <w:t>排入园区</w:t>
            </w:r>
            <w:r>
              <w:rPr>
                <w:rFonts w:hint="eastAsia"/>
                <w:i/>
                <w:iCs/>
                <w:sz w:val="24"/>
                <w:szCs w:val="32"/>
                <w:u w:val="single"/>
                <w:lang w:eastAsia="zh-CN"/>
              </w:rPr>
              <w:t>化粪池</w:t>
            </w:r>
            <w:r>
              <w:rPr>
                <w:rFonts w:hint="eastAsia"/>
                <w:i/>
                <w:iCs/>
                <w:sz w:val="24"/>
                <w:szCs w:val="32"/>
                <w:u w:val="single"/>
              </w:rPr>
              <w:t>，由园区定期清淘用作农肥，由园区定期清淘用作农肥</w:t>
            </w:r>
            <w:r>
              <w:rPr>
                <w:i/>
                <w:iCs/>
                <w:sz w:val="24"/>
                <w:szCs w:val="32"/>
                <w:u w:val="single"/>
                <w:lang w:val="zh-CN"/>
              </w:rPr>
              <w:t>，</w:t>
            </w:r>
            <w:r>
              <w:rPr>
                <w:i/>
                <w:iCs/>
                <w:sz w:val="24"/>
                <w:szCs w:val="32"/>
                <w:u w:val="single"/>
              </w:rPr>
              <w:t>对周围地表水环境影响较小。</w:t>
            </w:r>
          </w:p>
          <w:p w14:paraId="4FA8177E">
            <w:pPr>
              <w:spacing w:line="360" w:lineRule="auto"/>
              <w:ind w:firstLine="482" w:firstLineChars="200"/>
              <w:rPr>
                <w:b/>
                <w:bCs/>
                <w:i/>
                <w:iCs/>
                <w:sz w:val="24"/>
                <w:u w:val="single"/>
              </w:rPr>
            </w:pPr>
            <w:r>
              <w:rPr>
                <w:rFonts w:hint="eastAsia"/>
                <w:b/>
                <w:bCs/>
                <w:i/>
                <w:iCs/>
                <w:sz w:val="24"/>
                <w:u w:val="single"/>
              </w:rPr>
              <w:t>3、</w:t>
            </w:r>
            <w:r>
              <w:rPr>
                <w:b/>
                <w:bCs/>
                <w:i/>
                <w:iCs/>
                <w:sz w:val="24"/>
                <w:u w:val="single"/>
              </w:rPr>
              <w:t>施工期噪声污染防治措施</w:t>
            </w:r>
          </w:p>
          <w:p w14:paraId="749B7F7E">
            <w:pPr>
              <w:snapToGrid w:val="0"/>
              <w:spacing w:line="360" w:lineRule="auto"/>
              <w:ind w:firstLine="480" w:firstLineChars="200"/>
              <w:rPr>
                <w:bCs/>
                <w:i/>
                <w:iCs/>
                <w:sz w:val="24"/>
                <w:u w:val="single"/>
              </w:rPr>
            </w:pPr>
            <w:r>
              <w:rPr>
                <w:bCs/>
                <w:i/>
                <w:iCs/>
                <w:sz w:val="24"/>
                <w:u w:val="single"/>
              </w:rPr>
              <w:t>施工噪声不稳定，因此针对各主要噪声设备采取以下减噪措施：</w:t>
            </w:r>
          </w:p>
          <w:p w14:paraId="2965503D">
            <w:pPr>
              <w:snapToGrid w:val="0"/>
              <w:spacing w:line="360" w:lineRule="auto"/>
              <w:ind w:firstLine="480" w:firstLineChars="200"/>
              <w:rPr>
                <w:bCs/>
                <w:i/>
                <w:iCs/>
                <w:sz w:val="24"/>
                <w:u w:val="single"/>
              </w:rPr>
            </w:pPr>
            <w:r>
              <w:rPr>
                <w:rFonts w:hint="eastAsia"/>
                <w:bCs/>
                <w:i/>
                <w:iCs/>
                <w:sz w:val="24"/>
                <w:u w:val="single"/>
                <w:lang w:eastAsia="zh-CN"/>
              </w:rPr>
              <w:t>（</w:t>
            </w:r>
            <w:r>
              <w:rPr>
                <w:rFonts w:hint="eastAsia"/>
                <w:bCs/>
                <w:i/>
                <w:iCs/>
                <w:sz w:val="24"/>
                <w:u w:val="single"/>
                <w:lang w:val="en-US" w:eastAsia="zh-CN"/>
              </w:rPr>
              <w:t>1</w:t>
            </w:r>
            <w:r>
              <w:rPr>
                <w:rFonts w:hint="eastAsia"/>
                <w:bCs/>
                <w:i/>
                <w:iCs/>
                <w:sz w:val="24"/>
                <w:u w:val="single"/>
                <w:lang w:eastAsia="zh-CN"/>
              </w:rPr>
              <w:t>）</w:t>
            </w:r>
            <w:r>
              <w:rPr>
                <w:bCs/>
                <w:i/>
                <w:iCs/>
                <w:sz w:val="24"/>
                <w:u w:val="single"/>
              </w:rPr>
              <w:t>施工部门应尽量选用低噪声的机械设备，以便有效缩小施工期的噪声影响范围。</w:t>
            </w:r>
          </w:p>
          <w:p w14:paraId="2943D871">
            <w:pPr>
              <w:snapToGrid w:val="0"/>
              <w:spacing w:line="360" w:lineRule="auto"/>
              <w:ind w:firstLine="480" w:firstLineChars="200"/>
              <w:rPr>
                <w:bCs/>
                <w:i/>
                <w:iCs/>
                <w:sz w:val="24"/>
                <w:u w:val="single"/>
              </w:rPr>
            </w:pPr>
            <w:r>
              <w:rPr>
                <w:rFonts w:hint="eastAsia"/>
                <w:bCs/>
                <w:i/>
                <w:iCs/>
                <w:sz w:val="24"/>
                <w:u w:val="single"/>
                <w:lang w:eastAsia="zh-CN"/>
              </w:rPr>
              <w:t>（</w:t>
            </w:r>
            <w:r>
              <w:rPr>
                <w:rFonts w:hint="eastAsia"/>
                <w:bCs/>
                <w:i/>
                <w:iCs/>
                <w:sz w:val="24"/>
                <w:u w:val="single"/>
                <w:lang w:val="en-US" w:eastAsia="zh-CN"/>
              </w:rPr>
              <w:t>2</w:t>
            </w:r>
            <w:r>
              <w:rPr>
                <w:rFonts w:hint="eastAsia"/>
                <w:bCs/>
                <w:i/>
                <w:iCs/>
                <w:sz w:val="24"/>
                <w:u w:val="single"/>
                <w:lang w:eastAsia="zh-CN"/>
              </w:rPr>
              <w:t>）</w:t>
            </w:r>
            <w:r>
              <w:rPr>
                <w:bCs/>
                <w:i/>
                <w:iCs/>
                <w:sz w:val="24"/>
                <w:u w:val="single"/>
              </w:rPr>
              <w:t>施工机械设备应经常维修，减小噪声污染范围。</w:t>
            </w:r>
          </w:p>
          <w:p w14:paraId="255BBEB5">
            <w:pPr>
              <w:snapToGrid w:val="0"/>
              <w:spacing w:line="360" w:lineRule="auto"/>
              <w:ind w:firstLine="480" w:firstLineChars="200"/>
              <w:rPr>
                <w:bCs/>
                <w:i/>
                <w:iCs/>
                <w:sz w:val="24"/>
                <w:u w:val="single"/>
              </w:rPr>
            </w:pPr>
            <w:r>
              <w:rPr>
                <w:rFonts w:hint="eastAsia"/>
                <w:bCs/>
                <w:i/>
                <w:iCs/>
                <w:sz w:val="24"/>
                <w:u w:val="single"/>
                <w:lang w:eastAsia="zh-CN"/>
              </w:rPr>
              <w:t>（</w:t>
            </w:r>
            <w:r>
              <w:rPr>
                <w:rFonts w:hint="eastAsia"/>
                <w:bCs/>
                <w:i/>
                <w:iCs/>
                <w:sz w:val="24"/>
                <w:u w:val="single"/>
                <w:lang w:val="en-US" w:eastAsia="zh-CN"/>
              </w:rPr>
              <w:t>3</w:t>
            </w:r>
            <w:r>
              <w:rPr>
                <w:rFonts w:hint="eastAsia"/>
                <w:bCs/>
                <w:i/>
                <w:iCs/>
                <w:sz w:val="24"/>
                <w:u w:val="single"/>
                <w:lang w:eastAsia="zh-CN"/>
              </w:rPr>
              <w:t>）</w:t>
            </w:r>
            <w:r>
              <w:rPr>
                <w:bCs/>
                <w:i/>
                <w:iCs/>
                <w:sz w:val="24"/>
                <w:u w:val="single"/>
              </w:rPr>
              <w:t>施工部门应合理安排好施工时间，在夜间10点至凌晨6点之间停止作业。</w:t>
            </w:r>
          </w:p>
          <w:p w14:paraId="3F302873">
            <w:pPr>
              <w:snapToGrid w:val="0"/>
              <w:spacing w:line="360" w:lineRule="auto"/>
              <w:ind w:firstLine="480" w:firstLineChars="200"/>
              <w:rPr>
                <w:bCs/>
                <w:i/>
                <w:iCs/>
                <w:sz w:val="24"/>
                <w:u w:val="single"/>
              </w:rPr>
            </w:pPr>
            <w:r>
              <w:rPr>
                <w:rFonts w:hint="eastAsia"/>
                <w:bCs/>
                <w:i/>
                <w:iCs/>
                <w:sz w:val="24"/>
                <w:u w:val="single"/>
                <w:lang w:eastAsia="zh-CN"/>
              </w:rPr>
              <w:t>（</w:t>
            </w:r>
            <w:r>
              <w:rPr>
                <w:rFonts w:hint="eastAsia"/>
                <w:bCs/>
                <w:i/>
                <w:iCs/>
                <w:sz w:val="24"/>
                <w:u w:val="single"/>
                <w:lang w:val="en-US" w:eastAsia="zh-CN"/>
              </w:rPr>
              <w:t>4</w:t>
            </w:r>
            <w:r>
              <w:rPr>
                <w:rFonts w:hint="eastAsia"/>
                <w:bCs/>
                <w:i/>
                <w:iCs/>
                <w:sz w:val="24"/>
                <w:u w:val="single"/>
                <w:lang w:eastAsia="zh-CN"/>
              </w:rPr>
              <w:t>）</w:t>
            </w:r>
            <w:r>
              <w:rPr>
                <w:bCs/>
                <w:i/>
                <w:iCs/>
                <w:sz w:val="24"/>
                <w:u w:val="single"/>
              </w:rPr>
              <w:t>现场施工人员应加强卫生防护措施，包括缩短工作时间或采取个人防护，防止噪声对人体的损害。</w:t>
            </w:r>
          </w:p>
          <w:p w14:paraId="4E212EC2">
            <w:pPr>
              <w:spacing w:line="360" w:lineRule="auto"/>
              <w:ind w:firstLine="482" w:firstLineChars="200"/>
              <w:jc w:val="left"/>
              <w:rPr>
                <w:b/>
                <w:bCs/>
                <w:i/>
                <w:iCs/>
                <w:sz w:val="24"/>
                <w:szCs w:val="28"/>
                <w:u w:val="single"/>
              </w:rPr>
            </w:pPr>
            <w:r>
              <w:rPr>
                <w:rFonts w:hint="eastAsia"/>
                <w:b/>
                <w:bCs/>
                <w:i/>
                <w:iCs/>
                <w:sz w:val="24"/>
                <w:szCs w:val="28"/>
                <w:u w:val="single"/>
              </w:rPr>
              <w:t>4、</w:t>
            </w:r>
            <w:r>
              <w:rPr>
                <w:b/>
                <w:bCs/>
                <w:i/>
                <w:iCs/>
                <w:sz w:val="24"/>
                <w:szCs w:val="28"/>
                <w:u w:val="single"/>
              </w:rPr>
              <w:t>施工期固体废物污染防治措施</w:t>
            </w:r>
          </w:p>
          <w:p w14:paraId="0DDA4178">
            <w:pPr>
              <w:snapToGrid w:val="0"/>
              <w:spacing w:line="360" w:lineRule="auto"/>
              <w:ind w:firstLine="480" w:firstLineChars="200"/>
              <w:rPr>
                <w:rFonts w:hint="eastAsia" w:ascii="Times New Roman" w:hAnsi="Times New Roman" w:eastAsia="宋体" w:cs="Times New Roman"/>
                <w:bCs/>
                <w:i/>
                <w:iCs/>
                <w:sz w:val="24"/>
                <w:u w:val="single"/>
              </w:rPr>
            </w:pPr>
            <w:r>
              <w:rPr>
                <w:i/>
                <w:iCs/>
                <w:sz w:val="24"/>
                <w:szCs w:val="32"/>
                <w:u w:val="single"/>
              </w:rPr>
              <w:t>施工期生活垃圾收集至现有垃圾箱，由当地环卫部门统一处理；施工建筑垃圾全部运至建筑垃圾填埋场填埋处置，在采取上述措施后，施工期固体废物不会产生二次污染。</w:t>
            </w:r>
            <w:r>
              <w:rPr>
                <w:rFonts w:hint="eastAsia" w:ascii="Times New Roman" w:hAnsi="Times New Roman" w:eastAsia="宋体" w:cs="Times New Roman"/>
                <w:bCs/>
                <w:i/>
                <w:iCs/>
                <w:sz w:val="24"/>
                <w:u w:val="single"/>
              </w:rPr>
              <w:t>装修过程中产生的涂料空桶、废漆刷等危险废物经收集后委托有资质的单位处置</w:t>
            </w:r>
            <w:r>
              <w:rPr>
                <w:rFonts w:hint="eastAsia" w:ascii="Times New Roman" w:hAnsi="Times New Roman" w:eastAsia="宋体" w:cs="Times New Roman"/>
                <w:bCs/>
                <w:i/>
                <w:iCs/>
                <w:sz w:val="24"/>
                <w:u w:val="single"/>
                <w:lang w:eastAsia="zh-CN"/>
              </w:rPr>
              <w:t>；</w:t>
            </w:r>
            <w:r>
              <w:rPr>
                <w:rFonts w:hint="eastAsia" w:ascii="Times New Roman" w:hAnsi="Times New Roman" w:eastAsia="宋体" w:cs="Times New Roman"/>
                <w:bCs/>
                <w:i/>
                <w:iCs/>
                <w:sz w:val="24"/>
                <w:u w:val="single"/>
              </w:rPr>
              <w:t>废木料等可回收材料经收集后由正规物资单位回收处置。</w:t>
            </w:r>
          </w:p>
          <w:p w14:paraId="26620AC4">
            <w:pPr>
              <w:spacing w:line="360" w:lineRule="auto"/>
              <w:ind w:firstLine="482" w:firstLineChars="200"/>
              <w:jc w:val="left"/>
              <w:rPr>
                <w:b/>
                <w:bCs/>
                <w:i/>
                <w:iCs/>
                <w:sz w:val="24"/>
                <w:u w:val="single"/>
              </w:rPr>
            </w:pPr>
            <w:r>
              <w:rPr>
                <w:rFonts w:hint="eastAsia"/>
                <w:b/>
                <w:bCs/>
                <w:i/>
                <w:iCs/>
                <w:sz w:val="24"/>
                <w:u w:val="single"/>
              </w:rPr>
              <w:t>5、</w:t>
            </w:r>
            <w:r>
              <w:rPr>
                <w:b/>
                <w:bCs/>
                <w:i/>
                <w:iCs/>
                <w:sz w:val="24"/>
                <w:u w:val="single"/>
              </w:rPr>
              <w:t>施工期生态环境影响防治措施</w:t>
            </w:r>
          </w:p>
          <w:p w14:paraId="7DF83E41">
            <w:pPr>
              <w:spacing w:line="360" w:lineRule="auto"/>
              <w:ind w:firstLine="480" w:firstLineChars="200"/>
            </w:pPr>
            <w:r>
              <w:rPr>
                <w:i/>
                <w:iCs/>
                <w:sz w:val="24"/>
                <w:u w:val="single"/>
              </w:rPr>
              <w:t>本项目</w:t>
            </w:r>
            <w:r>
              <w:rPr>
                <w:rFonts w:hint="eastAsia"/>
                <w:i/>
                <w:iCs/>
                <w:sz w:val="24"/>
                <w:u w:val="single"/>
              </w:rPr>
              <w:t>租用</w:t>
            </w:r>
            <w:r>
              <w:rPr>
                <w:rFonts w:hint="eastAsia"/>
                <w:i/>
                <w:iCs/>
                <w:kern w:val="0"/>
                <w:sz w:val="24"/>
                <w:u w:val="single"/>
              </w:rPr>
              <w:t>吉林省长春市北湖科技开发区吉兴产业园B区</w:t>
            </w:r>
            <w:r>
              <w:rPr>
                <w:rFonts w:hint="eastAsia"/>
                <w:i/>
                <w:iCs/>
                <w:kern w:val="0"/>
                <w:sz w:val="24"/>
                <w:u w:val="single"/>
                <w:lang w:val="en-US" w:eastAsia="zh-CN"/>
              </w:rPr>
              <w:t>4-1</w:t>
            </w:r>
            <w:r>
              <w:rPr>
                <w:rFonts w:hint="eastAsia"/>
                <w:i/>
                <w:iCs/>
                <w:kern w:val="0"/>
                <w:sz w:val="24"/>
                <w:u w:val="single"/>
              </w:rPr>
              <w:t>栋厂房1层</w:t>
            </w:r>
            <w:r>
              <w:rPr>
                <w:i/>
                <w:iCs/>
                <w:sz w:val="24"/>
                <w:u w:val="single"/>
              </w:rPr>
              <w:t>，</w:t>
            </w:r>
            <w:r>
              <w:rPr>
                <w:rFonts w:hint="eastAsia"/>
                <w:i/>
                <w:iCs/>
                <w:sz w:val="24"/>
                <w:u w:val="single"/>
              </w:rPr>
              <w:t>不新增占地</w:t>
            </w:r>
            <w:r>
              <w:rPr>
                <w:i/>
                <w:iCs/>
                <w:sz w:val="24"/>
                <w:u w:val="single"/>
              </w:rPr>
              <w:t>。本项目的建设不会对生态环境产生影响</w:t>
            </w:r>
            <w:r>
              <w:rPr>
                <w:rFonts w:hint="eastAsia"/>
                <w:i/>
                <w:iCs/>
                <w:sz w:val="24"/>
                <w:u w:val="single"/>
              </w:rPr>
              <w:t>。</w:t>
            </w:r>
          </w:p>
        </w:tc>
      </w:tr>
      <w:tr w14:paraId="724F32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33" w:hRule="atLeast"/>
          <w:jc w:val="center"/>
        </w:trPr>
        <w:tc>
          <w:tcPr>
            <w:tcW w:w="208" w:type="pct"/>
            <w:noWrap w:val="0"/>
            <w:tcMar>
              <w:left w:w="28" w:type="dxa"/>
              <w:right w:w="28" w:type="dxa"/>
            </w:tcMar>
            <w:vAlign w:val="center"/>
          </w:tcPr>
          <w:p w14:paraId="480CB795">
            <w:pPr>
              <w:adjustRightInd w:val="0"/>
              <w:snapToGrid w:val="0"/>
              <w:jc w:val="center"/>
              <w:rPr>
                <w:bCs/>
                <w:sz w:val="24"/>
                <w:highlight w:val="none"/>
              </w:rPr>
            </w:pPr>
            <w:r>
              <w:rPr>
                <w:bCs/>
                <w:sz w:val="24"/>
                <w:highlight w:val="none"/>
              </w:rPr>
              <w:t>运营</w:t>
            </w:r>
          </w:p>
          <w:p w14:paraId="6900B192">
            <w:pPr>
              <w:adjustRightInd w:val="0"/>
              <w:snapToGrid w:val="0"/>
              <w:jc w:val="center"/>
              <w:rPr>
                <w:bCs/>
                <w:sz w:val="24"/>
                <w:highlight w:val="none"/>
              </w:rPr>
            </w:pPr>
            <w:r>
              <w:rPr>
                <w:bCs/>
                <w:sz w:val="24"/>
                <w:highlight w:val="none"/>
              </w:rPr>
              <w:t>期环</w:t>
            </w:r>
          </w:p>
          <w:p w14:paraId="1A2680D7">
            <w:pPr>
              <w:adjustRightInd w:val="0"/>
              <w:snapToGrid w:val="0"/>
              <w:jc w:val="center"/>
              <w:rPr>
                <w:bCs/>
                <w:sz w:val="24"/>
                <w:highlight w:val="none"/>
              </w:rPr>
            </w:pPr>
            <w:r>
              <w:rPr>
                <w:bCs/>
                <w:sz w:val="24"/>
                <w:highlight w:val="none"/>
              </w:rPr>
              <w:t>境影</w:t>
            </w:r>
          </w:p>
          <w:p w14:paraId="7EFF7595">
            <w:pPr>
              <w:adjustRightInd w:val="0"/>
              <w:snapToGrid w:val="0"/>
              <w:jc w:val="center"/>
              <w:rPr>
                <w:bCs/>
                <w:sz w:val="24"/>
                <w:highlight w:val="none"/>
              </w:rPr>
            </w:pPr>
            <w:r>
              <w:rPr>
                <w:bCs/>
                <w:sz w:val="24"/>
                <w:highlight w:val="none"/>
              </w:rPr>
              <w:t>响和</w:t>
            </w:r>
          </w:p>
          <w:p w14:paraId="3EEA1D0A">
            <w:pPr>
              <w:adjustRightInd w:val="0"/>
              <w:snapToGrid w:val="0"/>
              <w:jc w:val="center"/>
              <w:rPr>
                <w:bCs/>
                <w:sz w:val="24"/>
                <w:highlight w:val="none"/>
              </w:rPr>
            </w:pPr>
            <w:r>
              <w:rPr>
                <w:bCs/>
                <w:sz w:val="24"/>
                <w:highlight w:val="none"/>
              </w:rPr>
              <w:t>保护</w:t>
            </w:r>
          </w:p>
          <w:p w14:paraId="4B5F0787">
            <w:pPr>
              <w:adjustRightInd w:val="0"/>
              <w:snapToGrid w:val="0"/>
              <w:jc w:val="center"/>
              <w:rPr>
                <w:bCs/>
                <w:szCs w:val="21"/>
              </w:rPr>
            </w:pPr>
            <w:r>
              <w:rPr>
                <w:bCs/>
                <w:sz w:val="24"/>
                <w:highlight w:val="none"/>
              </w:rPr>
              <w:t>措施</w:t>
            </w:r>
          </w:p>
        </w:tc>
        <w:tc>
          <w:tcPr>
            <w:tcW w:w="4791" w:type="pct"/>
            <w:noWrap w:val="0"/>
            <w:vAlign w:val="center"/>
          </w:tcPr>
          <w:p w14:paraId="10DFD980">
            <w:pPr>
              <w:pStyle w:val="43"/>
              <w:spacing w:before="120" w:beforeLines="50" w:line="360" w:lineRule="auto"/>
              <w:ind w:firstLine="482"/>
              <w:rPr>
                <w:rFonts w:ascii="Times New Roman" w:hAnsi="Times New Roman"/>
                <w:b/>
                <w:bCs/>
                <w:color w:val="auto"/>
                <w:sz w:val="24"/>
              </w:rPr>
            </w:pPr>
            <w:r>
              <w:rPr>
                <w:rFonts w:ascii="Times New Roman" w:hAnsi="Times New Roman"/>
                <w:b/>
                <w:bCs/>
                <w:color w:val="auto"/>
                <w:sz w:val="24"/>
              </w:rPr>
              <w:t>1、废水</w:t>
            </w:r>
          </w:p>
          <w:p w14:paraId="18D9BFEB">
            <w:pPr>
              <w:pStyle w:val="43"/>
              <w:spacing w:line="360" w:lineRule="auto"/>
              <w:ind w:firstLine="482"/>
              <w:rPr>
                <w:rFonts w:hint="default" w:ascii="Times New Roman" w:hAnsi="Times New Roman"/>
                <w:b/>
                <w:bCs/>
                <w:color w:val="auto"/>
                <w:sz w:val="24"/>
              </w:rPr>
            </w:pPr>
            <w:r>
              <w:rPr>
                <w:rFonts w:ascii="Times New Roman" w:hAnsi="Times New Roman"/>
                <w:b/>
                <w:bCs/>
                <w:color w:val="auto"/>
                <w:kern w:val="0"/>
                <w:sz w:val="24"/>
              </w:rPr>
              <w:t>1.</w:t>
            </w:r>
            <w:r>
              <w:rPr>
                <w:rFonts w:hint="default" w:ascii="Times New Roman" w:hAnsi="Times New Roman"/>
                <w:b/>
                <w:bCs/>
                <w:color w:val="auto"/>
                <w:kern w:val="0"/>
                <w:sz w:val="24"/>
              </w:rPr>
              <w:t>1源强核算</w:t>
            </w:r>
          </w:p>
          <w:p w14:paraId="36F09D0F">
            <w:pPr>
              <w:pStyle w:val="60"/>
              <w:rPr>
                <w:rFonts w:ascii="Times New Roman" w:hAnsi="Times New Roman" w:cs="Times New Roman"/>
                <w:b/>
                <w:bCs/>
                <w:kern w:val="0"/>
              </w:rPr>
            </w:pPr>
            <w:r>
              <w:rPr>
                <w:rFonts w:ascii="Times New Roman" w:hAnsi="Times New Roman" w:cs="Times New Roman"/>
                <w:kern w:val="0"/>
              </w:rPr>
              <w:t>本</w:t>
            </w:r>
            <w:r>
              <w:rPr>
                <w:rFonts w:ascii="Times New Roman" w:hAnsi="Times New Roman" w:cs="Times New Roman"/>
              </w:rPr>
              <w:t>项目</w:t>
            </w:r>
            <w:r>
              <w:rPr>
                <w:rFonts w:hint="eastAsia" w:ascii="Times New Roman" w:hAnsi="Times New Roman" w:cs="Times New Roman"/>
              </w:rPr>
              <w:t>循环冷却水循环使用不外排，实验设备清洗废水</w:t>
            </w:r>
            <w:r>
              <w:rPr>
                <w:rFonts w:hint="eastAsia" w:ascii="Times New Roman" w:hAnsi="Times New Roman" w:cs="Times New Roman"/>
                <w:lang w:eastAsia="zh-CN"/>
              </w:rPr>
              <w:t>及实验室地面清洗废水</w:t>
            </w:r>
            <w:r>
              <w:rPr>
                <w:rFonts w:hint="eastAsia" w:ascii="Times New Roman" w:hAnsi="Times New Roman" w:cs="Times New Roman"/>
              </w:rPr>
              <w:t>桶装收集后暂存于</w:t>
            </w:r>
            <w:r>
              <w:rPr>
                <w:rFonts w:hint="eastAsia" w:ascii="Times New Roman" w:hAnsi="Times New Roman" w:cs="Times New Roman"/>
                <w:lang w:eastAsia="zh-CN"/>
              </w:rPr>
              <w:t>危废贮存库</w:t>
            </w:r>
            <w:r>
              <w:rPr>
                <w:rFonts w:hint="eastAsia" w:ascii="Times New Roman" w:hAnsi="Times New Roman" w:cs="Times New Roman"/>
              </w:rPr>
              <w:t>委托有资质单位处理，生活污水排入园区</w:t>
            </w:r>
            <w:r>
              <w:rPr>
                <w:rFonts w:hint="eastAsia" w:ascii="Times New Roman" w:hAnsi="Times New Roman" w:cs="Times New Roman"/>
                <w:lang w:eastAsia="zh-CN"/>
              </w:rPr>
              <w:t>化粪池</w:t>
            </w:r>
            <w:r>
              <w:rPr>
                <w:rFonts w:hint="eastAsia" w:ascii="Times New Roman" w:hAnsi="Times New Roman" w:cs="Times New Roman"/>
              </w:rPr>
              <w:t>，由园区定期清淘用作农肥，由园区定期清淘用作农肥，待长春北湖科技开发区污水处理厂运行后，经市政管网排入该污水厂处理后排入干雾海河，处理达标后排入干雾海河。</w:t>
            </w:r>
            <w:r>
              <w:rPr>
                <w:rFonts w:hint="eastAsia"/>
              </w:rPr>
              <w:t>生活污水</w:t>
            </w:r>
            <w:r>
              <w:rPr>
                <w:rFonts w:ascii="Times New Roman" w:hAnsi="Times New Roman" w:cs="Times New Roman"/>
              </w:rPr>
              <w:t>主要污染物产生</w:t>
            </w:r>
            <w:r>
              <w:rPr>
                <w:rFonts w:hint="eastAsia" w:ascii="Times New Roman" w:hAnsi="Times New Roman" w:cs="Times New Roman"/>
              </w:rPr>
              <w:t>、排放</w:t>
            </w:r>
            <w:r>
              <w:rPr>
                <w:rFonts w:ascii="Times New Roman" w:hAnsi="Times New Roman" w:cs="Times New Roman"/>
              </w:rPr>
              <w:t>浓度及产生量详见下表。</w:t>
            </w:r>
          </w:p>
          <w:p w14:paraId="6F3F8758">
            <w:pPr>
              <w:pStyle w:val="61"/>
              <w:tabs>
                <w:tab w:val="clear" w:pos="3437"/>
              </w:tabs>
              <w:spacing w:before="120"/>
            </w:pPr>
            <w:r>
              <w:t>表</w:t>
            </w:r>
            <w:r>
              <w:rPr>
                <w:rFonts w:hint="eastAsia"/>
              </w:rPr>
              <w:t>4-1</w:t>
            </w:r>
            <w:r>
              <w:t xml:space="preserve">   本项目污水产生</w:t>
            </w:r>
            <w:r>
              <w:rPr>
                <w:rFonts w:hint="eastAsia"/>
              </w:rPr>
              <w:t>、排放</w:t>
            </w:r>
            <w:r>
              <w:t>情况一览表</w:t>
            </w:r>
          </w:p>
          <w:tbl>
            <w:tblPr>
              <w:tblStyle w:val="27"/>
              <w:tblW w:w="952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976"/>
              <w:gridCol w:w="1019"/>
              <w:gridCol w:w="793"/>
              <w:gridCol w:w="825"/>
              <w:gridCol w:w="701"/>
              <w:gridCol w:w="644"/>
              <w:gridCol w:w="998"/>
              <w:gridCol w:w="802"/>
              <w:gridCol w:w="817"/>
              <w:gridCol w:w="947"/>
            </w:tblGrid>
            <w:tr w14:paraId="5A09DEE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7" w:type="pct"/>
                  <w:vMerge w:val="restart"/>
                  <w:noWrap w:val="0"/>
                  <w:vAlign w:val="center"/>
                </w:tcPr>
                <w:p w14:paraId="2D173EF1">
                  <w:pPr>
                    <w:jc w:val="center"/>
                    <w:rPr>
                      <w:szCs w:val="21"/>
                    </w:rPr>
                  </w:pPr>
                  <w:r>
                    <w:rPr>
                      <w:szCs w:val="21"/>
                    </w:rPr>
                    <w:t>废水类型</w:t>
                  </w:r>
                </w:p>
              </w:tc>
              <w:tc>
                <w:tcPr>
                  <w:tcW w:w="535" w:type="pct"/>
                  <w:vMerge w:val="restart"/>
                  <w:noWrap w:val="0"/>
                  <w:vAlign w:val="center"/>
                </w:tcPr>
                <w:p w14:paraId="36ADC808">
                  <w:pPr>
                    <w:jc w:val="center"/>
                    <w:rPr>
                      <w:szCs w:val="21"/>
                    </w:rPr>
                  </w:pPr>
                  <w:r>
                    <w:rPr>
                      <w:szCs w:val="21"/>
                    </w:rPr>
                    <w:t>废水量</w:t>
                  </w:r>
                </w:p>
                <w:p w14:paraId="704B5671">
                  <w:pPr>
                    <w:jc w:val="center"/>
                    <w:rPr>
                      <w:szCs w:val="21"/>
                    </w:rPr>
                  </w:pPr>
                  <w:r>
                    <w:rPr>
                      <w:szCs w:val="21"/>
                    </w:rPr>
                    <w:t>m</w:t>
                  </w:r>
                  <w:r>
                    <w:rPr>
                      <w:szCs w:val="21"/>
                      <w:vertAlign w:val="superscript"/>
                    </w:rPr>
                    <w:t>3</w:t>
                  </w:r>
                  <w:r>
                    <w:rPr>
                      <w:szCs w:val="21"/>
                    </w:rPr>
                    <w:t>/a</w:t>
                  </w:r>
                </w:p>
              </w:tc>
              <w:tc>
                <w:tcPr>
                  <w:tcW w:w="1555" w:type="pct"/>
                  <w:gridSpan w:val="4"/>
                  <w:noWrap w:val="0"/>
                  <w:vAlign w:val="center"/>
                </w:tcPr>
                <w:p w14:paraId="28490A34">
                  <w:pPr>
                    <w:jc w:val="center"/>
                    <w:rPr>
                      <w:szCs w:val="21"/>
                    </w:rPr>
                  </w:pPr>
                  <w:r>
                    <w:rPr>
                      <w:szCs w:val="21"/>
                    </w:rPr>
                    <w:t>污染物排放浓度mg/L</w:t>
                  </w:r>
                </w:p>
              </w:tc>
              <w:tc>
                <w:tcPr>
                  <w:tcW w:w="1871" w:type="pct"/>
                  <w:gridSpan w:val="4"/>
                  <w:noWrap w:val="0"/>
                  <w:vAlign w:val="center"/>
                </w:tcPr>
                <w:p w14:paraId="2AE23F7C">
                  <w:pPr>
                    <w:jc w:val="center"/>
                    <w:rPr>
                      <w:szCs w:val="21"/>
                    </w:rPr>
                  </w:pPr>
                  <w:r>
                    <w:rPr>
                      <w:szCs w:val="21"/>
                    </w:rPr>
                    <w:t>污染物</w:t>
                  </w:r>
                  <w:r>
                    <w:rPr>
                      <w:rFonts w:hint="eastAsia"/>
                      <w:szCs w:val="21"/>
                    </w:rPr>
                    <w:t>产生、</w:t>
                  </w:r>
                  <w:r>
                    <w:rPr>
                      <w:szCs w:val="21"/>
                    </w:rPr>
                    <w:t>排放量t/a</w:t>
                  </w:r>
                </w:p>
              </w:tc>
            </w:tr>
            <w:tr w14:paraId="569A213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7" w:type="pct"/>
                  <w:vMerge w:val="continue"/>
                  <w:noWrap w:val="0"/>
                  <w:vAlign w:val="center"/>
                </w:tcPr>
                <w:p w14:paraId="7C28AF43">
                  <w:pPr>
                    <w:jc w:val="center"/>
                    <w:rPr>
                      <w:szCs w:val="21"/>
                    </w:rPr>
                  </w:pPr>
                </w:p>
              </w:tc>
              <w:tc>
                <w:tcPr>
                  <w:tcW w:w="535" w:type="pct"/>
                  <w:vMerge w:val="continue"/>
                  <w:noWrap w:val="0"/>
                  <w:vAlign w:val="center"/>
                </w:tcPr>
                <w:p w14:paraId="0A152761">
                  <w:pPr>
                    <w:jc w:val="center"/>
                    <w:rPr>
                      <w:szCs w:val="21"/>
                    </w:rPr>
                  </w:pPr>
                </w:p>
              </w:tc>
              <w:tc>
                <w:tcPr>
                  <w:tcW w:w="416" w:type="pct"/>
                  <w:noWrap w:val="0"/>
                  <w:vAlign w:val="center"/>
                </w:tcPr>
                <w:p w14:paraId="1059B239">
                  <w:pPr>
                    <w:jc w:val="center"/>
                    <w:rPr>
                      <w:szCs w:val="21"/>
                    </w:rPr>
                  </w:pPr>
                  <w:r>
                    <w:rPr>
                      <w:szCs w:val="21"/>
                    </w:rPr>
                    <w:t>COD</w:t>
                  </w:r>
                </w:p>
              </w:tc>
              <w:tc>
                <w:tcPr>
                  <w:tcW w:w="433" w:type="pct"/>
                  <w:noWrap w:val="0"/>
                  <w:vAlign w:val="center"/>
                </w:tcPr>
                <w:p w14:paraId="28E89131">
                  <w:pPr>
                    <w:jc w:val="center"/>
                    <w:rPr>
                      <w:szCs w:val="21"/>
                      <w:vertAlign w:val="subscript"/>
                    </w:rPr>
                  </w:pPr>
                  <w:r>
                    <w:rPr>
                      <w:szCs w:val="21"/>
                    </w:rPr>
                    <w:t>BOD</w:t>
                  </w:r>
                  <w:r>
                    <w:rPr>
                      <w:szCs w:val="21"/>
                      <w:vertAlign w:val="subscript"/>
                    </w:rPr>
                    <w:t>5</w:t>
                  </w:r>
                </w:p>
              </w:tc>
              <w:tc>
                <w:tcPr>
                  <w:tcW w:w="368" w:type="pct"/>
                  <w:noWrap w:val="0"/>
                  <w:vAlign w:val="center"/>
                </w:tcPr>
                <w:p w14:paraId="67EEA8F2">
                  <w:pPr>
                    <w:jc w:val="center"/>
                    <w:rPr>
                      <w:szCs w:val="21"/>
                    </w:rPr>
                  </w:pPr>
                  <w:r>
                    <w:rPr>
                      <w:szCs w:val="21"/>
                    </w:rPr>
                    <w:t>SS</w:t>
                  </w:r>
                </w:p>
              </w:tc>
              <w:tc>
                <w:tcPr>
                  <w:tcW w:w="338" w:type="pct"/>
                  <w:noWrap w:val="0"/>
                  <w:vAlign w:val="center"/>
                </w:tcPr>
                <w:p w14:paraId="4E854659">
                  <w:pPr>
                    <w:jc w:val="center"/>
                    <w:rPr>
                      <w:rFonts w:hint="eastAsia"/>
                      <w:szCs w:val="21"/>
                    </w:rPr>
                  </w:pPr>
                  <w:r>
                    <w:rPr>
                      <w:szCs w:val="21"/>
                    </w:rPr>
                    <w:t>氨氮</w:t>
                  </w:r>
                </w:p>
              </w:tc>
              <w:tc>
                <w:tcPr>
                  <w:tcW w:w="524" w:type="pct"/>
                  <w:noWrap w:val="0"/>
                  <w:vAlign w:val="center"/>
                </w:tcPr>
                <w:p w14:paraId="7B6A170E">
                  <w:pPr>
                    <w:jc w:val="center"/>
                    <w:rPr>
                      <w:szCs w:val="21"/>
                    </w:rPr>
                  </w:pPr>
                  <w:r>
                    <w:rPr>
                      <w:szCs w:val="21"/>
                    </w:rPr>
                    <w:t>COD</w:t>
                  </w:r>
                </w:p>
              </w:tc>
              <w:tc>
                <w:tcPr>
                  <w:tcW w:w="421" w:type="pct"/>
                  <w:noWrap w:val="0"/>
                  <w:vAlign w:val="center"/>
                </w:tcPr>
                <w:p w14:paraId="3767133D">
                  <w:pPr>
                    <w:jc w:val="center"/>
                    <w:rPr>
                      <w:szCs w:val="21"/>
                      <w:vertAlign w:val="subscript"/>
                    </w:rPr>
                  </w:pPr>
                  <w:r>
                    <w:rPr>
                      <w:szCs w:val="21"/>
                    </w:rPr>
                    <w:t>BOD</w:t>
                  </w:r>
                  <w:r>
                    <w:rPr>
                      <w:szCs w:val="21"/>
                      <w:vertAlign w:val="subscript"/>
                    </w:rPr>
                    <w:t>5</w:t>
                  </w:r>
                </w:p>
              </w:tc>
              <w:tc>
                <w:tcPr>
                  <w:tcW w:w="429" w:type="pct"/>
                  <w:noWrap w:val="0"/>
                  <w:vAlign w:val="center"/>
                </w:tcPr>
                <w:p w14:paraId="4506AA16">
                  <w:pPr>
                    <w:jc w:val="center"/>
                    <w:rPr>
                      <w:szCs w:val="21"/>
                    </w:rPr>
                  </w:pPr>
                  <w:r>
                    <w:rPr>
                      <w:szCs w:val="21"/>
                    </w:rPr>
                    <w:t>SS</w:t>
                  </w:r>
                </w:p>
              </w:tc>
              <w:tc>
                <w:tcPr>
                  <w:tcW w:w="497" w:type="pct"/>
                  <w:noWrap w:val="0"/>
                  <w:vAlign w:val="center"/>
                </w:tcPr>
                <w:p w14:paraId="3D77AC83">
                  <w:pPr>
                    <w:jc w:val="center"/>
                    <w:rPr>
                      <w:rFonts w:hint="eastAsia"/>
                      <w:szCs w:val="21"/>
                    </w:rPr>
                  </w:pPr>
                  <w:r>
                    <w:rPr>
                      <w:szCs w:val="21"/>
                    </w:rPr>
                    <w:t>氨氮</w:t>
                  </w:r>
                </w:p>
              </w:tc>
            </w:tr>
            <w:tr w14:paraId="47F450E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7" w:type="pct"/>
                  <w:noWrap w:val="0"/>
                  <w:vAlign w:val="center"/>
                </w:tcPr>
                <w:p w14:paraId="7E561A2B">
                  <w:pPr>
                    <w:jc w:val="center"/>
                    <w:rPr>
                      <w:rFonts w:hint="eastAsia"/>
                      <w:szCs w:val="21"/>
                    </w:rPr>
                  </w:pPr>
                  <w:r>
                    <w:rPr>
                      <w:szCs w:val="21"/>
                    </w:rPr>
                    <w:t>生活污水</w:t>
                  </w:r>
                </w:p>
              </w:tc>
              <w:tc>
                <w:tcPr>
                  <w:tcW w:w="535" w:type="pct"/>
                  <w:noWrap w:val="0"/>
                  <w:vAlign w:val="center"/>
                </w:tcPr>
                <w:p w14:paraId="05C1DE56">
                  <w:pPr>
                    <w:jc w:val="center"/>
                    <w:rPr>
                      <w:szCs w:val="21"/>
                    </w:rPr>
                  </w:pPr>
                  <w:r>
                    <w:rPr>
                      <w:rFonts w:hint="eastAsia"/>
                      <w:szCs w:val="21"/>
                    </w:rPr>
                    <w:t>67.2</w:t>
                  </w:r>
                </w:p>
              </w:tc>
              <w:tc>
                <w:tcPr>
                  <w:tcW w:w="416" w:type="pct"/>
                  <w:noWrap w:val="0"/>
                  <w:vAlign w:val="center"/>
                </w:tcPr>
                <w:p w14:paraId="3FF8EA34">
                  <w:pPr>
                    <w:jc w:val="center"/>
                    <w:rPr>
                      <w:szCs w:val="21"/>
                    </w:rPr>
                  </w:pPr>
                  <w:r>
                    <w:rPr>
                      <w:rFonts w:hint="eastAsia"/>
                      <w:szCs w:val="21"/>
                    </w:rPr>
                    <w:t>300</w:t>
                  </w:r>
                </w:p>
              </w:tc>
              <w:tc>
                <w:tcPr>
                  <w:tcW w:w="433" w:type="pct"/>
                  <w:noWrap w:val="0"/>
                  <w:vAlign w:val="center"/>
                </w:tcPr>
                <w:p w14:paraId="1AC102CE">
                  <w:pPr>
                    <w:jc w:val="center"/>
                    <w:rPr>
                      <w:szCs w:val="21"/>
                    </w:rPr>
                  </w:pPr>
                  <w:r>
                    <w:rPr>
                      <w:rFonts w:hint="eastAsia"/>
                      <w:szCs w:val="21"/>
                    </w:rPr>
                    <w:t>180</w:t>
                  </w:r>
                </w:p>
              </w:tc>
              <w:tc>
                <w:tcPr>
                  <w:tcW w:w="368" w:type="pct"/>
                  <w:noWrap w:val="0"/>
                  <w:vAlign w:val="center"/>
                </w:tcPr>
                <w:p w14:paraId="1F2EA266">
                  <w:pPr>
                    <w:jc w:val="center"/>
                    <w:rPr>
                      <w:szCs w:val="21"/>
                    </w:rPr>
                  </w:pPr>
                  <w:r>
                    <w:rPr>
                      <w:rFonts w:hint="eastAsia"/>
                      <w:szCs w:val="21"/>
                    </w:rPr>
                    <w:t>200</w:t>
                  </w:r>
                </w:p>
              </w:tc>
              <w:tc>
                <w:tcPr>
                  <w:tcW w:w="338" w:type="pct"/>
                  <w:noWrap w:val="0"/>
                  <w:vAlign w:val="center"/>
                </w:tcPr>
                <w:p w14:paraId="76F34CE8">
                  <w:pPr>
                    <w:jc w:val="center"/>
                    <w:rPr>
                      <w:szCs w:val="21"/>
                    </w:rPr>
                  </w:pPr>
                  <w:r>
                    <w:rPr>
                      <w:rFonts w:hint="eastAsia"/>
                      <w:szCs w:val="21"/>
                    </w:rPr>
                    <w:t>25</w:t>
                  </w:r>
                </w:p>
              </w:tc>
              <w:tc>
                <w:tcPr>
                  <w:tcW w:w="524" w:type="pct"/>
                  <w:noWrap w:val="0"/>
                  <w:vAlign w:val="center"/>
                </w:tcPr>
                <w:p w14:paraId="15CAB099">
                  <w:pPr>
                    <w:jc w:val="center"/>
                    <w:rPr>
                      <w:szCs w:val="21"/>
                    </w:rPr>
                  </w:pPr>
                  <w:r>
                    <w:rPr>
                      <w:rFonts w:hint="eastAsia"/>
                      <w:szCs w:val="21"/>
                    </w:rPr>
                    <w:t>0.020</w:t>
                  </w:r>
                </w:p>
              </w:tc>
              <w:tc>
                <w:tcPr>
                  <w:tcW w:w="421" w:type="pct"/>
                  <w:noWrap w:val="0"/>
                  <w:vAlign w:val="center"/>
                </w:tcPr>
                <w:p w14:paraId="0E66A98A">
                  <w:pPr>
                    <w:jc w:val="center"/>
                    <w:rPr>
                      <w:szCs w:val="21"/>
                    </w:rPr>
                  </w:pPr>
                  <w:r>
                    <w:rPr>
                      <w:rFonts w:hint="eastAsia"/>
                      <w:szCs w:val="21"/>
                    </w:rPr>
                    <w:t>0.012</w:t>
                  </w:r>
                </w:p>
              </w:tc>
              <w:tc>
                <w:tcPr>
                  <w:tcW w:w="429" w:type="pct"/>
                  <w:noWrap w:val="0"/>
                  <w:vAlign w:val="center"/>
                </w:tcPr>
                <w:p w14:paraId="2255B330">
                  <w:pPr>
                    <w:jc w:val="center"/>
                    <w:rPr>
                      <w:szCs w:val="21"/>
                    </w:rPr>
                  </w:pPr>
                  <w:r>
                    <w:rPr>
                      <w:rFonts w:hint="eastAsia"/>
                      <w:szCs w:val="21"/>
                    </w:rPr>
                    <w:t>0.013</w:t>
                  </w:r>
                </w:p>
              </w:tc>
              <w:tc>
                <w:tcPr>
                  <w:tcW w:w="497" w:type="pct"/>
                  <w:noWrap w:val="0"/>
                  <w:vAlign w:val="center"/>
                </w:tcPr>
                <w:p w14:paraId="2CDD0DD4">
                  <w:pPr>
                    <w:jc w:val="center"/>
                    <w:rPr>
                      <w:szCs w:val="21"/>
                    </w:rPr>
                  </w:pPr>
                  <w:r>
                    <w:rPr>
                      <w:rFonts w:hint="eastAsia"/>
                      <w:szCs w:val="21"/>
                    </w:rPr>
                    <w:t>0.002</w:t>
                  </w:r>
                </w:p>
              </w:tc>
            </w:tr>
          </w:tbl>
          <w:p w14:paraId="1D13AF03">
            <w:pPr>
              <w:spacing w:line="360" w:lineRule="auto"/>
              <w:ind w:firstLine="482" w:firstLineChars="200"/>
              <w:rPr>
                <w:rFonts w:hint="eastAsia"/>
                <w:b/>
                <w:sz w:val="24"/>
              </w:rPr>
            </w:pPr>
          </w:p>
          <w:p w14:paraId="4FB36CE1">
            <w:pPr>
              <w:spacing w:line="360" w:lineRule="auto"/>
              <w:ind w:firstLine="482" w:firstLineChars="200"/>
              <w:rPr>
                <w:b/>
                <w:sz w:val="24"/>
              </w:rPr>
            </w:pPr>
            <w:r>
              <w:rPr>
                <w:rFonts w:hint="eastAsia"/>
                <w:b/>
                <w:sz w:val="24"/>
              </w:rPr>
              <w:t>1.2依托污水处理设施的可行性分析</w:t>
            </w:r>
          </w:p>
          <w:p w14:paraId="12399B10">
            <w:pPr>
              <w:spacing w:line="360" w:lineRule="auto"/>
              <w:ind w:firstLine="480" w:firstLineChars="200"/>
              <w:rPr>
                <w:rFonts w:hint="eastAsia"/>
                <w:sz w:val="24"/>
                <w:lang w:eastAsia="zh-CN" w:bidi="ar"/>
              </w:rPr>
            </w:pPr>
            <w:r>
              <w:rPr>
                <w:sz w:val="24"/>
              </w:rPr>
              <w:t>本项目</w:t>
            </w:r>
            <w:r>
              <w:rPr>
                <w:rFonts w:hint="eastAsia"/>
                <w:sz w:val="24"/>
              </w:rPr>
              <w:t>排入园区</w:t>
            </w:r>
            <w:r>
              <w:rPr>
                <w:rFonts w:hint="eastAsia"/>
                <w:sz w:val="24"/>
                <w:lang w:eastAsia="zh-CN"/>
              </w:rPr>
              <w:t>化粪池</w:t>
            </w:r>
            <w:r>
              <w:rPr>
                <w:rFonts w:hint="eastAsia"/>
                <w:sz w:val="24"/>
              </w:rPr>
              <w:t>，由园区定期清淘用作农肥，由园区定期清淘用作农肥，待长春北湖科技开发区污水处理厂运行后，经市政管网排入该污水厂处理后排入干雾海河</w:t>
            </w:r>
            <w:r>
              <w:rPr>
                <w:rFonts w:hint="eastAsia"/>
                <w:sz w:val="24"/>
                <w:lang w:eastAsia="zh-CN" w:bidi="ar"/>
              </w:rPr>
              <w:t>。</w:t>
            </w:r>
          </w:p>
          <w:p w14:paraId="59D97F6B">
            <w:pPr>
              <w:spacing w:line="360" w:lineRule="auto"/>
              <w:ind w:firstLine="480" w:firstLineChars="200"/>
              <w:rPr>
                <w:rFonts w:hint="eastAsia"/>
                <w:sz w:val="24"/>
                <w:lang w:bidi="ar"/>
              </w:rPr>
            </w:pPr>
            <w:r>
              <w:rPr>
                <w:rFonts w:hint="eastAsia"/>
                <w:sz w:val="24"/>
                <w:lang w:bidi="ar"/>
              </w:rPr>
              <w:t>长春北湖科技开发区污水处理厂位于长春北湖科技开发区兴福大路与福德大街交汇东南侧，近期设计处理能力为2.5万m3/d，远期设计处理规模为3.5万m3/d。污水处理工艺为“粗格栅+提升泵房→细格栅+曝气沉砂池→初沉池→高效改良型AAO工艺（VFL）组合池→高密度沉淀池→转鼓精密过滤器→接触消毒池→巴氏计量槽”，污水排放标准执行《城镇污水处理厂水污染物排放标准》（GB18918-2002）中一级A标准（COD、氨氮、总磷指标执行超低排放标准，即：COD40mg/L以下、氨氮1mg/L以下、总磷0.4mg/L以下），最终排入干雾海河。</w:t>
            </w:r>
          </w:p>
          <w:p w14:paraId="3C1B8A12">
            <w:pPr>
              <w:spacing w:line="360" w:lineRule="auto"/>
              <w:ind w:firstLine="480" w:firstLineChars="200"/>
              <w:rPr>
                <w:rFonts w:hint="eastAsia"/>
                <w:sz w:val="24"/>
                <w:lang w:bidi="ar"/>
              </w:rPr>
            </w:pPr>
            <w:r>
              <w:rPr>
                <w:rFonts w:hint="eastAsia"/>
                <w:sz w:val="24"/>
                <w:lang w:bidi="ar"/>
              </w:rPr>
              <w:t>该污水处理厂于2023年2月动工建设，截止目前土建工程基本建成，正在进行设备安装，考虑到开发区收水范围内目前水量较少，所以该污水处理厂预计2025年10月正式投入运行。</w:t>
            </w:r>
          </w:p>
          <w:p w14:paraId="49821CF5">
            <w:pPr>
              <w:spacing w:line="360" w:lineRule="auto"/>
              <w:ind w:firstLine="482" w:firstLineChars="200"/>
              <w:rPr>
                <w:b/>
                <w:bCs/>
                <w:sz w:val="24"/>
              </w:rPr>
            </w:pPr>
            <w:r>
              <w:rPr>
                <w:rFonts w:hint="eastAsia"/>
                <w:b/>
                <w:bCs/>
                <w:sz w:val="24"/>
                <w:lang w:bidi="ar"/>
              </w:rPr>
              <w:t>1</w:t>
            </w:r>
            <w:r>
              <w:rPr>
                <w:b/>
                <w:bCs/>
                <w:sz w:val="24"/>
                <w:lang w:bidi="ar"/>
              </w:rPr>
              <w:t>.</w:t>
            </w:r>
            <w:r>
              <w:rPr>
                <w:rFonts w:hint="eastAsia"/>
                <w:b/>
                <w:bCs/>
                <w:sz w:val="24"/>
                <w:lang w:bidi="ar"/>
              </w:rPr>
              <w:t>3</w:t>
            </w:r>
            <w:r>
              <w:rPr>
                <w:b/>
                <w:bCs/>
                <w:sz w:val="24"/>
              </w:rPr>
              <w:t>排放口设置</w:t>
            </w:r>
          </w:p>
          <w:p w14:paraId="7D0CADED">
            <w:pPr>
              <w:pStyle w:val="45"/>
              <w:adjustRightInd/>
              <w:jc w:val="center"/>
              <w:rPr>
                <w:rFonts w:hint="default"/>
                <w:color w:val="auto"/>
              </w:rPr>
            </w:pPr>
            <w:r>
              <w:rPr>
                <w:rFonts w:hint="default"/>
                <w:b/>
                <w:bCs/>
                <w:color w:val="auto"/>
              </w:rPr>
              <w:t>表</w:t>
            </w:r>
            <w:r>
              <w:rPr>
                <w:rFonts w:hint="default" w:ascii="Times New Roman" w:hAnsi="Times New Roman"/>
                <w:b/>
                <w:bCs/>
                <w:color w:val="auto"/>
              </w:rPr>
              <w:t xml:space="preserve">4-2 </w:t>
            </w:r>
            <w:r>
              <w:rPr>
                <w:rFonts w:hint="default"/>
                <w:b/>
                <w:bCs/>
                <w:color w:val="auto"/>
              </w:rPr>
              <w:t xml:space="preserve"> </w:t>
            </w:r>
            <w:r>
              <w:rPr>
                <w:b/>
                <w:bCs/>
                <w:color w:val="auto"/>
              </w:rPr>
              <w:t>排污口基本情况</w:t>
            </w:r>
          </w:p>
          <w:tbl>
            <w:tblPr>
              <w:tblStyle w:val="27"/>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1135"/>
              <w:gridCol w:w="2530"/>
              <w:gridCol w:w="1746"/>
              <w:gridCol w:w="1135"/>
              <w:gridCol w:w="1978"/>
            </w:tblGrid>
            <w:tr w14:paraId="6870DF3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521" w:type="pct"/>
                  <w:noWrap w:val="0"/>
                  <w:vAlign w:val="center"/>
                </w:tcPr>
                <w:p w14:paraId="4CB15053">
                  <w:pPr>
                    <w:jc w:val="center"/>
                    <w:rPr>
                      <w:rFonts w:hint="eastAsia"/>
                      <w:szCs w:val="21"/>
                    </w:rPr>
                  </w:pPr>
                  <w:r>
                    <w:rPr>
                      <w:rFonts w:hint="eastAsia"/>
                      <w:szCs w:val="21"/>
                    </w:rPr>
                    <w:t>编号</w:t>
                  </w:r>
                </w:p>
              </w:tc>
              <w:tc>
                <w:tcPr>
                  <w:tcW w:w="596" w:type="pct"/>
                  <w:noWrap w:val="0"/>
                  <w:vAlign w:val="center"/>
                </w:tcPr>
                <w:p w14:paraId="465CC235">
                  <w:pPr>
                    <w:jc w:val="center"/>
                    <w:rPr>
                      <w:rFonts w:hint="eastAsia"/>
                      <w:szCs w:val="21"/>
                    </w:rPr>
                  </w:pPr>
                  <w:r>
                    <w:rPr>
                      <w:rFonts w:hint="eastAsia"/>
                      <w:szCs w:val="21"/>
                    </w:rPr>
                    <w:t>名称</w:t>
                  </w:r>
                </w:p>
              </w:tc>
              <w:tc>
                <w:tcPr>
                  <w:tcW w:w="1329" w:type="pct"/>
                  <w:noWrap w:val="0"/>
                  <w:vAlign w:val="center"/>
                </w:tcPr>
                <w:p w14:paraId="0AB8B693">
                  <w:pPr>
                    <w:jc w:val="center"/>
                    <w:rPr>
                      <w:szCs w:val="21"/>
                    </w:rPr>
                  </w:pPr>
                  <w:r>
                    <w:rPr>
                      <w:rFonts w:hint="eastAsia"/>
                      <w:szCs w:val="21"/>
                    </w:rPr>
                    <w:t>排放规律</w:t>
                  </w:r>
                </w:p>
              </w:tc>
              <w:tc>
                <w:tcPr>
                  <w:tcW w:w="917" w:type="pct"/>
                  <w:noWrap w:val="0"/>
                  <w:vAlign w:val="center"/>
                </w:tcPr>
                <w:p w14:paraId="05A20B26">
                  <w:pPr>
                    <w:jc w:val="center"/>
                    <w:rPr>
                      <w:szCs w:val="21"/>
                    </w:rPr>
                  </w:pPr>
                  <w:r>
                    <w:rPr>
                      <w:rFonts w:hint="eastAsia"/>
                      <w:szCs w:val="21"/>
                    </w:rPr>
                    <w:t>排放去向</w:t>
                  </w:r>
                </w:p>
              </w:tc>
              <w:tc>
                <w:tcPr>
                  <w:tcW w:w="596" w:type="pct"/>
                  <w:noWrap w:val="0"/>
                  <w:vAlign w:val="center"/>
                </w:tcPr>
                <w:p w14:paraId="1C1706CE">
                  <w:pPr>
                    <w:jc w:val="center"/>
                    <w:rPr>
                      <w:szCs w:val="21"/>
                    </w:rPr>
                  </w:pPr>
                  <w:r>
                    <w:rPr>
                      <w:rFonts w:hint="eastAsia"/>
                      <w:szCs w:val="21"/>
                    </w:rPr>
                    <w:t>类型</w:t>
                  </w:r>
                </w:p>
              </w:tc>
              <w:tc>
                <w:tcPr>
                  <w:tcW w:w="1039" w:type="pct"/>
                  <w:noWrap w:val="0"/>
                  <w:vAlign w:val="center"/>
                </w:tcPr>
                <w:p w14:paraId="7D10C8CC">
                  <w:pPr>
                    <w:jc w:val="center"/>
                    <w:rPr>
                      <w:szCs w:val="21"/>
                    </w:rPr>
                  </w:pPr>
                  <w:r>
                    <w:rPr>
                      <w:rFonts w:hint="eastAsia"/>
                      <w:szCs w:val="21"/>
                    </w:rPr>
                    <w:t>地理坐标</w:t>
                  </w:r>
                </w:p>
              </w:tc>
            </w:tr>
            <w:tr w14:paraId="299F62E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521" w:type="pct"/>
                  <w:noWrap w:val="0"/>
                  <w:vAlign w:val="center"/>
                </w:tcPr>
                <w:p w14:paraId="330B97F9">
                  <w:pPr>
                    <w:jc w:val="center"/>
                    <w:rPr>
                      <w:szCs w:val="21"/>
                    </w:rPr>
                  </w:pPr>
                  <w:r>
                    <w:rPr>
                      <w:rFonts w:hint="eastAsia"/>
                      <w:szCs w:val="21"/>
                    </w:rPr>
                    <w:t>DW001</w:t>
                  </w:r>
                </w:p>
              </w:tc>
              <w:tc>
                <w:tcPr>
                  <w:tcW w:w="596" w:type="pct"/>
                  <w:noWrap w:val="0"/>
                  <w:vAlign w:val="center"/>
                </w:tcPr>
                <w:p w14:paraId="279E88DA">
                  <w:pPr>
                    <w:jc w:val="center"/>
                    <w:rPr>
                      <w:rFonts w:hint="eastAsia"/>
                      <w:szCs w:val="21"/>
                    </w:rPr>
                  </w:pPr>
                  <w:r>
                    <w:rPr>
                      <w:rFonts w:hint="eastAsia"/>
                      <w:szCs w:val="21"/>
                    </w:rPr>
                    <w:t>生活污水排放口</w:t>
                  </w:r>
                </w:p>
              </w:tc>
              <w:tc>
                <w:tcPr>
                  <w:tcW w:w="1329" w:type="pct"/>
                  <w:noWrap w:val="0"/>
                  <w:vAlign w:val="center"/>
                </w:tcPr>
                <w:p w14:paraId="7E42D9F6">
                  <w:pPr>
                    <w:jc w:val="center"/>
                    <w:rPr>
                      <w:szCs w:val="21"/>
                    </w:rPr>
                  </w:pPr>
                  <w:r>
                    <w:rPr>
                      <w:rFonts w:hint="eastAsia"/>
                      <w:szCs w:val="21"/>
                    </w:rPr>
                    <w:t>间断排放，排放期间流量不稳定，但有周期规律性</w:t>
                  </w:r>
                </w:p>
              </w:tc>
              <w:tc>
                <w:tcPr>
                  <w:tcW w:w="917" w:type="pct"/>
                  <w:noWrap w:val="0"/>
                  <w:vAlign w:val="center"/>
                </w:tcPr>
                <w:p w14:paraId="66F23272">
                  <w:pPr>
                    <w:jc w:val="center"/>
                    <w:rPr>
                      <w:szCs w:val="21"/>
                    </w:rPr>
                  </w:pPr>
                  <w:r>
                    <w:rPr>
                      <w:rFonts w:hint="eastAsia"/>
                      <w:szCs w:val="21"/>
                    </w:rPr>
                    <w:t>市政管网，进入城市污水处理厂</w:t>
                  </w:r>
                </w:p>
              </w:tc>
              <w:tc>
                <w:tcPr>
                  <w:tcW w:w="596" w:type="pct"/>
                  <w:noWrap w:val="0"/>
                  <w:vAlign w:val="center"/>
                </w:tcPr>
                <w:p w14:paraId="07DE5505">
                  <w:pPr>
                    <w:jc w:val="center"/>
                    <w:rPr>
                      <w:szCs w:val="21"/>
                    </w:rPr>
                  </w:pPr>
                  <w:r>
                    <w:rPr>
                      <w:rFonts w:hint="eastAsia"/>
                      <w:szCs w:val="21"/>
                    </w:rPr>
                    <w:t>一般排放口</w:t>
                  </w:r>
                </w:p>
              </w:tc>
              <w:tc>
                <w:tcPr>
                  <w:tcW w:w="1039" w:type="pct"/>
                  <w:noWrap w:val="0"/>
                  <w:vAlign w:val="center"/>
                </w:tcPr>
                <w:p w14:paraId="2717BCB0">
                  <w:pPr>
                    <w:jc w:val="center"/>
                    <w:rPr>
                      <w:szCs w:val="21"/>
                    </w:rPr>
                  </w:pPr>
                  <w:r>
                    <w:rPr>
                      <w:rFonts w:hint="eastAsia"/>
                      <w:szCs w:val="21"/>
                    </w:rPr>
                    <w:t>E</w:t>
                  </w:r>
                  <w:r>
                    <w:rPr>
                      <w:szCs w:val="21"/>
                    </w:rPr>
                    <w:t>125°</w:t>
                  </w:r>
                  <w:r>
                    <w:rPr>
                      <w:rFonts w:hint="eastAsia"/>
                      <w:szCs w:val="21"/>
                    </w:rPr>
                    <w:t>26</w:t>
                  </w:r>
                  <w:r>
                    <w:rPr>
                      <w:szCs w:val="21"/>
                    </w:rPr>
                    <w:t>′</w:t>
                  </w:r>
                  <w:r>
                    <w:rPr>
                      <w:rFonts w:hint="eastAsia"/>
                      <w:szCs w:val="21"/>
                    </w:rPr>
                    <w:t>36.168</w:t>
                  </w:r>
                  <w:r>
                    <w:rPr>
                      <w:szCs w:val="21"/>
                    </w:rPr>
                    <w:t>″</w:t>
                  </w:r>
                </w:p>
                <w:p w14:paraId="7672D2A5">
                  <w:pPr>
                    <w:jc w:val="center"/>
                    <w:rPr>
                      <w:szCs w:val="21"/>
                    </w:rPr>
                  </w:pPr>
                  <w:r>
                    <w:rPr>
                      <w:rFonts w:hint="eastAsia"/>
                      <w:szCs w:val="21"/>
                    </w:rPr>
                    <w:t>N</w:t>
                  </w:r>
                  <w:r>
                    <w:rPr>
                      <w:szCs w:val="21"/>
                    </w:rPr>
                    <w:t>4</w:t>
                  </w:r>
                  <w:r>
                    <w:rPr>
                      <w:rFonts w:hint="eastAsia"/>
                      <w:szCs w:val="21"/>
                    </w:rPr>
                    <w:t>4</w:t>
                  </w:r>
                  <w:r>
                    <w:rPr>
                      <w:szCs w:val="21"/>
                    </w:rPr>
                    <w:t>°</w:t>
                  </w:r>
                  <w:r>
                    <w:rPr>
                      <w:rFonts w:hint="eastAsia"/>
                      <w:szCs w:val="21"/>
                    </w:rPr>
                    <w:t>3</w:t>
                  </w:r>
                  <w:r>
                    <w:rPr>
                      <w:szCs w:val="21"/>
                    </w:rPr>
                    <w:t>′</w:t>
                  </w:r>
                  <w:r>
                    <w:rPr>
                      <w:rFonts w:hint="eastAsia"/>
                      <w:szCs w:val="21"/>
                    </w:rPr>
                    <w:t>42.384</w:t>
                  </w:r>
                  <w:r>
                    <w:rPr>
                      <w:szCs w:val="21"/>
                    </w:rPr>
                    <w:t>″</w:t>
                  </w:r>
                </w:p>
              </w:tc>
            </w:tr>
          </w:tbl>
          <w:p w14:paraId="16541025">
            <w:pPr>
              <w:spacing w:line="360" w:lineRule="auto"/>
              <w:ind w:firstLine="482" w:firstLineChars="200"/>
              <w:rPr>
                <w:rFonts w:hint="eastAsia"/>
                <w:b/>
                <w:sz w:val="24"/>
              </w:rPr>
            </w:pPr>
          </w:p>
          <w:p w14:paraId="0814575F">
            <w:pPr>
              <w:spacing w:line="360" w:lineRule="auto"/>
              <w:ind w:firstLine="482" w:firstLineChars="200"/>
              <w:rPr>
                <w:rFonts w:hint="eastAsia"/>
                <w:b/>
                <w:sz w:val="24"/>
              </w:rPr>
            </w:pPr>
            <w:r>
              <w:rPr>
                <w:rFonts w:hint="eastAsia"/>
                <w:b/>
                <w:sz w:val="24"/>
              </w:rPr>
              <w:t>1.4监测计划</w:t>
            </w:r>
          </w:p>
          <w:p w14:paraId="72A1A7A1">
            <w:pPr>
              <w:spacing w:line="360" w:lineRule="auto"/>
              <w:ind w:firstLine="480" w:firstLineChars="200"/>
              <w:rPr>
                <w:sz w:val="24"/>
              </w:rPr>
            </w:pPr>
            <w:r>
              <w:rPr>
                <w:rFonts w:hint="eastAsia"/>
                <w:sz w:val="24"/>
              </w:rPr>
              <w:t>根据《固定污染源排污许可分类管理名录(2019年版)》(生态环境部第11号)》，本项目无需办理排污许可，原则不开展监测计划，若后期生态环境部门提出要求，按其要求进行监测。</w:t>
            </w:r>
          </w:p>
          <w:p w14:paraId="124AF682">
            <w:pPr>
              <w:spacing w:line="360" w:lineRule="auto"/>
              <w:ind w:firstLine="482" w:firstLineChars="200"/>
              <w:rPr>
                <w:b/>
                <w:bCs/>
                <w:sz w:val="24"/>
              </w:rPr>
            </w:pPr>
            <w:r>
              <w:rPr>
                <w:b/>
                <w:bCs/>
                <w:sz w:val="24"/>
              </w:rPr>
              <w:t>2</w:t>
            </w:r>
            <w:r>
              <w:rPr>
                <w:rFonts w:hint="eastAsia"/>
                <w:b/>
                <w:bCs/>
                <w:sz w:val="24"/>
              </w:rPr>
              <w:t>、废气</w:t>
            </w:r>
          </w:p>
          <w:p w14:paraId="0E27A832">
            <w:pPr>
              <w:spacing w:line="360" w:lineRule="auto"/>
              <w:ind w:firstLine="482" w:firstLineChars="200"/>
              <w:rPr>
                <w:b/>
                <w:bCs/>
                <w:sz w:val="24"/>
              </w:rPr>
            </w:pPr>
            <w:r>
              <w:rPr>
                <w:rFonts w:hint="eastAsia"/>
                <w:b/>
                <w:bCs/>
                <w:sz w:val="24"/>
              </w:rPr>
              <w:t>2</w:t>
            </w:r>
            <w:r>
              <w:rPr>
                <w:b/>
                <w:bCs/>
                <w:sz w:val="24"/>
              </w:rPr>
              <w:t>.1产污分析</w:t>
            </w:r>
          </w:p>
          <w:p w14:paraId="1D2033DC">
            <w:pPr>
              <w:spacing w:line="360" w:lineRule="auto"/>
              <w:ind w:firstLine="480" w:firstLineChars="200"/>
              <w:rPr>
                <w:rFonts w:hint="eastAsia" w:eastAsia="宋体"/>
                <w:sz w:val="24"/>
                <w:lang w:eastAsia="zh-CN"/>
              </w:rPr>
            </w:pPr>
            <w:r>
              <w:rPr>
                <w:sz w:val="24"/>
              </w:rPr>
              <w:t>（</w:t>
            </w:r>
            <w:r>
              <w:rPr>
                <w:rFonts w:hint="eastAsia"/>
                <w:sz w:val="24"/>
                <w:lang w:val="en-US" w:eastAsia="zh-CN"/>
              </w:rPr>
              <w:t>1</w:t>
            </w:r>
            <w:r>
              <w:rPr>
                <w:sz w:val="24"/>
              </w:rPr>
              <w:t>）</w:t>
            </w:r>
            <w:r>
              <w:rPr>
                <w:rFonts w:hint="eastAsia"/>
                <w:sz w:val="24"/>
              </w:rPr>
              <w:t>喷砂</w:t>
            </w:r>
            <w:r>
              <w:rPr>
                <w:sz w:val="24"/>
              </w:rPr>
              <w:t>废气</w:t>
            </w:r>
            <w:r>
              <w:rPr>
                <w:rFonts w:hint="eastAsia"/>
                <w:sz w:val="24"/>
              </w:rPr>
              <w:t>G</w:t>
            </w:r>
            <w:r>
              <w:rPr>
                <w:rFonts w:hint="eastAsia"/>
                <w:sz w:val="24"/>
                <w:lang w:val="en-US" w:eastAsia="zh-CN"/>
              </w:rPr>
              <w:t>3</w:t>
            </w:r>
          </w:p>
          <w:p w14:paraId="67C33673">
            <w:pPr>
              <w:spacing w:line="360" w:lineRule="auto"/>
              <w:ind w:firstLine="480" w:firstLineChars="200"/>
              <w:rPr>
                <w:sz w:val="24"/>
                <w:highlight w:val="yellow"/>
                <w:lang w:bidi="ar"/>
              </w:rPr>
            </w:pPr>
            <w:r>
              <w:rPr>
                <w:rFonts w:hint="eastAsia"/>
                <w:sz w:val="24"/>
              </w:rPr>
              <w:t>喷砂</w:t>
            </w:r>
            <w:r>
              <w:rPr>
                <w:sz w:val="24"/>
              </w:rPr>
              <w:t>废气</w:t>
            </w:r>
            <w:r>
              <w:rPr>
                <w:rFonts w:hint="eastAsia"/>
                <w:sz w:val="24"/>
              </w:rPr>
              <w:t>主要颗粒物，</w:t>
            </w:r>
            <w:r>
              <w:rPr>
                <w:kern w:val="0"/>
                <w:sz w:val="24"/>
                <w:lang w:bidi="ar"/>
              </w:rPr>
              <w:t>根据《排放源统计调查</w:t>
            </w:r>
            <w:r>
              <w:rPr>
                <w:rFonts w:hint="eastAsia"/>
                <w:kern w:val="0"/>
                <w:sz w:val="24"/>
                <w:lang w:bidi="ar"/>
              </w:rPr>
              <w:t>产</w:t>
            </w:r>
            <w:r>
              <w:rPr>
                <w:kern w:val="0"/>
                <w:sz w:val="24"/>
                <w:lang w:bidi="ar"/>
              </w:rPr>
              <w:t>排污核算方法和系数手册》中“机械行业系数手册”</w:t>
            </w:r>
            <w:r>
              <w:rPr>
                <w:sz w:val="24"/>
                <w:lang w:bidi="ar"/>
              </w:rPr>
              <w:t>，</w:t>
            </w:r>
            <w:r>
              <w:rPr>
                <w:rFonts w:hint="eastAsia"/>
                <w:sz w:val="24"/>
                <w:lang w:bidi="ar"/>
              </w:rPr>
              <w:t>喷砂</w:t>
            </w:r>
            <w:r>
              <w:rPr>
                <w:sz w:val="24"/>
                <w:lang w:bidi="ar"/>
              </w:rPr>
              <w:t>工序颗粒物产生量按2.19kg/t-原料进行计算。</w:t>
            </w:r>
            <w:r>
              <w:rPr>
                <w:rFonts w:hint="eastAsia"/>
                <w:sz w:val="24"/>
                <w:lang w:bidi="ar"/>
              </w:rPr>
              <w:t>工业废气量按8500m</w:t>
            </w:r>
            <w:r>
              <w:rPr>
                <w:rFonts w:hint="eastAsia"/>
                <w:sz w:val="24"/>
                <w:vertAlign w:val="superscript"/>
                <w:lang w:bidi="ar"/>
              </w:rPr>
              <w:t>3</w:t>
            </w:r>
            <w:r>
              <w:rPr>
                <w:rFonts w:hint="eastAsia"/>
                <w:sz w:val="24"/>
                <w:lang w:bidi="ar"/>
              </w:rPr>
              <w:t>/t-原料计算，本项目实验基材用量约为35t/a</w:t>
            </w:r>
            <w:r>
              <w:rPr>
                <w:sz w:val="24"/>
                <w:lang w:bidi="ar"/>
              </w:rPr>
              <w:t>，因此，颗粒物产生量为</w:t>
            </w:r>
            <w:r>
              <w:rPr>
                <w:rFonts w:hint="eastAsia"/>
                <w:sz w:val="24"/>
                <w:lang w:bidi="ar"/>
              </w:rPr>
              <w:t>0.077</w:t>
            </w:r>
            <w:r>
              <w:rPr>
                <w:sz w:val="24"/>
                <w:lang w:bidi="ar"/>
              </w:rPr>
              <w:t>t/a。</w:t>
            </w:r>
            <w:r>
              <w:rPr>
                <w:rFonts w:hint="eastAsia"/>
                <w:sz w:val="24"/>
                <w:lang w:bidi="ar"/>
              </w:rPr>
              <w:t>年喷砂</w:t>
            </w:r>
            <w:r>
              <w:rPr>
                <w:sz w:val="24"/>
                <w:lang w:bidi="ar"/>
              </w:rPr>
              <w:t>时间</w:t>
            </w:r>
            <w:r>
              <w:rPr>
                <w:rFonts w:hint="eastAsia"/>
                <w:sz w:val="24"/>
                <w:lang w:bidi="ar"/>
              </w:rPr>
              <w:t>约</w:t>
            </w:r>
            <w:r>
              <w:rPr>
                <w:sz w:val="24"/>
                <w:lang w:bidi="ar"/>
              </w:rPr>
              <w:t>为</w:t>
            </w:r>
            <w:r>
              <w:rPr>
                <w:rFonts w:hint="eastAsia"/>
                <w:sz w:val="24"/>
                <w:lang w:bidi="ar"/>
              </w:rPr>
              <w:t>300</w:t>
            </w:r>
            <w:r>
              <w:rPr>
                <w:sz w:val="24"/>
                <w:lang w:bidi="ar"/>
              </w:rPr>
              <w:t>h，产生速率为</w:t>
            </w:r>
            <w:r>
              <w:rPr>
                <w:rFonts w:hint="eastAsia"/>
                <w:sz w:val="24"/>
                <w:lang w:bidi="ar"/>
              </w:rPr>
              <w:t>0.257</w:t>
            </w:r>
            <w:r>
              <w:rPr>
                <w:sz w:val="24"/>
                <w:lang w:bidi="ar"/>
              </w:rPr>
              <w:t>kg/h，产生浓度为</w:t>
            </w:r>
            <w:r>
              <w:rPr>
                <w:rFonts w:hint="eastAsia"/>
                <w:sz w:val="24"/>
                <w:lang w:bidi="ar"/>
              </w:rPr>
              <w:t>257.647</w:t>
            </w:r>
            <w:r>
              <w:rPr>
                <w:sz w:val="24"/>
                <w:lang w:bidi="ar"/>
              </w:rPr>
              <w:t>mg/m</w:t>
            </w:r>
            <w:r>
              <w:rPr>
                <w:sz w:val="24"/>
                <w:vertAlign w:val="superscript"/>
                <w:lang w:bidi="ar"/>
              </w:rPr>
              <w:t>3</w:t>
            </w:r>
            <w:r>
              <w:rPr>
                <w:sz w:val="24"/>
                <w:lang w:bidi="ar"/>
              </w:rPr>
              <w:t>。</w:t>
            </w:r>
            <w:r>
              <w:rPr>
                <w:rFonts w:hint="eastAsia"/>
                <w:sz w:val="24"/>
                <w:lang w:bidi="ar"/>
              </w:rPr>
              <w:t>经喷砂机自带滤筒</w:t>
            </w:r>
            <w:r>
              <w:rPr>
                <w:sz w:val="24"/>
                <w:lang w:bidi="ar"/>
              </w:rPr>
              <w:t>除尘器（处理效率99%）处理后经</w:t>
            </w:r>
            <w:r>
              <w:rPr>
                <w:rFonts w:hint="eastAsia"/>
                <w:sz w:val="24"/>
                <w:lang w:val="en-US" w:eastAsia="zh-CN" w:bidi="ar"/>
              </w:rPr>
              <w:t>15</w:t>
            </w:r>
            <w:r>
              <w:rPr>
                <w:sz w:val="24"/>
                <w:lang w:bidi="ar"/>
              </w:rPr>
              <w:t>m高排气筒DA001排放，</w:t>
            </w:r>
            <w:r>
              <w:rPr>
                <w:rFonts w:hint="eastAsia"/>
                <w:sz w:val="24"/>
                <w:lang w:bidi="ar"/>
              </w:rPr>
              <w:t>并在排气筒符合采样部位设置永久采样孔，并设置采样监测平台和</w:t>
            </w:r>
            <w:r>
              <w:rPr>
                <w:rFonts w:hint="eastAsia"/>
                <w:sz w:val="24"/>
                <w:lang w:eastAsia="zh-CN" w:bidi="ar"/>
              </w:rPr>
              <w:t>排污口</w:t>
            </w:r>
            <w:r>
              <w:rPr>
                <w:rFonts w:hint="eastAsia"/>
                <w:sz w:val="24"/>
                <w:lang w:bidi="ar"/>
              </w:rPr>
              <w:t>标志内容。喷砂废气排放情况详见下表</w:t>
            </w:r>
            <w:r>
              <w:rPr>
                <w:sz w:val="24"/>
                <w:lang w:bidi="ar"/>
              </w:rPr>
              <w:t>。</w:t>
            </w:r>
          </w:p>
          <w:p w14:paraId="7D69F659">
            <w:pPr>
              <w:pStyle w:val="23"/>
              <w:widowControl w:val="0"/>
              <w:spacing w:before="0" w:beforeAutospacing="0" w:after="0" w:afterAutospacing="0"/>
              <w:jc w:val="center"/>
              <w:rPr>
                <w:rFonts w:ascii="Times New Roman" w:hAnsi="Times New Roman"/>
                <w:b/>
                <w:bCs/>
                <w:kern w:val="2"/>
                <w:szCs w:val="24"/>
              </w:rPr>
            </w:pPr>
            <w:r>
              <w:rPr>
                <w:rFonts w:hint="eastAsia" w:cs="宋体"/>
                <w:b/>
                <w:bCs/>
                <w:kern w:val="2"/>
                <w:szCs w:val="24"/>
                <w:lang w:bidi="ar"/>
              </w:rPr>
              <w:t>表</w:t>
            </w:r>
            <w:r>
              <w:rPr>
                <w:rFonts w:ascii="Times New Roman" w:hAnsi="Times New Roman"/>
                <w:b/>
                <w:bCs/>
                <w:kern w:val="2"/>
                <w:szCs w:val="24"/>
                <w:lang w:bidi="ar"/>
              </w:rPr>
              <w:t>4</w:t>
            </w:r>
            <w:r>
              <w:rPr>
                <w:rFonts w:hint="eastAsia" w:ascii="Times New Roman" w:hAnsi="Times New Roman"/>
                <w:b/>
                <w:bCs/>
                <w:kern w:val="2"/>
                <w:szCs w:val="24"/>
                <w:lang w:bidi="ar"/>
              </w:rPr>
              <w:t>-</w:t>
            </w:r>
            <w:r>
              <w:rPr>
                <w:rFonts w:hint="eastAsia" w:ascii="Times New Roman" w:hAnsi="Times New Roman"/>
                <w:b/>
                <w:bCs/>
                <w:kern w:val="2"/>
                <w:szCs w:val="24"/>
                <w:lang w:val="en-US" w:eastAsia="zh-CN" w:bidi="ar"/>
              </w:rPr>
              <w:t>3</w:t>
            </w:r>
            <w:r>
              <w:rPr>
                <w:rFonts w:ascii="Times New Roman" w:hAnsi="Times New Roman"/>
                <w:b/>
                <w:bCs/>
                <w:kern w:val="2"/>
                <w:szCs w:val="24"/>
                <w:lang w:bidi="ar"/>
              </w:rPr>
              <w:t xml:space="preserve">  本项目</w:t>
            </w:r>
            <w:r>
              <w:rPr>
                <w:rFonts w:hint="eastAsia" w:cs="宋体"/>
                <w:b/>
                <w:bCs/>
                <w:kern w:val="2"/>
                <w:szCs w:val="24"/>
                <w:lang w:bidi="ar"/>
              </w:rPr>
              <w:t>抛丸粉尘产生及排放情况一览表</w:t>
            </w:r>
          </w:p>
          <w:tbl>
            <w:tblPr>
              <w:tblStyle w:val="27"/>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478"/>
              <w:gridCol w:w="691"/>
              <w:gridCol w:w="958"/>
              <w:gridCol w:w="948"/>
              <w:gridCol w:w="887"/>
              <w:gridCol w:w="2079"/>
              <w:gridCol w:w="942"/>
              <w:gridCol w:w="891"/>
              <w:gridCol w:w="877"/>
            </w:tblGrid>
            <w:tr w14:paraId="3460161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402" w:type="pct"/>
                  <w:vMerge w:val="restart"/>
                  <w:noWrap w:val="0"/>
                  <w:vAlign w:val="center"/>
                </w:tcPr>
                <w:p w14:paraId="357101F6">
                  <w:pPr>
                    <w:jc w:val="center"/>
                    <w:rPr>
                      <w:szCs w:val="21"/>
                    </w:rPr>
                  </w:pPr>
                  <w:r>
                    <w:rPr>
                      <w:szCs w:val="21"/>
                      <w:lang w:bidi="ar"/>
                    </w:rPr>
                    <w:t>产生环节</w:t>
                  </w:r>
                </w:p>
              </w:tc>
              <w:tc>
                <w:tcPr>
                  <w:tcW w:w="614" w:type="pct"/>
                  <w:gridSpan w:val="2"/>
                  <w:vMerge w:val="restart"/>
                  <w:noWrap w:val="0"/>
                  <w:vAlign w:val="center"/>
                </w:tcPr>
                <w:p w14:paraId="06C557DD">
                  <w:pPr>
                    <w:jc w:val="center"/>
                    <w:rPr>
                      <w:szCs w:val="21"/>
                    </w:rPr>
                  </w:pPr>
                  <w:r>
                    <w:rPr>
                      <w:szCs w:val="21"/>
                      <w:lang w:bidi="ar"/>
                    </w:rPr>
                    <w:t>污染物</w:t>
                  </w:r>
                </w:p>
              </w:tc>
              <w:tc>
                <w:tcPr>
                  <w:tcW w:w="1467" w:type="pct"/>
                  <w:gridSpan w:val="3"/>
                  <w:noWrap w:val="0"/>
                  <w:vAlign w:val="center"/>
                </w:tcPr>
                <w:p w14:paraId="155F64D2">
                  <w:pPr>
                    <w:jc w:val="center"/>
                    <w:rPr>
                      <w:szCs w:val="21"/>
                    </w:rPr>
                  </w:pPr>
                  <w:r>
                    <w:rPr>
                      <w:szCs w:val="21"/>
                      <w:lang w:bidi="ar"/>
                    </w:rPr>
                    <w:t>废气产生情况</w:t>
                  </w:r>
                </w:p>
              </w:tc>
              <w:tc>
                <w:tcPr>
                  <w:tcW w:w="1092" w:type="pct"/>
                  <w:vMerge w:val="restart"/>
                  <w:noWrap w:val="0"/>
                  <w:vAlign w:val="center"/>
                </w:tcPr>
                <w:p w14:paraId="512BA9C6">
                  <w:pPr>
                    <w:jc w:val="center"/>
                    <w:rPr>
                      <w:szCs w:val="21"/>
                    </w:rPr>
                  </w:pPr>
                  <w:r>
                    <w:rPr>
                      <w:szCs w:val="21"/>
                      <w:lang w:bidi="ar"/>
                    </w:rPr>
                    <w:t>治理措施</w:t>
                  </w:r>
                </w:p>
              </w:tc>
              <w:tc>
                <w:tcPr>
                  <w:tcW w:w="1423" w:type="pct"/>
                  <w:gridSpan w:val="3"/>
                  <w:noWrap w:val="0"/>
                  <w:vAlign w:val="center"/>
                </w:tcPr>
                <w:p w14:paraId="34F8733D">
                  <w:pPr>
                    <w:jc w:val="center"/>
                    <w:rPr>
                      <w:szCs w:val="21"/>
                    </w:rPr>
                  </w:pPr>
                  <w:r>
                    <w:rPr>
                      <w:szCs w:val="21"/>
                      <w:lang w:bidi="ar"/>
                    </w:rPr>
                    <w:t>废气排放情况</w:t>
                  </w:r>
                </w:p>
              </w:tc>
            </w:tr>
            <w:tr w14:paraId="3CBE469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2" w:type="pct"/>
                  <w:vMerge w:val="continue"/>
                  <w:noWrap w:val="0"/>
                  <w:vAlign w:val="center"/>
                </w:tcPr>
                <w:p w14:paraId="54C85CF0">
                  <w:pPr>
                    <w:jc w:val="center"/>
                    <w:rPr>
                      <w:szCs w:val="21"/>
                    </w:rPr>
                  </w:pPr>
                </w:p>
              </w:tc>
              <w:tc>
                <w:tcPr>
                  <w:tcW w:w="614" w:type="pct"/>
                  <w:gridSpan w:val="2"/>
                  <w:vMerge w:val="continue"/>
                  <w:noWrap w:val="0"/>
                  <w:vAlign w:val="center"/>
                </w:tcPr>
                <w:p w14:paraId="6FF6DCBD">
                  <w:pPr>
                    <w:jc w:val="center"/>
                    <w:rPr>
                      <w:szCs w:val="21"/>
                    </w:rPr>
                  </w:pPr>
                </w:p>
              </w:tc>
              <w:tc>
                <w:tcPr>
                  <w:tcW w:w="503" w:type="pct"/>
                  <w:noWrap w:val="0"/>
                  <w:vAlign w:val="center"/>
                </w:tcPr>
                <w:p w14:paraId="4C671666">
                  <w:pPr>
                    <w:jc w:val="center"/>
                    <w:rPr>
                      <w:szCs w:val="21"/>
                    </w:rPr>
                  </w:pPr>
                  <w:r>
                    <w:rPr>
                      <w:szCs w:val="21"/>
                      <w:lang w:bidi="ar"/>
                    </w:rPr>
                    <w:t>浓度mg/m</w:t>
                  </w:r>
                  <w:r>
                    <w:rPr>
                      <w:szCs w:val="21"/>
                      <w:vertAlign w:val="superscript"/>
                      <w:lang w:bidi="ar"/>
                    </w:rPr>
                    <w:t>3</w:t>
                  </w:r>
                </w:p>
              </w:tc>
              <w:tc>
                <w:tcPr>
                  <w:tcW w:w="498" w:type="pct"/>
                  <w:noWrap w:val="0"/>
                  <w:vAlign w:val="center"/>
                </w:tcPr>
                <w:p w14:paraId="26184528">
                  <w:pPr>
                    <w:jc w:val="center"/>
                    <w:rPr>
                      <w:szCs w:val="21"/>
                    </w:rPr>
                  </w:pPr>
                  <w:r>
                    <w:rPr>
                      <w:szCs w:val="21"/>
                      <w:lang w:bidi="ar"/>
                    </w:rPr>
                    <w:t>产生量t/a</w:t>
                  </w:r>
                </w:p>
              </w:tc>
              <w:tc>
                <w:tcPr>
                  <w:tcW w:w="465" w:type="pct"/>
                  <w:noWrap w:val="0"/>
                  <w:vAlign w:val="center"/>
                </w:tcPr>
                <w:p w14:paraId="12817A9B">
                  <w:pPr>
                    <w:jc w:val="center"/>
                    <w:rPr>
                      <w:szCs w:val="21"/>
                    </w:rPr>
                  </w:pPr>
                  <w:r>
                    <w:rPr>
                      <w:szCs w:val="21"/>
                      <w:lang w:bidi="ar"/>
                    </w:rPr>
                    <w:t>速率kg/h</w:t>
                  </w:r>
                </w:p>
              </w:tc>
              <w:tc>
                <w:tcPr>
                  <w:tcW w:w="1092" w:type="pct"/>
                  <w:vMerge w:val="continue"/>
                  <w:noWrap w:val="0"/>
                  <w:vAlign w:val="center"/>
                </w:tcPr>
                <w:p w14:paraId="31A244ED">
                  <w:pPr>
                    <w:jc w:val="center"/>
                    <w:rPr>
                      <w:szCs w:val="21"/>
                    </w:rPr>
                  </w:pPr>
                </w:p>
              </w:tc>
              <w:tc>
                <w:tcPr>
                  <w:tcW w:w="495" w:type="pct"/>
                  <w:noWrap w:val="0"/>
                  <w:vAlign w:val="center"/>
                </w:tcPr>
                <w:p w14:paraId="0724EE3C">
                  <w:pPr>
                    <w:jc w:val="center"/>
                    <w:rPr>
                      <w:szCs w:val="21"/>
                    </w:rPr>
                  </w:pPr>
                  <w:r>
                    <w:rPr>
                      <w:szCs w:val="21"/>
                      <w:lang w:bidi="ar"/>
                    </w:rPr>
                    <w:t>浓度mg/m</w:t>
                  </w:r>
                  <w:r>
                    <w:rPr>
                      <w:szCs w:val="21"/>
                      <w:vertAlign w:val="superscript"/>
                      <w:lang w:bidi="ar"/>
                    </w:rPr>
                    <w:t>3</w:t>
                  </w:r>
                </w:p>
              </w:tc>
              <w:tc>
                <w:tcPr>
                  <w:tcW w:w="468" w:type="pct"/>
                  <w:noWrap w:val="0"/>
                  <w:vAlign w:val="center"/>
                </w:tcPr>
                <w:p w14:paraId="05A6BC23">
                  <w:pPr>
                    <w:jc w:val="center"/>
                    <w:rPr>
                      <w:szCs w:val="21"/>
                    </w:rPr>
                  </w:pPr>
                  <w:r>
                    <w:rPr>
                      <w:szCs w:val="21"/>
                      <w:lang w:bidi="ar"/>
                    </w:rPr>
                    <w:t>排放量t/a</w:t>
                  </w:r>
                </w:p>
              </w:tc>
              <w:tc>
                <w:tcPr>
                  <w:tcW w:w="460" w:type="pct"/>
                  <w:noWrap w:val="0"/>
                  <w:vAlign w:val="center"/>
                </w:tcPr>
                <w:p w14:paraId="635ADCEE">
                  <w:pPr>
                    <w:jc w:val="center"/>
                    <w:rPr>
                      <w:szCs w:val="21"/>
                    </w:rPr>
                  </w:pPr>
                  <w:r>
                    <w:rPr>
                      <w:szCs w:val="21"/>
                      <w:lang w:bidi="ar"/>
                    </w:rPr>
                    <w:t>速率kg/h</w:t>
                  </w:r>
                </w:p>
              </w:tc>
            </w:tr>
            <w:tr w14:paraId="456DC90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2" w:type="pct"/>
                  <w:noWrap w:val="0"/>
                  <w:vAlign w:val="center"/>
                </w:tcPr>
                <w:p w14:paraId="16675D56">
                  <w:pPr>
                    <w:jc w:val="center"/>
                    <w:rPr>
                      <w:rFonts w:hint="eastAsia"/>
                      <w:szCs w:val="21"/>
                    </w:rPr>
                  </w:pPr>
                  <w:r>
                    <w:rPr>
                      <w:rFonts w:hint="eastAsia"/>
                      <w:szCs w:val="21"/>
                      <w:lang w:bidi="ar"/>
                    </w:rPr>
                    <w:t>喷砂</w:t>
                  </w:r>
                </w:p>
              </w:tc>
              <w:tc>
                <w:tcPr>
                  <w:tcW w:w="251" w:type="pct"/>
                  <w:noWrap w:val="0"/>
                  <w:vAlign w:val="center"/>
                </w:tcPr>
                <w:p w14:paraId="2371C935">
                  <w:pPr>
                    <w:jc w:val="center"/>
                    <w:rPr>
                      <w:kern w:val="0"/>
                      <w:szCs w:val="21"/>
                    </w:rPr>
                  </w:pPr>
                  <w:r>
                    <w:rPr>
                      <w:kern w:val="0"/>
                      <w:szCs w:val="21"/>
                    </w:rPr>
                    <w:t>颗粒物</w:t>
                  </w:r>
                </w:p>
              </w:tc>
              <w:tc>
                <w:tcPr>
                  <w:tcW w:w="363" w:type="pct"/>
                  <w:noWrap w:val="0"/>
                  <w:vAlign w:val="center"/>
                </w:tcPr>
                <w:p w14:paraId="32DBCFCD">
                  <w:pPr>
                    <w:jc w:val="center"/>
                    <w:rPr>
                      <w:kern w:val="0"/>
                      <w:szCs w:val="21"/>
                    </w:rPr>
                  </w:pPr>
                  <w:r>
                    <w:rPr>
                      <w:kern w:val="0"/>
                      <w:szCs w:val="21"/>
                    </w:rPr>
                    <w:t>有组织</w:t>
                  </w:r>
                </w:p>
              </w:tc>
              <w:tc>
                <w:tcPr>
                  <w:tcW w:w="503" w:type="pct"/>
                  <w:noWrap w:val="0"/>
                  <w:vAlign w:val="center"/>
                </w:tcPr>
                <w:p w14:paraId="6B0E0E48">
                  <w:pPr>
                    <w:jc w:val="center"/>
                    <w:rPr>
                      <w:szCs w:val="21"/>
                    </w:rPr>
                  </w:pPr>
                  <w:r>
                    <w:rPr>
                      <w:rFonts w:hint="eastAsia"/>
                      <w:szCs w:val="21"/>
                      <w:lang w:bidi="ar"/>
                    </w:rPr>
                    <w:t>257.647</w:t>
                  </w:r>
                </w:p>
              </w:tc>
              <w:tc>
                <w:tcPr>
                  <w:tcW w:w="498" w:type="pct"/>
                  <w:noWrap w:val="0"/>
                  <w:vAlign w:val="center"/>
                </w:tcPr>
                <w:p w14:paraId="32401572">
                  <w:pPr>
                    <w:jc w:val="center"/>
                    <w:rPr>
                      <w:szCs w:val="21"/>
                    </w:rPr>
                  </w:pPr>
                  <w:r>
                    <w:rPr>
                      <w:rFonts w:hint="eastAsia"/>
                      <w:szCs w:val="21"/>
                      <w:lang w:bidi="ar"/>
                    </w:rPr>
                    <w:t>0.077</w:t>
                  </w:r>
                </w:p>
              </w:tc>
              <w:tc>
                <w:tcPr>
                  <w:tcW w:w="465" w:type="pct"/>
                  <w:noWrap w:val="0"/>
                  <w:vAlign w:val="center"/>
                </w:tcPr>
                <w:p w14:paraId="2503084F">
                  <w:pPr>
                    <w:jc w:val="center"/>
                    <w:rPr>
                      <w:szCs w:val="21"/>
                    </w:rPr>
                  </w:pPr>
                  <w:r>
                    <w:rPr>
                      <w:rFonts w:hint="eastAsia"/>
                      <w:szCs w:val="21"/>
                      <w:lang w:bidi="ar"/>
                    </w:rPr>
                    <w:t>0.257</w:t>
                  </w:r>
                </w:p>
              </w:tc>
              <w:tc>
                <w:tcPr>
                  <w:tcW w:w="1092" w:type="pct"/>
                  <w:noWrap w:val="0"/>
                  <w:vAlign w:val="center"/>
                </w:tcPr>
                <w:p w14:paraId="244470A3">
                  <w:pPr>
                    <w:jc w:val="center"/>
                    <w:rPr>
                      <w:szCs w:val="21"/>
                    </w:rPr>
                  </w:pPr>
                  <w:r>
                    <w:rPr>
                      <w:rFonts w:hint="eastAsia"/>
                      <w:szCs w:val="21"/>
                      <w:lang w:bidi="ar"/>
                    </w:rPr>
                    <w:t>滤筒</w:t>
                  </w:r>
                  <w:r>
                    <w:rPr>
                      <w:szCs w:val="21"/>
                      <w:lang w:bidi="ar"/>
                    </w:rPr>
                    <w:t>除尘器+</w:t>
                  </w:r>
                  <w:r>
                    <w:rPr>
                      <w:rFonts w:hint="eastAsia"/>
                      <w:szCs w:val="21"/>
                      <w:lang w:val="en-US" w:eastAsia="zh-CN" w:bidi="ar"/>
                    </w:rPr>
                    <w:t>15</w:t>
                  </w:r>
                  <w:r>
                    <w:rPr>
                      <w:szCs w:val="21"/>
                      <w:lang w:bidi="ar"/>
                    </w:rPr>
                    <w:t>m高排气筒DA001</w:t>
                  </w:r>
                </w:p>
              </w:tc>
              <w:tc>
                <w:tcPr>
                  <w:tcW w:w="495" w:type="pct"/>
                  <w:noWrap w:val="0"/>
                  <w:vAlign w:val="center"/>
                </w:tcPr>
                <w:p w14:paraId="2B8FE5B8">
                  <w:pPr>
                    <w:jc w:val="center"/>
                    <w:rPr>
                      <w:szCs w:val="21"/>
                    </w:rPr>
                  </w:pPr>
                  <w:r>
                    <w:rPr>
                      <w:rFonts w:hint="eastAsia"/>
                      <w:szCs w:val="21"/>
                    </w:rPr>
                    <w:t>2.576</w:t>
                  </w:r>
                </w:p>
              </w:tc>
              <w:tc>
                <w:tcPr>
                  <w:tcW w:w="468" w:type="pct"/>
                  <w:noWrap w:val="0"/>
                  <w:vAlign w:val="center"/>
                </w:tcPr>
                <w:p w14:paraId="1E0E5458">
                  <w:pPr>
                    <w:jc w:val="center"/>
                    <w:rPr>
                      <w:szCs w:val="21"/>
                    </w:rPr>
                  </w:pPr>
                  <w:r>
                    <w:rPr>
                      <w:rFonts w:hint="eastAsia"/>
                      <w:szCs w:val="21"/>
                    </w:rPr>
                    <w:t>0.0008</w:t>
                  </w:r>
                </w:p>
              </w:tc>
              <w:tc>
                <w:tcPr>
                  <w:tcW w:w="460" w:type="pct"/>
                  <w:noWrap w:val="0"/>
                  <w:vAlign w:val="center"/>
                </w:tcPr>
                <w:p w14:paraId="53A76926">
                  <w:pPr>
                    <w:jc w:val="center"/>
                    <w:rPr>
                      <w:szCs w:val="21"/>
                    </w:rPr>
                  </w:pPr>
                  <w:r>
                    <w:rPr>
                      <w:rFonts w:hint="eastAsia"/>
                      <w:szCs w:val="21"/>
                    </w:rPr>
                    <w:t>0.0026</w:t>
                  </w:r>
                </w:p>
              </w:tc>
            </w:tr>
          </w:tbl>
          <w:p w14:paraId="1C352B84">
            <w:pPr>
              <w:spacing w:line="360" w:lineRule="auto"/>
              <w:ind w:firstLine="482" w:firstLineChars="200"/>
              <w:rPr>
                <w:rFonts w:hint="eastAsia"/>
                <w:b/>
                <w:bCs/>
                <w:sz w:val="24"/>
              </w:rPr>
            </w:pPr>
          </w:p>
          <w:p w14:paraId="16BA4ACD">
            <w:pPr>
              <w:spacing w:line="360" w:lineRule="auto"/>
              <w:ind w:firstLine="480" w:firstLineChars="200"/>
              <w:rPr>
                <w:rFonts w:hint="eastAsia" w:eastAsia="宋体"/>
                <w:sz w:val="24"/>
                <w:lang w:eastAsia="zh-CN" w:bidi="ar"/>
              </w:rPr>
            </w:pPr>
            <w:r>
              <w:rPr>
                <w:rFonts w:hint="eastAsia"/>
                <w:sz w:val="24"/>
              </w:rPr>
              <w:t>（</w:t>
            </w:r>
            <w:r>
              <w:rPr>
                <w:rFonts w:hint="eastAsia"/>
                <w:sz w:val="24"/>
                <w:lang w:val="en-US" w:eastAsia="zh-CN"/>
              </w:rPr>
              <w:t>2</w:t>
            </w:r>
            <w:r>
              <w:rPr>
                <w:rFonts w:hint="eastAsia"/>
                <w:sz w:val="24"/>
              </w:rPr>
              <w:t>）</w:t>
            </w:r>
            <w:r>
              <w:rPr>
                <w:rFonts w:hint="eastAsia"/>
                <w:sz w:val="24"/>
                <w:lang w:eastAsia="zh-CN"/>
              </w:rPr>
              <w:t>有机废气</w:t>
            </w:r>
          </w:p>
          <w:p w14:paraId="0AECEBEC">
            <w:pPr>
              <w:spacing w:line="360" w:lineRule="auto"/>
              <w:ind w:firstLine="480" w:firstLineChars="200"/>
              <w:rPr>
                <w:rFonts w:hint="default" w:eastAsia="宋体"/>
                <w:sz w:val="24"/>
                <w:highlight w:val="none"/>
                <w:lang w:val="en-US" w:eastAsia="zh-CN"/>
              </w:rPr>
            </w:pPr>
            <w:r>
              <w:rPr>
                <w:rFonts w:hint="eastAsia"/>
                <w:sz w:val="24"/>
                <w:highlight w:val="none"/>
                <w:lang w:eastAsia="zh-CN"/>
              </w:rPr>
              <w:t>项目有机废气主要包括投料废气</w:t>
            </w:r>
            <w:r>
              <w:rPr>
                <w:rFonts w:hint="eastAsia"/>
                <w:sz w:val="24"/>
                <w:highlight w:val="none"/>
              </w:rPr>
              <w:t>G1</w:t>
            </w:r>
            <w:r>
              <w:rPr>
                <w:rFonts w:hint="eastAsia"/>
                <w:sz w:val="24"/>
                <w:highlight w:val="none"/>
                <w:lang w:eastAsia="zh-CN"/>
              </w:rPr>
              <w:t>、出料废气</w:t>
            </w:r>
            <w:r>
              <w:rPr>
                <w:rFonts w:hint="eastAsia"/>
                <w:sz w:val="24"/>
                <w:highlight w:val="none"/>
                <w:lang w:val="en-US" w:eastAsia="zh-CN"/>
              </w:rPr>
              <w:t>G2、</w:t>
            </w:r>
            <w:r>
              <w:rPr>
                <w:rFonts w:hint="eastAsia"/>
                <w:sz w:val="24"/>
              </w:rPr>
              <w:t>喷漆及烘干实验废气G</w:t>
            </w:r>
            <w:r>
              <w:rPr>
                <w:rFonts w:hint="eastAsia"/>
                <w:sz w:val="24"/>
                <w:lang w:val="en-US" w:eastAsia="zh-CN"/>
              </w:rPr>
              <w:t>4</w:t>
            </w:r>
          </w:p>
          <w:p w14:paraId="59A66567">
            <w:pPr>
              <w:spacing w:line="360" w:lineRule="auto"/>
              <w:ind w:firstLine="480" w:firstLineChars="200"/>
              <w:rPr>
                <w:rFonts w:hint="eastAsia"/>
                <w:i/>
                <w:iCs/>
                <w:sz w:val="24"/>
                <w:u w:val="single"/>
              </w:rPr>
            </w:pPr>
            <w:r>
              <w:rPr>
                <w:rFonts w:hint="eastAsia"/>
                <w:sz w:val="24"/>
                <w:highlight w:val="none"/>
                <w:lang w:eastAsia="zh-CN"/>
              </w:rPr>
              <w:t>制备实验在投料和出料过程中会有少部分挥发性有机物产生，喷涂实验在</w:t>
            </w:r>
            <w:r>
              <w:rPr>
                <w:rFonts w:hint="eastAsia"/>
                <w:sz w:val="24"/>
              </w:rPr>
              <w:t>喷漆及烘干</w:t>
            </w:r>
            <w:r>
              <w:rPr>
                <w:rFonts w:hint="eastAsia"/>
                <w:sz w:val="24"/>
                <w:lang w:eastAsia="zh-CN"/>
              </w:rPr>
              <w:t>过程会有挥发性有机物产生，有机废气</w:t>
            </w:r>
            <w:r>
              <w:rPr>
                <w:rFonts w:hint="eastAsia"/>
                <w:sz w:val="24"/>
                <w:lang w:bidi="ar"/>
              </w:rPr>
              <w:t>主要成分为NMHC及甲苯</w:t>
            </w:r>
            <w:r>
              <w:rPr>
                <w:rFonts w:hint="eastAsia"/>
                <w:sz w:val="24"/>
                <w:lang w:eastAsia="zh-CN" w:bidi="ar"/>
              </w:rPr>
              <w:t>，</w:t>
            </w:r>
            <w:r>
              <w:rPr>
                <w:rFonts w:hint="eastAsia" w:ascii="宋体" w:hAnsi="宋体" w:cs="宋体"/>
                <w:sz w:val="24"/>
                <w:lang w:bidi="ar"/>
              </w:rPr>
              <w:t>本项目按最不利条件，实验漆料</w:t>
            </w:r>
            <w:r>
              <w:rPr>
                <w:rFonts w:hint="eastAsia" w:ascii="宋体" w:hAnsi="宋体" w:cs="宋体"/>
                <w:sz w:val="24"/>
                <w:lang w:eastAsia="zh-CN" w:bidi="ar"/>
              </w:rPr>
              <w:t>在制备实验及喷涂实验中</w:t>
            </w:r>
            <w:r>
              <w:rPr>
                <w:sz w:val="24"/>
                <w:lang w:bidi="ar"/>
              </w:rPr>
              <w:t>全部挥发</w:t>
            </w:r>
            <w:r>
              <w:rPr>
                <w:i/>
                <w:iCs/>
                <w:sz w:val="24"/>
                <w:u w:val="single"/>
                <w:lang w:bidi="ar"/>
              </w:rPr>
              <w:t>，</w:t>
            </w:r>
            <w:r>
              <w:rPr>
                <w:rFonts w:hint="eastAsia" w:ascii="宋体" w:hAnsi="宋体" w:cs="宋体"/>
                <w:i/>
                <w:iCs/>
                <w:sz w:val="24"/>
                <w:u w:val="single"/>
                <w:lang w:bidi="ar"/>
              </w:rPr>
              <w:t>根据</w:t>
            </w:r>
            <w:r>
              <w:rPr>
                <w:rFonts w:hint="eastAsia" w:ascii="宋体" w:hAnsi="宋体" w:cs="宋体"/>
                <w:i/>
                <w:iCs/>
                <w:sz w:val="24"/>
                <w:u w:val="single"/>
                <w:lang w:eastAsia="zh-CN" w:bidi="ar"/>
              </w:rPr>
              <w:t>前文实验原辅料可知</w:t>
            </w:r>
            <w:r>
              <w:rPr>
                <w:rFonts w:hint="eastAsia" w:ascii="宋体" w:hAnsi="宋体" w:cs="宋体"/>
                <w:i/>
                <w:iCs/>
                <w:sz w:val="24"/>
                <w:u w:val="single"/>
                <w:lang w:bidi="ar"/>
              </w:rPr>
              <w:t>，</w:t>
            </w:r>
            <w:r>
              <w:rPr>
                <w:rFonts w:hint="eastAsia" w:ascii="宋体" w:hAnsi="宋体" w:cs="宋体"/>
                <w:i/>
                <w:iCs/>
                <w:sz w:val="24"/>
                <w:u w:val="single"/>
                <w:lang w:eastAsia="zh-CN" w:bidi="ar"/>
              </w:rPr>
              <w:t>仅混合溶剂具有挥发性，</w:t>
            </w:r>
            <w:r>
              <w:rPr>
                <w:i/>
                <w:iCs/>
                <w:sz w:val="24"/>
                <w:u w:val="single"/>
                <w:lang w:bidi="ar"/>
              </w:rPr>
              <w:t>NMHC</w:t>
            </w:r>
            <w:r>
              <w:rPr>
                <w:rFonts w:hint="eastAsia" w:ascii="宋体" w:hAnsi="宋体" w:cs="宋体"/>
                <w:i/>
                <w:iCs/>
                <w:sz w:val="24"/>
                <w:u w:val="single"/>
                <w:lang w:bidi="ar"/>
              </w:rPr>
              <w:t>的含量为</w:t>
            </w:r>
            <w:r>
              <w:rPr>
                <w:rFonts w:hint="eastAsia"/>
                <w:sz w:val="24"/>
                <w:lang w:bidi="ar"/>
              </w:rPr>
              <w:t>1.4</w:t>
            </w:r>
            <w:r>
              <w:rPr>
                <w:rFonts w:hint="eastAsia"/>
                <w:sz w:val="24"/>
                <w:lang w:val="en-US" w:eastAsia="zh-CN" w:bidi="ar"/>
              </w:rPr>
              <w:t>8</w:t>
            </w:r>
            <w:r>
              <w:rPr>
                <w:sz w:val="24"/>
                <w:lang w:bidi="ar"/>
              </w:rPr>
              <w:t>t/a</w:t>
            </w:r>
            <w:r>
              <w:rPr>
                <w:rFonts w:hint="eastAsia"/>
                <w:sz w:val="24"/>
                <w:lang w:bidi="ar"/>
              </w:rPr>
              <w:t>，</w:t>
            </w:r>
            <w:r>
              <w:rPr>
                <w:rFonts w:hint="eastAsia"/>
                <w:i/>
                <w:iCs/>
                <w:sz w:val="24"/>
                <w:u w:val="single"/>
                <w:lang w:bidi="ar"/>
              </w:rPr>
              <w:t>其中含</w:t>
            </w:r>
            <w:r>
              <w:rPr>
                <w:rFonts w:hint="eastAsia" w:ascii="宋体" w:hAnsi="宋体" w:cs="宋体"/>
                <w:i/>
                <w:iCs/>
                <w:sz w:val="24"/>
                <w:u w:val="single"/>
                <w:lang w:bidi="ar"/>
              </w:rPr>
              <w:t>甲苯为</w:t>
            </w:r>
            <w:r>
              <w:rPr>
                <w:rFonts w:hint="eastAsia"/>
                <w:i/>
                <w:iCs/>
                <w:sz w:val="24"/>
                <w:u w:val="single"/>
                <w:lang w:bidi="ar"/>
              </w:rPr>
              <w:t>0.</w:t>
            </w:r>
            <w:r>
              <w:rPr>
                <w:rFonts w:hint="eastAsia"/>
                <w:i/>
                <w:iCs/>
                <w:sz w:val="24"/>
                <w:u w:val="single"/>
                <w:lang w:val="en-US" w:eastAsia="zh-CN" w:bidi="ar"/>
              </w:rPr>
              <w:t>4</w:t>
            </w:r>
            <w:r>
              <w:rPr>
                <w:i/>
                <w:iCs/>
                <w:sz w:val="24"/>
                <w:u w:val="single"/>
                <w:lang w:bidi="ar"/>
              </w:rPr>
              <w:t>t/a</w:t>
            </w:r>
            <w:r>
              <w:rPr>
                <w:rFonts w:hint="eastAsia" w:ascii="宋体" w:hAnsi="宋体" w:cs="宋体"/>
                <w:i/>
                <w:iCs/>
                <w:sz w:val="24"/>
                <w:u w:val="single"/>
                <w:lang w:bidi="ar"/>
              </w:rPr>
              <w:t>。</w:t>
            </w:r>
            <w:r>
              <w:rPr>
                <w:i/>
                <w:iCs/>
                <w:sz w:val="24"/>
                <w:u w:val="single"/>
                <w:lang w:bidi="ar"/>
              </w:rPr>
              <w:t>废气收集效率按90%计，则</w:t>
            </w:r>
            <w:r>
              <w:rPr>
                <w:rFonts w:hint="eastAsia"/>
                <w:i/>
                <w:iCs/>
                <w:sz w:val="24"/>
                <w:u w:val="single"/>
                <w:lang w:bidi="ar"/>
              </w:rPr>
              <w:t>NMHC</w:t>
            </w:r>
            <w:r>
              <w:rPr>
                <w:i/>
                <w:iCs/>
                <w:sz w:val="24"/>
                <w:u w:val="single"/>
                <w:lang w:bidi="ar"/>
              </w:rPr>
              <w:t>有组织产生量</w:t>
            </w:r>
            <w:r>
              <w:rPr>
                <w:i/>
                <w:iCs/>
                <w:sz w:val="24"/>
                <w:highlight w:val="none"/>
                <w:u w:val="single"/>
                <w:lang w:bidi="ar"/>
              </w:rPr>
              <w:t>为</w:t>
            </w:r>
            <w:r>
              <w:rPr>
                <w:rFonts w:hint="eastAsia"/>
                <w:i/>
                <w:iCs/>
                <w:sz w:val="24"/>
                <w:highlight w:val="none"/>
                <w:u w:val="single"/>
                <w:lang w:val="en-US" w:eastAsia="zh-CN" w:bidi="ar"/>
              </w:rPr>
              <w:t>1.332</w:t>
            </w:r>
            <w:r>
              <w:rPr>
                <w:i/>
                <w:iCs/>
                <w:sz w:val="24"/>
                <w:highlight w:val="none"/>
                <w:u w:val="single"/>
                <w:lang w:bidi="ar"/>
              </w:rPr>
              <w:t>t/a</w:t>
            </w:r>
            <w:r>
              <w:rPr>
                <w:i/>
                <w:iCs/>
                <w:sz w:val="24"/>
                <w:highlight w:val="none"/>
                <w:u w:val="single"/>
              </w:rPr>
              <w:t>，</w:t>
            </w:r>
            <w:r>
              <w:rPr>
                <w:rFonts w:hint="eastAsia"/>
                <w:i/>
                <w:iCs/>
                <w:sz w:val="24"/>
                <w:highlight w:val="none"/>
                <w:u w:val="single"/>
                <w:lang w:bidi="ar"/>
              </w:rPr>
              <w:t>喷涂及烘干实验</w:t>
            </w:r>
            <w:r>
              <w:rPr>
                <w:i/>
                <w:iCs/>
                <w:sz w:val="24"/>
                <w:highlight w:val="none"/>
                <w:u w:val="single"/>
                <w:lang w:bidi="ar"/>
              </w:rPr>
              <w:t>时间为</w:t>
            </w:r>
            <w:r>
              <w:rPr>
                <w:rFonts w:hint="eastAsia"/>
                <w:i/>
                <w:iCs/>
                <w:sz w:val="24"/>
                <w:highlight w:val="none"/>
                <w:u w:val="single"/>
                <w:lang w:val="en-US" w:eastAsia="zh-CN" w:bidi="ar"/>
              </w:rPr>
              <w:t>600</w:t>
            </w:r>
            <w:r>
              <w:rPr>
                <w:i/>
                <w:iCs/>
                <w:sz w:val="24"/>
                <w:highlight w:val="none"/>
                <w:u w:val="single"/>
                <w:lang w:bidi="ar"/>
              </w:rPr>
              <w:t>h</w:t>
            </w:r>
            <w:r>
              <w:rPr>
                <w:rFonts w:hint="eastAsia"/>
                <w:i/>
                <w:iCs/>
                <w:sz w:val="24"/>
                <w:highlight w:val="none"/>
                <w:u w:val="single"/>
                <w:lang w:bidi="ar"/>
              </w:rPr>
              <w:t>/a，</w:t>
            </w:r>
            <w:r>
              <w:rPr>
                <w:i/>
                <w:iCs/>
                <w:sz w:val="24"/>
                <w:highlight w:val="none"/>
                <w:u w:val="single"/>
                <w:lang w:bidi="ar"/>
              </w:rPr>
              <w:t>风机风量5000m</w:t>
            </w:r>
            <w:r>
              <w:rPr>
                <w:i/>
                <w:iCs/>
                <w:sz w:val="24"/>
                <w:highlight w:val="none"/>
                <w:u w:val="single"/>
                <w:vertAlign w:val="superscript"/>
                <w:lang w:bidi="ar"/>
              </w:rPr>
              <w:t>3</w:t>
            </w:r>
            <w:r>
              <w:rPr>
                <w:i/>
                <w:iCs/>
                <w:sz w:val="24"/>
                <w:highlight w:val="none"/>
                <w:u w:val="single"/>
                <w:lang w:bidi="ar"/>
              </w:rPr>
              <w:t>/h，</w:t>
            </w:r>
            <w:r>
              <w:rPr>
                <w:i/>
                <w:iCs/>
                <w:sz w:val="24"/>
                <w:highlight w:val="none"/>
                <w:u w:val="single"/>
              </w:rPr>
              <w:t>产生速率为</w:t>
            </w:r>
            <w:r>
              <w:rPr>
                <w:rFonts w:hint="eastAsia"/>
                <w:i/>
                <w:iCs/>
                <w:sz w:val="24"/>
                <w:highlight w:val="none"/>
                <w:u w:val="single"/>
                <w:lang w:val="en-US" w:eastAsia="zh-CN"/>
              </w:rPr>
              <w:t>2.22</w:t>
            </w:r>
            <w:r>
              <w:rPr>
                <w:i/>
                <w:iCs/>
                <w:sz w:val="24"/>
                <w:highlight w:val="none"/>
                <w:u w:val="single"/>
              </w:rPr>
              <w:t>kg/h</w:t>
            </w:r>
            <w:r>
              <w:rPr>
                <w:rFonts w:hint="eastAsia"/>
                <w:i/>
                <w:iCs/>
                <w:sz w:val="24"/>
                <w:highlight w:val="none"/>
                <w:u w:val="single"/>
                <w:lang w:eastAsia="zh-CN"/>
              </w:rPr>
              <w:t>，</w:t>
            </w:r>
            <w:r>
              <w:rPr>
                <w:rFonts w:hint="eastAsia"/>
                <w:i/>
                <w:iCs/>
                <w:sz w:val="24"/>
                <w:highlight w:val="none"/>
                <w:u w:val="single"/>
                <w:lang w:eastAsia="zh-CN" w:bidi="ar"/>
              </w:rPr>
              <w:t>产生浓度为</w:t>
            </w:r>
            <w:r>
              <w:rPr>
                <w:rFonts w:hint="eastAsia"/>
                <w:i/>
                <w:iCs/>
                <w:sz w:val="24"/>
                <w:highlight w:val="none"/>
                <w:u w:val="single"/>
                <w:lang w:val="en-US" w:eastAsia="zh-CN" w:bidi="ar"/>
              </w:rPr>
              <w:t>444mg/m</w:t>
            </w:r>
            <w:r>
              <w:rPr>
                <w:rFonts w:hint="eastAsia"/>
                <w:i/>
                <w:iCs/>
                <w:sz w:val="24"/>
                <w:highlight w:val="none"/>
                <w:u w:val="single"/>
                <w:vertAlign w:val="superscript"/>
                <w:lang w:val="en-US" w:eastAsia="zh-CN" w:bidi="ar"/>
              </w:rPr>
              <w:t>3</w:t>
            </w:r>
            <w:r>
              <w:rPr>
                <w:i/>
                <w:iCs/>
                <w:sz w:val="24"/>
                <w:highlight w:val="none"/>
                <w:u w:val="single"/>
                <w:lang w:bidi="ar"/>
              </w:rPr>
              <w:t>。</w:t>
            </w:r>
            <w:r>
              <w:rPr>
                <w:rFonts w:hint="eastAsia"/>
                <w:i/>
                <w:iCs/>
                <w:sz w:val="24"/>
                <w:highlight w:val="none"/>
                <w:u w:val="single"/>
              </w:rPr>
              <w:t>甲苯</w:t>
            </w:r>
            <w:r>
              <w:rPr>
                <w:i/>
                <w:iCs/>
                <w:sz w:val="24"/>
                <w:highlight w:val="none"/>
                <w:u w:val="single"/>
                <w:lang w:bidi="ar"/>
              </w:rPr>
              <w:t>有组织产生量为</w:t>
            </w:r>
            <w:r>
              <w:rPr>
                <w:rFonts w:hint="eastAsia"/>
                <w:i/>
                <w:iCs/>
                <w:sz w:val="24"/>
                <w:highlight w:val="none"/>
                <w:u w:val="single"/>
                <w:lang w:bidi="ar"/>
              </w:rPr>
              <w:t>0.3</w:t>
            </w:r>
            <w:r>
              <w:rPr>
                <w:rFonts w:hint="eastAsia"/>
                <w:i/>
                <w:iCs/>
                <w:sz w:val="24"/>
                <w:highlight w:val="none"/>
                <w:u w:val="single"/>
                <w:lang w:val="en-US" w:eastAsia="zh-CN" w:bidi="ar"/>
              </w:rPr>
              <w:t>6</w:t>
            </w:r>
            <w:r>
              <w:rPr>
                <w:i/>
                <w:iCs/>
                <w:sz w:val="24"/>
                <w:highlight w:val="none"/>
                <w:u w:val="single"/>
                <w:lang w:bidi="ar"/>
              </w:rPr>
              <w:t>t/a</w:t>
            </w:r>
            <w:r>
              <w:rPr>
                <w:i/>
                <w:iCs/>
                <w:sz w:val="24"/>
                <w:highlight w:val="none"/>
                <w:u w:val="single"/>
              </w:rPr>
              <w:t>，产生速率为</w:t>
            </w:r>
            <w:r>
              <w:rPr>
                <w:rFonts w:hint="eastAsia"/>
                <w:i/>
                <w:iCs/>
                <w:sz w:val="24"/>
                <w:highlight w:val="none"/>
                <w:u w:val="single"/>
                <w:lang w:val="en-US" w:eastAsia="zh-CN"/>
              </w:rPr>
              <w:t>0.6</w:t>
            </w:r>
            <w:r>
              <w:rPr>
                <w:i/>
                <w:iCs/>
                <w:sz w:val="24"/>
                <w:highlight w:val="none"/>
                <w:u w:val="single"/>
              </w:rPr>
              <w:t>kg/h</w:t>
            </w:r>
            <w:r>
              <w:rPr>
                <w:rFonts w:hint="eastAsia"/>
                <w:i/>
                <w:iCs/>
                <w:sz w:val="24"/>
                <w:highlight w:val="none"/>
                <w:u w:val="single"/>
                <w:lang w:eastAsia="zh-CN"/>
              </w:rPr>
              <w:t>，</w:t>
            </w:r>
            <w:r>
              <w:rPr>
                <w:rFonts w:hint="eastAsia"/>
                <w:i/>
                <w:iCs/>
                <w:sz w:val="24"/>
                <w:highlight w:val="none"/>
                <w:u w:val="single"/>
                <w:lang w:eastAsia="zh-CN" w:bidi="ar"/>
              </w:rPr>
              <w:t>产生浓度为</w:t>
            </w:r>
            <w:r>
              <w:rPr>
                <w:rFonts w:hint="eastAsia"/>
                <w:i/>
                <w:iCs/>
                <w:sz w:val="24"/>
                <w:highlight w:val="none"/>
                <w:u w:val="single"/>
                <w:lang w:val="en-US" w:eastAsia="zh-CN" w:bidi="ar"/>
              </w:rPr>
              <w:t>120mg/m</w:t>
            </w:r>
            <w:r>
              <w:rPr>
                <w:rFonts w:hint="eastAsia"/>
                <w:i/>
                <w:iCs/>
                <w:sz w:val="24"/>
                <w:highlight w:val="none"/>
                <w:u w:val="single"/>
                <w:vertAlign w:val="superscript"/>
                <w:lang w:val="en-US" w:eastAsia="zh-CN" w:bidi="ar"/>
              </w:rPr>
              <w:t>3</w:t>
            </w:r>
            <w:r>
              <w:rPr>
                <w:i/>
                <w:iCs/>
                <w:sz w:val="24"/>
                <w:highlight w:val="none"/>
                <w:u w:val="single"/>
                <w:lang w:bidi="ar"/>
              </w:rPr>
              <w:t>。</w:t>
            </w:r>
            <w:r>
              <w:rPr>
                <w:rFonts w:hint="eastAsia" w:ascii="宋体" w:hAnsi="宋体" w:cs="宋体"/>
                <w:i/>
                <w:iCs/>
                <w:sz w:val="24"/>
                <w:highlight w:val="none"/>
                <w:u w:val="single"/>
                <w:lang w:bidi="ar"/>
              </w:rPr>
              <w:t>未收集的</w:t>
            </w:r>
            <w:r>
              <w:rPr>
                <w:i/>
                <w:iCs/>
                <w:sz w:val="24"/>
                <w:highlight w:val="none"/>
                <w:u w:val="single"/>
                <w:lang w:bidi="ar"/>
              </w:rPr>
              <w:t>NMHC</w:t>
            </w:r>
            <w:r>
              <w:rPr>
                <w:rFonts w:hint="eastAsia" w:ascii="宋体" w:hAnsi="宋体" w:cs="宋体"/>
                <w:i/>
                <w:iCs/>
                <w:sz w:val="24"/>
                <w:highlight w:val="none"/>
                <w:u w:val="single"/>
                <w:lang w:bidi="ar"/>
              </w:rPr>
              <w:t>量为</w:t>
            </w:r>
            <w:r>
              <w:rPr>
                <w:rFonts w:hint="eastAsia"/>
                <w:i/>
                <w:iCs/>
                <w:sz w:val="24"/>
                <w:highlight w:val="none"/>
                <w:u w:val="single"/>
                <w:lang w:bidi="ar"/>
              </w:rPr>
              <w:t>0.14</w:t>
            </w:r>
            <w:r>
              <w:rPr>
                <w:rFonts w:hint="eastAsia"/>
                <w:i/>
                <w:iCs/>
                <w:sz w:val="24"/>
                <w:highlight w:val="none"/>
                <w:u w:val="single"/>
                <w:lang w:val="en-US" w:eastAsia="zh-CN" w:bidi="ar"/>
              </w:rPr>
              <w:t>8</w:t>
            </w:r>
            <w:r>
              <w:rPr>
                <w:i/>
                <w:iCs/>
                <w:sz w:val="24"/>
                <w:highlight w:val="none"/>
                <w:u w:val="single"/>
                <w:lang w:bidi="ar"/>
              </w:rPr>
              <w:t>t/a</w:t>
            </w:r>
            <w:r>
              <w:rPr>
                <w:rFonts w:hint="eastAsia" w:ascii="宋体" w:hAnsi="宋体" w:cs="宋体"/>
                <w:i/>
                <w:iCs/>
                <w:sz w:val="24"/>
                <w:highlight w:val="none"/>
                <w:u w:val="single"/>
                <w:lang w:bidi="ar"/>
              </w:rPr>
              <w:t>，速率为</w:t>
            </w:r>
            <w:r>
              <w:rPr>
                <w:rFonts w:hint="eastAsia"/>
                <w:i/>
                <w:iCs/>
                <w:sz w:val="24"/>
                <w:highlight w:val="none"/>
                <w:u w:val="single"/>
                <w:lang w:bidi="ar"/>
              </w:rPr>
              <w:t>0.</w:t>
            </w:r>
            <w:r>
              <w:rPr>
                <w:rFonts w:hint="eastAsia"/>
                <w:i/>
                <w:iCs/>
                <w:sz w:val="24"/>
                <w:highlight w:val="none"/>
                <w:u w:val="single"/>
                <w:lang w:val="en-US" w:eastAsia="zh-CN" w:bidi="ar"/>
              </w:rPr>
              <w:t>247</w:t>
            </w:r>
            <w:r>
              <w:rPr>
                <w:i/>
                <w:iCs/>
                <w:sz w:val="24"/>
                <w:highlight w:val="none"/>
                <w:u w:val="single"/>
                <w:lang w:bidi="ar"/>
              </w:rPr>
              <w:t>kg/h</w:t>
            </w:r>
            <w:r>
              <w:rPr>
                <w:rFonts w:hint="eastAsia" w:ascii="宋体" w:hAnsi="宋体" w:cs="宋体"/>
                <w:i/>
                <w:iCs/>
                <w:sz w:val="24"/>
                <w:highlight w:val="none"/>
                <w:u w:val="single"/>
                <w:lang w:bidi="ar"/>
              </w:rPr>
              <w:t>；二甲苯量为</w:t>
            </w:r>
            <w:r>
              <w:rPr>
                <w:rFonts w:hint="eastAsia"/>
                <w:i/>
                <w:iCs/>
                <w:sz w:val="24"/>
                <w:highlight w:val="none"/>
                <w:u w:val="single"/>
                <w:lang w:bidi="ar"/>
              </w:rPr>
              <w:t>0.0</w:t>
            </w:r>
            <w:r>
              <w:rPr>
                <w:rFonts w:hint="eastAsia"/>
                <w:i/>
                <w:iCs/>
                <w:sz w:val="24"/>
                <w:highlight w:val="none"/>
                <w:u w:val="single"/>
                <w:lang w:val="en-US" w:eastAsia="zh-CN" w:bidi="ar"/>
              </w:rPr>
              <w:t>4</w:t>
            </w:r>
            <w:r>
              <w:rPr>
                <w:i/>
                <w:iCs/>
                <w:sz w:val="24"/>
                <w:highlight w:val="none"/>
                <w:u w:val="single"/>
                <w:lang w:bidi="ar"/>
              </w:rPr>
              <w:t>/a</w:t>
            </w:r>
            <w:r>
              <w:rPr>
                <w:rFonts w:hint="eastAsia" w:ascii="宋体" w:hAnsi="宋体" w:cs="宋体"/>
                <w:i/>
                <w:iCs/>
                <w:sz w:val="24"/>
                <w:highlight w:val="none"/>
                <w:u w:val="single"/>
                <w:lang w:bidi="ar"/>
              </w:rPr>
              <w:t>，速率为</w:t>
            </w:r>
            <w:r>
              <w:rPr>
                <w:rFonts w:hint="eastAsia"/>
                <w:i/>
                <w:iCs/>
                <w:sz w:val="24"/>
                <w:highlight w:val="none"/>
                <w:u w:val="single"/>
                <w:lang w:bidi="ar"/>
              </w:rPr>
              <w:t>0.</w:t>
            </w:r>
            <w:r>
              <w:rPr>
                <w:rFonts w:hint="eastAsia"/>
                <w:i/>
                <w:iCs/>
                <w:sz w:val="24"/>
                <w:highlight w:val="none"/>
                <w:u w:val="single"/>
                <w:lang w:val="en-US" w:eastAsia="zh-CN" w:bidi="ar"/>
              </w:rPr>
              <w:t>067</w:t>
            </w:r>
            <w:r>
              <w:rPr>
                <w:i/>
                <w:iCs/>
                <w:sz w:val="24"/>
                <w:highlight w:val="none"/>
                <w:u w:val="single"/>
                <w:lang w:bidi="ar"/>
              </w:rPr>
              <w:t>kg/h</w:t>
            </w:r>
            <w:r>
              <w:rPr>
                <w:rFonts w:hint="eastAsia" w:ascii="宋体" w:hAnsi="宋体" w:cs="宋体"/>
                <w:i/>
                <w:iCs/>
                <w:sz w:val="24"/>
                <w:highlight w:val="none"/>
                <w:u w:val="single"/>
                <w:lang w:bidi="ar"/>
              </w:rPr>
              <w:t>。实验漆料固体份</w:t>
            </w:r>
            <w:r>
              <w:rPr>
                <w:rFonts w:hint="eastAsia" w:ascii="宋体" w:hAnsi="宋体" w:cs="宋体"/>
                <w:i/>
                <w:iCs/>
                <w:sz w:val="24"/>
                <w:highlight w:val="none"/>
                <w:u w:val="single"/>
                <w:lang w:eastAsia="zh-CN" w:bidi="ar"/>
              </w:rPr>
              <w:t>含</w:t>
            </w:r>
            <w:r>
              <w:rPr>
                <w:rFonts w:hint="eastAsia" w:ascii="宋体" w:hAnsi="宋体" w:cs="宋体"/>
                <w:i/>
                <w:iCs/>
                <w:sz w:val="24"/>
                <w:highlight w:val="none"/>
                <w:u w:val="single"/>
                <w:lang w:bidi="ar"/>
              </w:rPr>
              <w:t>量为</w:t>
            </w:r>
            <w:r>
              <w:rPr>
                <w:rFonts w:hint="eastAsia"/>
                <w:i/>
                <w:iCs/>
                <w:sz w:val="24"/>
                <w:highlight w:val="none"/>
                <w:u w:val="single"/>
                <w:lang w:val="en-US" w:eastAsia="zh-CN" w:bidi="ar"/>
              </w:rPr>
              <w:t>0.52</w:t>
            </w:r>
            <w:r>
              <w:rPr>
                <w:i/>
                <w:iCs/>
                <w:sz w:val="24"/>
                <w:highlight w:val="none"/>
                <w:u w:val="single"/>
                <w:lang w:bidi="ar"/>
              </w:rPr>
              <w:t>t/a</w:t>
            </w:r>
            <w:r>
              <w:rPr>
                <w:rFonts w:hint="eastAsia" w:ascii="宋体" w:hAnsi="宋体" w:cs="宋体"/>
                <w:i/>
                <w:iCs/>
                <w:sz w:val="24"/>
                <w:highlight w:val="none"/>
                <w:u w:val="single"/>
                <w:lang w:bidi="ar"/>
              </w:rPr>
              <w:t>，固体份附着</w:t>
            </w:r>
            <w:r>
              <w:rPr>
                <w:rFonts w:hint="eastAsia" w:ascii="宋体" w:hAnsi="宋体" w:cs="宋体"/>
                <w:i/>
                <w:iCs/>
                <w:sz w:val="24"/>
                <w:highlight w:val="none"/>
                <w:u w:val="single"/>
                <w:lang w:eastAsia="zh-CN" w:bidi="ar"/>
              </w:rPr>
              <w:t>效率按</w:t>
            </w:r>
            <w:r>
              <w:rPr>
                <w:rFonts w:hint="default" w:ascii="Times New Roman" w:hAnsi="Times New Roman" w:cs="Times New Roman"/>
                <w:i/>
                <w:iCs/>
                <w:sz w:val="24"/>
                <w:highlight w:val="none"/>
                <w:u w:val="single"/>
                <w:lang w:val="en-US" w:eastAsia="zh-CN" w:bidi="ar"/>
              </w:rPr>
              <w:t>70%</w:t>
            </w:r>
            <w:r>
              <w:rPr>
                <w:rFonts w:hint="eastAsia" w:ascii="宋体" w:hAnsi="宋体" w:cs="宋体"/>
                <w:i/>
                <w:iCs/>
                <w:sz w:val="24"/>
                <w:highlight w:val="none"/>
                <w:u w:val="single"/>
                <w:lang w:val="en-US" w:eastAsia="zh-CN" w:bidi="ar"/>
              </w:rPr>
              <w:t>计算，则附着</w:t>
            </w:r>
            <w:r>
              <w:rPr>
                <w:rFonts w:hint="eastAsia" w:ascii="宋体" w:hAnsi="宋体" w:cs="宋体"/>
                <w:i/>
                <w:iCs/>
                <w:sz w:val="24"/>
                <w:highlight w:val="none"/>
                <w:u w:val="single"/>
                <w:lang w:bidi="ar"/>
              </w:rPr>
              <w:t>量为</w:t>
            </w:r>
            <w:r>
              <w:rPr>
                <w:rFonts w:hint="eastAsia"/>
                <w:i/>
                <w:iCs/>
                <w:sz w:val="24"/>
                <w:highlight w:val="none"/>
                <w:u w:val="single"/>
                <w:lang w:val="en-US" w:eastAsia="zh-CN" w:bidi="ar"/>
              </w:rPr>
              <w:t>0.364</w:t>
            </w:r>
            <w:r>
              <w:rPr>
                <w:i/>
                <w:iCs/>
                <w:sz w:val="24"/>
                <w:highlight w:val="none"/>
                <w:u w:val="single"/>
                <w:lang w:bidi="ar"/>
              </w:rPr>
              <w:t>t/a</w:t>
            </w:r>
            <w:r>
              <w:rPr>
                <w:rFonts w:hint="eastAsia" w:ascii="宋体" w:hAnsi="宋体" w:cs="宋体"/>
                <w:i/>
                <w:iCs/>
                <w:sz w:val="24"/>
                <w:highlight w:val="none"/>
                <w:u w:val="single"/>
                <w:lang w:eastAsia="zh-CN" w:bidi="ar"/>
              </w:rPr>
              <w:t>，</w:t>
            </w:r>
            <w:r>
              <w:rPr>
                <w:rFonts w:hint="eastAsia" w:ascii="宋体" w:hAnsi="宋体" w:cs="宋体"/>
                <w:i/>
                <w:iCs/>
                <w:sz w:val="24"/>
                <w:highlight w:val="none"/>
                <w:u w:val="single"/>
                <w:lang w:bidi="ar"/>
              </w:rPr>
              <w:t>漆雾产生量</w:t>
            </w:r>
            <w:r>
              <w:rPr>
                <w:i/>
                <w:iCs/>
                <w:sz w:val="24"/>
                <w:highlight w:val="none"/>
                <w:u w:val="single"/>
                <w:lang w:bidi="ar"/>
              </w:rPr>
              <w:t>为0.</w:t>
            </w:r>
            <w:r>
              <w:rPr>
                <w:rFonts w:hint="eastAsia"/>
                <w:i/>
                <w:iCs/>
                <w:sz w:val="24"/>
                <w:highlight w:val="none"/>
                <w:u w:val="single"/>
                <w:lang w:val="en-US" w:eastAsia="zh-CN" w:bidi="ar"/>
              </w:rPr>
              <w:t>156</w:t>
            </w:r>
            <w:r>
              <w:rPr>
                <w:i/>
                <w:iCs/>
                <w:sz w:val="24"/>
                <w:highlight w:val="none"/>
                <w:u w:val="single"/>
                <w:lang w:bidi="ar"/>
              </w:rPr>
              <w:t>t/a</w:t>
            </w:r>
            <w:r>
              <w:rPr>
                <w:rFonts w:hint="eastAsia" w:ascii="宋体" w:hAnsi="宋体" w:cs="宋体"/>
                <w:i/>
                <w:iCs/>
                <w:sz w:val="24"/>
                <w:highlight w:val="none"/>
                <w:u w:val="single"/>
                <w:lang w:bidi="ar"/>
              </w:rPr>
              <w:t>。废气收集效率按</w:t>
            </w:r>
            <w:r>
              <w:rPr>
                <w:i/>
                <w:iCs/>
                <w:sz w:val="24"/>
                <w:highlight w:val="none"/>
                <w:u w:val="single"/>
                <w:lang w:bidi="ar"/>
              </w:rPr>
              <w:t>90%</w:t>
            </w:r>
            <w:r>
              <w:rPr>
                <w:rFonts w:hint="eastAsia" w:ascii="宋体" w:hAnsi="宋体" w:cs="宋体"/>
                <w:i/>
                <w:iCs/>
                <w:sz w:val="24"/>
                <w:highlight w:val="none"/>
                <w:u w:val="single"/>
                <w:lang w:bidi="ar"/>
              </w:rPr>
              <w:t>计，则被收集有组织颗粒物产生量为</w:t>
            </w:r>
            <w:r>
              <w:rPr>
                <w:i/>
                <w:iCs/>
                <w:sz w:val="24"/>
                <w:highlight w:val="none"/>
                <w:u w:val="single"/>
                <w:lang w:bidi="ar"/>
              </w:rPr>
              <w:t>0.</w:t>
            </w:r>
            <w:r>
              <w:rPr>
                <w:rFonts w:hint="eastAsia"/>
                <w:i/>
                <w:iCs/>
                <w:sz w:val="24"/>
                <w:highlight w:val="none"/>
                <w:u w:val="single"/>
                <w:lang w:val="en-US" w:eastAsia="zh-CN" w:bidi="ar"/>
              </w:rPr>
              <w:t>14</w:t>
            </w:r>
            <w:r>
              <w:rPr>
                <w:i/>
                <w:iCs/>
                <w:sz w:val="24"/>
                <w:highlight w:val="none"/>
                <w:u w:val="single"/>
                <w:lang w:bidi="ar"/>
              </w:rPr>
              <w:t>t/a。</w:t>
            </w:r>
            <w:r>
              <w:rPr>
                <w:rFonts w:hint="eastAsia"/>
                <w:i/>
                <w:iCs/>
                <w:sz w:val="24"/>
                <w:highlight w:val="none"/>
                <w:u w:val="single"/>
                <w:lang w:bidi="ar"/>
              </w:rPr>
              <w:t>年喷涂实验时间为150h，</w:t>
            </w:r>
            <w:r>
              <w:rPr>
                <w:i/>
                <w:iCs/>
                <w:sz w:val="24"/>
                <w:highlight w:val="none"/>
                <w:u w:val="single"/>
                <w:lang w:bidi="ar"/>
              </w:rPr>
              <w:t>风机风量5000m</w:t>
            </w:r>
            <w:r>
              <w:rPr>
                <w:i/>
                <w:iCs/>
                <w:sz w:val="24"/>
                <w:highlight w:val="none"/>
                <w:u w:val="single"/>
                <w:vertAlign w:val="superscript"/>
                <w:lang w:bidi="ar"/>
              </w:rPr>
              <w:t>3</w:t>
            </w:r>
            <w:r>
              <w:rPr>
                <w:i/>
                <w:iCs/>
                <w:sz w:val="24"/>
                <w:highlight w:val="none"/>
                <w:u w:val="single"/>
                <w:lang w:bidi="ar"/>
              </w:rPr>
              <w:t>/h，</w:t>
            </w:r>
            <w:r>
              <w:rPr>
                <w:rFonts w:hint="eastAsia"/>
                <w:i/>
                <w:iCs/>
                <w:sz w:val="24"/>
                <w:highlight w:val="none"/>
                <w:u w:val="single"/>
                <w:lang w:bidi="ar"/>
              </w:rPr>
              <w:t>产生</w:t>
            </w:r>
            <w:r>
              <w:rPr>
                <w:i/>
                <w:iCs/>
                <w:sz w:val="24"/>
                <w:highlight w:val="none"/>
                <w:u w:val="single"/>
                <w:lang w:bidi="ar"/>
              </w:rPr>
              <w:t>速率为</w:t>
            </w:r>
            <w:r>
              <w:rPr>
                <w:rFonts w:hint="eastAsia"/>
                <w:i/>
                <w:iCs/>
                <w:sz w:val="24"/>
                <w:highlight w:val="none"/>
                <w:u w:val="single"/>
                <w:lang w:val="en-US" w:eastAsia="zh-CN" w:bidi="ar"/>
              </w:rPr>
              <w:t>0.936</w:t>
            </w:r>
            <w:r>
              <w:rPr>
                <w:i/>
                <w:iCs/>
                <w:sz w:val="24"/>
                <w:highlight w:val="none"/>
                <w:u w:val="single"/>
                <w:lang w:bidi="ar"/>
              </w:rPr>
              <w:t>kg/h</w:t>
            </w:r>
            <w:r>
              <w:rPr>
                <w:rFonts w:hint="eastAsia"/>
                <w:i/>
                <w:iCs/>
                <w:sz w:val="24"/>
                <w:highlight w:val="none"/>
                <w:u w:val="single"/>
                <w:lang w:eastAsia="zh-CN" w:bidi="ar"/>
              </w:rPr>
              <w:t>，产生浓度为</w:t>
            </w:r>
            <w:r>
              <w:rPr>
                <w:rFonts w:hint="eastAsia"/>
                <w:i/>
                <w:iCs/>
                <w:sz w:val="24"/>
                <w:highlight w:val="none"/>
                <w:u w:val="single"/>
                <w:lang w:val="en-US" w:eastAsia="zh-CN" w:bidi="ar"/>
              </w:rPr>
              <w:t>187.2mg/m</w:t>
            </w:r>
            <w:r>
              <w:rPr>
                <w:rFonts w:hint="eastAsia"/>
                <w:i/>
                <w:iCs/>
                <w:sz w:val="24"/>
                <w:highlight w:val="none"/>
                <w:u w:val="single"/>
                <w:vertAlign w:val="superscript"/>
                <w:lang w:val="en-US" w:eastAsia="zh-CN" w:bidi="ar"/>
              </w:rPr>
              <w:t>3</w:t>
            </w:r>
            <w:r>
              <w:rPr>
                <w:i/>
                <w:iCs/>
                <w:sz w:val="24"/>
                <w:highlight w:val="none"/>
                <w:u w:val="single"/>
                <w:lang w:bidi="ar"/>
              </w:rPr>
              <w:t>。未收集的颗粒物中50%落地形成漆渣，为0.0</w:t>
            </w:r>
            <w:r>
              <w:rPr>
                <w:rFonts w:hint="eastAsia"/>
                <w:i/>
                <w:iCs/>
                <w:sz w:val="24"/>
                <w:highlight w:val="none"/>
                <w:u w:val="single"/>
                <w:lang w:bidi="ar"/>
              </w:rPr>
              <w:t>08</w:t>
            </w:r>
            <w:r>
              <w:rPr>
                <w:i/>
                <w:iCs/>
                <w:sz w:val="24"/>
                <w:highlight w:val="none"/>
                <w:u w:val="single"/>
                <w:lang w:bidi="ar"/>
              </w:rPr>
              <w:t>t/a；50%无组织废气排放，排放量为0.0</w:t>
            </w:r>
            <w:r>
              <w:rPr>
                <w:rFonts w:hint="eastAsia"/>
                <w:i/>
                <w:iCs/>
                <w:sz w:val="24"/>
                <w:highlight w:val="none"/>
                <w:u w:val="single"/>
                <w:lang w:bidi="ar"/>
              </w:rPr>
              <w:t>08</w:t>
            </w:r>
            <w:r>
              <w:rPr>
                <w:i/>
                <w:iCs/>
                <w:sz w:val="24"/>
                <w:highlight w:val="none"/>
                <w:u w:val="single"/>
                <w:lang w:bidi="ar"/>
              </w:rPr>
              <w:t>t/a，排放速率为0.0</w:t>
            </w:r>
            <w:r>
              <w:rPr>
                <w:rFonts w:hint="eastAsia"/>
                <w:i/>
                <w:iCs/>
                <w:sz w:val="24"/>
                <w:highlight w:val="none"/>
                <w:u w:val="single"/>
                <w:lang w:bidi="ar"/>
              </w:rPr>
              <w:t>5</w:t>
            </w:r>
            <w:r>
              <w:rPr>
                <w:rFonts w:hint="eastAsia"/>
                <w:i/>
                <w:iCs/>
                <w:sz w:val="24"/>
                <w:highlight w:val="none"/>
                <w:u w:val="single"/>
                <w:lang w:val="en-US" w:eastAsia="zh-CN" w:bidi="ar"/>
              </w:rPr>
              <w:t>3</w:t>
            </w:r>
            <w:r>
              <w:rPr>
                <w:i/>
                <w:iCs/>
                <w:sz w:val="24"/>
                <w:highlight w:val="none"/>
                <w:u w:val="single"/>
                <w:lang w:bidi="ar"/>
              </w:rPr>
              <w:t>kg/h。</w:t>
            </w:r>
            <w:r>
              <w:rPr>
                <w:rFonts w:hint="eastAsia" w:ascii="宋体" w:hAnsi="宋体" w:cs="宋体"/>
                <w:i/>
                <w:iCs/>
                <w:sz w:val="24"/>
                <w:u w:val="single"/>
                <w:lang w:bidi="ar"/>
              </w:rPr>
              <w:t>废气产生及排放情况详见下表</w:t>
            </w:r>
          </w:p>
          <w:p w14:paraId="66F2400A">
            <w:pPr>
              <w:pStyle w:val="23"/>
              <w:widowControl w:val="0"/>
              <w:spacing w:before="0" w:beforeAutospacing="0" w:after="0" w:afterAutospacing="0"/>
              <w:jc w:val="center"/>
              <w:rPr>
                <w:rFonts w:ascii="Times New Roman" w:hAnsi="Times New Roman"/>
                <w:b/>
                <w:bCs/>
                <w:i/>
                <w:iCs/>
                <w:kern w:val="2"/>
                <w:szCs w:val="24"/>
                <w:u w:val="single"/>
                <w:lang w:bidi="ar"/>
              </w:rPr>
            </w:pPr>
          </w:p>
          <w:p w14:paraId="2F8F8C83">
            <w:pPr>
              <w:pStyle w:val="23"/>
              <w:widowControl w:val="0"/>
              <w:spacing w:before="0" w:beforeAutospacing="0" w:after="0" w:afterAutospacing="0"/>
              <w:jc w:val="center"/>
              <w:rPr>
                <w:rFonts w:ascii="Times New Roman" w:hAnsi="Times New Roman"/>
                <w:b/>
                <w:bCs/>
                <w:i/>
                <w:iCs/>
                <w:kern w:val="2"/>
                <w:szCs w:val="24"/>
                <w:u w:val="single"/>
                <w:lang w:bidi="ar"/>
              </w:rPr>
            </w:pPr>
          </w:p>
          <w:p w14:paraId="42E98CA5">
            <w:pPr>
              <w:pStyle w:val="23"/>
              <w:widowControl w:val="0"/>
              <w:spacing w:before="0" w:beforeAutospacing="0" w:after="0" w:afterAutospacing="0"/>
              <w:jc w:val="center"/>
              <w:rPr>
                <w:rFonts w:ascii="Times New Roman" w:hAnsi="Times New Roman"/>
                <w:b/>
                <w:bCs/>
                <w:i/>
                <w:iCs/>
                <w:kern w:val="2"/>
                <w:szCs w:val="24"/>
                <w:u w:val="single"/>
                <w:lang w:bidi="ar"/>
              </w:rPr>
            </w:pPr>
            <w:r>
              <w:rPr>
                <w:rFonts w:ascii="Times New Roman" w:hAnsi="Times New Roman"/>
                <w:b/>
                <w:bCs/>
                <w:i/>
                <w:iCs/>
                <w:kern w:val="2"/>
                <w:szCs w:val="24"/>
                <w:u w:val="single"/>
                <w:lang w:bidi="ar"/>
              </w:rPr>
              <w:t>表4-</w:t>
            </w:r>
            <w:r>
              <w:rPr>
                <w:rFonts w:hint="eastAsia" w:ascii="Times New Roman" w:hAnsi="Times New Roman"/>
                <w:b/>
                <w:bCs/>
                <w:i/>
                <w:iCs/>
                <w:kern w:val="2"/>
                <w:szCs w:val="24"/>
                <w:u w:val="single"/>
                <w:lang w:val="en-US" w:eastAsia="zh-CN" w:bidi="ar"/>
              </w:rPr>
              <w:t>4</w:t>
            </w:r>
            <w:r>
              <w:rPr>
                <w:rFonts w:ascii="Times New Roman" w:hAnsi="Times New Roman"/>
                <w:b/>
                <w:bCs/>
                <w:i/>
                <w:iCs/>
                <w:kern w:val="2"/>
                <w:szCs w:val="24"/>
                <w:u w:val="single"/>
                <w:lang w:bidi="ar"/>
              </w:rPr>
              <w:t xml:space="preserve">  </w:t>
            </w:r>
            <w:r>
              <w:rPr>
                <w:rFonts w:ascii="Times New Roman" w:hAnsi="Times New Roman"/>
                <w:b/>
                <w:i/>
                <w:iCs/>
                <w:szCs w:val="24"/>
                <w:u w:val="single"/>
                <w:lang w:bidi="zh-CN"/>
              </w:rPr>
              <w:t>污染物</w:t>
            </w:r>
            <w:r>
              <w:rPr>
                <w:rFonts w:ascii="Times New Roman" w:hAnsi="Times New Roman"/>
                <w:b/>
                <w:bCs/>
                <w:i/>
                <w:iCs/>
                <w:kern w:val="2"/>
                <w:szCs w:val="24"/>
                <w:u w:val="single"/>
                <w:lang w:bidi="ar"/>
              </w:rPr>
              <w:t>情况一览表</w:t>
            </w:r>
          </w:p>
          <w:tbl>
            <w:tblPr>
              <w:tblStyle w:val="27"/>
              <w:tblW w:w="4994"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99"/>
              <w:gridCol w:w="1336"/>
              <w:gridCol w:w="1058"/>
              <w:gridCol w:w="883"/>
              <w:gridCol w:w="896"/>
              <w:gridCol w:w="708"/>
              <w:gridCol w:w="1081"/>
              <w:gridCol w:w="778"/>
              <w:gridCol w:w="818"/>
              <w:gridCol w:w="693"/>
              <w:gridCol w:w="761"/>
            </w:tblGrid>
            <w:tr w14:paraId="1F524F5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964" w:type="pct"/>
                  <w:gridSpan w:val="2"/>
                  <w:vMerge w:val="restart"/>
                  <w:noWrap w:val="0"/>
                  <w:vAlign w:val="center"/>
                </w:tcPr>
                <w:p w14:paraId="116752D4">
                  <w:pPr>
                    <w:jc w:val="center"/>
                    <w:rPr>
                      <w:i/>
                      <w:iCs/>
                      <w:szCs w:val="21"/>
                      <w:u w:val="single"/>
                      <w:lang w:bidi="ar"/>
                    </w:rPr>
                  </w:pPr>
                  <w:r>
                    <w:rPr>
                      <w:i/>
                      <w:iCs/>
                      <w:szCs w:val="21"/>
                      <w:u w:val="single"/>
                      <w:lang w:bidi="ar"/>
                    </w:rPr>
                    <w:t>污染源</w:t>
                  </w:r>
                </w:p>
              </w:tc>
              <w:tc>
                <w:tcPr>
                  <w:tcW w:w="556" w:type="pct"/>
                  <w:vMerge w:val="restart"/>
                  <w:noWrap w:val="0"/>
                  <w:vAlign w:val="center"/>
                </w:tcPr>
                <w:p w14:paraId="4318EEEE">
                  <w:pPr>
                    <w:jc w:val="center"/>
                    <w:rPr>
                      <w:i/>
                      <w:iCs/>
                      <w:szCs w:val="21"/>
                      <w:u w:val="single"/>
                    </w:rPr>
                  </w:pPr>
                  <w:r>
                    <w:rPr>
                      <w:i/>
                      <w:iCs/>
                      <w:szCs w:val="21"/>
                      <w:u w:val="single"/>
                      <w:lang w:bidi="ar"/>
                    </w:rPr>
                    <w:t>污染物</w:t>
                  </w:r>
                </w:p>
              </w:tc>
              <w:tc>
                <w:tcPr>
                  <w:tcW w:w="1307" w:type="pct"/>
                  <w:gridSpan w:val="3"/>
                  <w:noWrap w:val="0"/>
                  <w:vAlign w:val="center"/>
                </w:tcPr>
                <w:p w14:paraId="74DAC0B4">
                  <w:pPr>
                    <w:jc w:val="center"/>
                    <w:rPr>
                      <w:i/>
                      <w:iCs/>
                      <w:szCs w:val="21"/>
                      <w:u w:val="single"/>
                    </w:rPr>
                  </w:pPr>
                  <w:r>
                    <w:rPr>
                      <w:i/>
                      <w:iCs/>
                      <w:szCs w:val="21"/>
                      <w:u w:val="single"/>
                      <w:lang w:bidi="ar"/>
                    </w:rPr>
                    <w:t>废气产生情况</w:t>
                  </w:r>
                </w:p>
              </w:tc>
              <w:tc>
                <w:tcPr>
                  <w:tcW w:w="568" w:type="pct"/>
                  <w:vMerge w:val="restart"/>
                  <w:noWrap w:val="0"/>
                  <w:vAlign w:val="center"/>
                </w:tcPr>
                <w:p w14:paraId="0122B1D5">
                  <w:pPr>
                    <w:jc w:val="center"/>
                    <w:rPr>
                      <w:i/>
                      <w:iCs/>
                      <w:szCs w:val="21"/>
                      <w:u w:val="single"/>
                    </w:rPr>
                  </w:pPr>
                  <w:r>
                    <w:rPr>
                      <w:i/>
                      <w:iCs/>
                      <w:szCs w:val="21"/>
                      <w:u w:val="single"/>
                      <w:lang w:bidi="ar"/>
                    </w:rPr>
                    <w:t>治理措施</w:t>
                  </w:r>
                </w:p>
              </w:tc>
              <w:tc>
                <w:tcPr>
                  <w:tcW w:w="1203" w:type="pct"/>
                  <w:gridSpan w:val="3"/>
                  <w:noWrap w:val="0"/>
                  <w:vAlign w:val="center"/>
                </w:tcPr>
                <w:p w14:paraId="1DD869C8">
                  <w:pPr>
                    <w:jc w:val="center"/>
                    <w:rPr>
                      <w:i/>
                      <w:iCs/>
                      <w:szCs w:val="21"/>
                      <w:u w:val="single"/>
                    </w:rPr>
                  </w:pPr>
                  <w:r>
                    <w:rPr>
                      <w:i/>
                      <w:iCs/>
                      <w:szCs w:val="21"/>
                      <w:u w:val="single"/>
                      <w:lang w:bidi="ar"/>
                    </w:rPr>
                    <w:t>废气排放情况</w:t>
                  </w:r>
                </w:p>
              </w:tc>
              <w:tc>
                <w:tcPr>
                  <w:tcW w:w="400" w:type="pct"/>
                  <w:vMerge w:val="restart"/>
                  <w:noWrap w:val="0"/>
                  <w:vAlign w:val="center"/>
                </w:tcPr>
                <w:p w14:paraId="1400EA28">
                  <w:pPr>
                    <w:jc w:val="center"/>
                    <w:rPr>
                      <w:i/>
                      <w:iCs/>
                      <w:szCs w:val="21"/>
                      <w:u w:val="single"/>
                      <w:lang w:bidi="ar"/>
                    </w:rPr>
                  </w:pPr>
                  <w:r>
                    <w:rPr>
                      <w:rFonts w:hint="eastAsia"/>
                      <w:i/>
                      <w:iCs/>
                      <w:szCs w:val="21"/>
                      <w:u w:val="single"/>
                      <w:lang w:bidi="ar"/>
                    </w:rPr>
                    <w:t>排放时间</w:t>
                  </w:r>
                </w:p>
              </w:tc>
            </w:tr>
            <w:tr w14:paraId="1D3A4E4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4" w:type="pct"/>
                  <w:gridSpan w:val="2"/>
                  <w:vMerge w:val="continue"/>
                  <w:noWrap w:val="0"/>
                  <w:vAlign w:val="center"/>
                </w:tcPr>
                <w:p w14:paraId="2917BBD7">
                  <w:pPr>
                    <w:jc w:val="center"/>
                    <w:rPr>
                      <w:i/>
                      <w:iCs/>
                      <w:szCs w:val="21"/>
                      <w:u w:val="single"/>
                    </w:rPr>
                  </w:pPr>
                </w:p>
              </w:tc>
              <w:tc>
                <w:tcPr>
                  <w:tcW w:w="556" w:type="pct"/>
                  <w:vMerge w:val="continue"/>
                  <w:noWrap w:val="0"/>
                  <w:vAlign w:val="center"/>
                </w:tcPr>
                <w:p w14:paraId="3A29DE9E">
                  <w:pPr>
                    <w:jc w:val="center"/>
                    <w:rPr>
                      <w:i/>
                      <w:iCs/>
                      <w:szCs w:val="21"/>
                      <w:u w:val="single"/>
                    </w:rPr>
                  </w:pPr>
                </w:p>
              </w:tc>
              <w:tc>
                <w:tcPr>
                  <w:tcW w:w="464" w:type="pct"/>
                  <w:noWrap w:val="0"/>
                  <w:vAlign w:val="center"/>
                </w:tcPr>
                <w:p w14:paraId="56B65EB1">
                  <w:pPr>
                    <w:jc w:val="center"/>
                    <w:rPr>
                      <w:i/>
                      <w:iCs/>
                      <w:szCs w:val="21"/>
                      <w:u w:val="single"/>
                      <w:lang w:bidi="ar"/>
                    </w:rPr>
                  </w:pPr>
                  <w:r>
                    <w:rPr>
                      <w:i/>
                      <w:iCs/>
                      <w:szCs w:val="21"/>
                      <w:u w:val="single"/>
                      <w:lang w:bidi="ar"/>
                    </w:rPr>
                    <w:t>浓度mg/m</w:t>
                  </w:r>
                  <w:r>
                    <w:rPr>
                      <w:i/>
                      <w:iCs/>
                      <w:szCs w:val="21"/>
                      <w:u w:val="single"/>
                      <w:vertAlign w:val="superscript"/>
                      <w:lang w:bidi="ar"/>
                    </w:rPr>
                    <w:t>3</w:t>
                  </w:r>
                </w:p>
              </w:tc>
              <w:tc>
                <w:tcPr>
                  <w:tcW w:w="471" w:type="pct"/>
                  <w:noWrap w:val="0"/>
                  <w:vAlign w:val="center"/>
                </w:tcPr>
                <w:p w14:paraId="7AFCD28C">
                  <w:pPr>
                    <w:jc w:val="center"/>
                    <w:rPr>
                      <w:i/>
                      <w:iCs/>
                      <w:szCs w:val="21"/>
                      <w:u w:val="single"/>
                      <w:lang w:bidi="ar"/>
                    </w:rPr>
                  </w:pPr>
                  <w:r>
                    <w:rPr>
                      <w:i/>
                      <w:iCs/>
                      <w:szCs w:val="21"/>
                      <w:u w:val="single"/>
                      <w:lang w:bidi="ar"/>
                    </w:rPr>
                    <w:t>产生量t/a</w:t>
                  </w:r>
                </w:p>
              </w:tc>
              <w:tc>
                <w:tcPr>
                  <w:tcW w:w="372" w:type="pct"/>
                  <w:noWrap w:val="0"/>
                  <w:vAlign w:val="center"/>
                </w:tcPr>
                <w:p w14:paraId="37662AF3">
                  <w:pPr>
                    <w:jc w:val="center"/>
                    <w:rPr>
                      <w:i/>
                      <w:iCs/>
                      <w:szCs w:val="21"/>
                      <w:u w:val="single"/>
                      <w:lang w:bidi="ar"/>
                    </w:rPr>
                  </w:pPr>
                  <w:r>
                    <w:rPr>
                      <w:i/>
                      <w:iCs/>
                      <w:szCs w:val="21"/>
                      <w:u w:val="single"/>
                      <w:lang w:bidi="ar"/>
                    </w:rPr>
                    <w:t>速率kg/h</w:t>
                  </w:r>
                </w:p>
              </w:tc>
              <w:tc>
                <w:tcPr>
                  <w:tcW w:w="568" w:type="pct"/>
                  <w:vMerge w:val="continue"/>
                  <w:noWrap w:val="0"/>
                  <w:vAlign w:val="center"/>
                </w:tcPr>
                <w:p w14:paraId="02C88C91">
                  <w:pPr>
                    <w:jc w:val="center"/>
                    <w:rPr>
                      <w:i/>
                      <w:iCs/>
                      <w:szCs w:val="21"/>
                      <w:u w:val="single"/>
                      <w:lang w:bidi="ar"/>
                    </w:rPr>
                  </w:pPr>
                </w:p>
              </w:tc>
              <w:tc>
                <w:tcPr>
                  <w:tcW w:w="409" w:type="pct"/>
                  <w:noWrap w:val="0"/>
                  <w:vAlign w:val="center"/>
                </w:tcPr>
                <w:p w14:paraId="64A40BA0">
                  <w:pPr>
                    <w:jc w:val="center"/>
                    <w:rPr>
                      <w:i/>
                      <w:iCs/>
                      <w:szCs w:val="21"/>
                      <w:u w:val="single"/>
                      <w:lang w:bidi="ar"/>
                    </w:rPr>
                  </w:pPr>
                  <w:r>
                    <w:rPr>
                      <w:i/>
                      <w:iCs/>
                      <w:szCs w:val="21"/>
                      <w:u w:val="single"/>
                      <w:lang w:bidi="ar"/>
                    </w:rPr>
                    <w:t>浓度mg/m</w:t>
                  </w:r>
                  <w:r>
                    <w:rPr>
                      <w:i/>
                      <w:iCs/>
                      <w:szCs w:val="21"/>
                      <w:u w:val="single"/>
                      <w:vertAlign w:val="superscript"/>
                      <w:lang w:bidi="ar"/>
                    </w:rPr>
                    <w:t>3</w:t>
                  </w:r>
                </w:p>
              </w:tc>
              <w:tc>
                <w:tcPr>
                  <w:tcW w:w="430" w:type="pct"/>
                  <w:noWrap w:val="0"/>
                  <w:vAlign w:val="center"/>
                </w:tcPr>
                <w:p w14:paraId="6539047D">
                  <w:pPr>
                    <w:jc w:val="center"/>
                    <w:rPr>
                      <w:i/>
                      <w:iCs/>
                      <w:szCs w:val="21"/>
                      <w:u w:val="single"/>
                      <w:lang w:bidi="ar"/>
                    </w:rPr>
                  </w:pPr>
                  <w:r>
                    <w:rPr>
                      <w:i/>
                      <w:iCs/>
                      <w:szCs w:val="21"/>
                      <w:u w:val="single"/>
                      <w:lang w:bidi="ar"/>
                    </w:rPr>
                    <w:t>排放量t/a</w:t>
                  </w:r>
                </w:p>
              </w:tc>
              <w:tc>
                <w:tcPr>
                  <w:tcW w:w="364" w:type="pct"/>
                  <w:noWrap w:val="0"/>
                  <w:vAlign w:val="center"/>
                </w:tcPr>
                <w:p w14:paraId="41F90372">
                  <w:pPr>
                    <w:jc w:val="center"/>
                    <w:rPr>
                      <w:i/>
                      <w:iCs/>
                      <w:szCs w:val="21"/>
                      <w:u w:val="single"/>
                    </w:rPr>
                  </w:pPr>
                  <w:r>
                    <w:rPr>
                      <w:i/>
                      <w:iCs/>
                      <w:szCs w:val="21"/>
                      <w:u w:val="single"/>
                      <w:lang w:bidi="ar"/>
                    </w:rPr>
                    <w:t>速率kg/h</w:t>
                  </w:r>
                </w:p>
              </w:tc>
              <w:tc>
                <w:tcPr>
                  <w:tcW w:w="400" w:type="pct"/>
                  <w:vMerge w:val="continue"/>
                  <w:noWrap w:val="0"/>
                  <w:vAlign w:val="center"/>
                </w:tcPr>
                <w:p w14:paraId="1A3DB541">
                  <w:pPr>
                    <w:jc w:val="center"/>
                    <w:rPr>
                      <w:i/>
                      <w:iCs/>
                      <w:szCs w:val="21"/>
                      <w:u w:val="single"/>
                      <w:lang w:bidi="ar"/>
                    </w:rPr>
                  </w:pPr>
                </w:p>
              </w:tc>
            </w:tr>
            <w:tr w14:paraId="37ABAEB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62" w:type="pct"/>
                  <w:vMerge w:val="restart"/>
                  <w:noWrap w:val="0"/>
                  <w:vAlign w:val="center"/>
                </w:tcPr>
                <w:p w14:paraId="08DB32F1">
                  <w:pPr>
                    <w:jc w:val="center"/>
                    <w:rPr>
                      <w:i/>
                      <w:iCs/>
                      <w:szCs w:val="21"/>
                      <w:highlight w:val="none"/>
                      <w:u w:val="single"/>
                    </w:rPr>
                  </w:pPr>
                  <w:r>
                    <w:rPr>
                      <w:i/>
                      <w:iCs/>
                      <w:szCs w:val="21"/>
                      <w:highlight w:val="none"/>
                      <w:u w:val="single"/>
                      <w:lang w:bidi="ar"/>
                    </w:rPr>
                    <w:t>有组织</w:t>
                  </w:r>
                </w:p>
              </w:tc>
              <w:tc>
                <w:tcPr>
                  <w:tcW w:w="702" w:type="pct"/>
                  <w:vMerge w:val="restart"/>
                  <w:noWrap w:val="0"/>
                  <w:vAlign w:val="center"/>
                </w:tcPr>
                <w:p w14:paraId="31E4B874">
                  <w:pPr>
                    <w:jc w:val="center"/>
                    <w:rPr>
                      <w:rFonts w:hint="eastAsia" w:eastAsia="宋体"/>
                      <w:i/>
                      <w:iCs/>
                      <w:szCs w:val="21"/>
                      <w:highlight w:val="none"/>
                      <w:u w:val="single"/>
                      <w:lang w:eastAsia="zh-CN" w:bidi="ar"/>
                    </w:rPr>
                  </w:pPr>
                  <w:r>
                    <w:rPr>
                      <w:rFonts w:hint="eastAsia"/>
                      <w:i/>
                      <w:iCs/>
                      <w:szCs w:val="21"/>
                      <w:highlight w:val="none"/>
                      <w:u w:val="single"/>
                      <w:lang w:bidi="ar"/>
                    </w:rPr>
                    <w:t>喷漆及烘干</w:t>
                  </w:r>
                  <w:r>
                    <w:rPr>
                      <w:rFonts w:hint="eastAsia"/>
                      <w:i/>
                      <w:iCs/>
                      <w:szCs w:val="21"/>
                      <w:highlight w:val="none"/>
                      <w:u w:val="single"/>
                      <w:lang w:eastAsia="zh-CN" w:bidi="ar"/>
                    </w:rPr>
                    <w:t>废气</w:t>
                  </w:r>
                </w:p>
              </w:tc>
              <w:tc>
                <w:tcPr>
                  <w:tcW w:w="556" w:type="pct"/>
                  <w:noWrap w:val="0"/>
                  <w:vAlign w:val="center"/>
                </w:tcPr>
                <w:p w14:paraId="3AAFC576">
                  <w:pPr>
                    <w:jc w:val="center"/>
                    <w:rPr>
                      <w:i/>
                      <w:iCs/>
                      <w:szCs w:val="21"/>
                      <w:highlight w:val="none"/>
                      <w:u w:val="single"/>
                    </w:rPr>
                  </w:pPr>
                  <w:r>
                    <w:rPr>
                      <w:i/>
                      <w:iCs/>
                      <w:kern w:val="0"/>
                      <w:szCs w:val="21"/>
                      <w:highlight w:val="none"/>
                      <w:u w:val="single"/>
                      <w:lang w:bidi="ar"/>
                    </w:rPr>
                    <w:t>漆雾</w:t>
                  </w:r>
                </w:p>
              </w:tc>
              <w:tc>
                <w:tcPr>
                  <w:tcW w:w="464" w:type="pct"/>
                  <w:noWrap w:val="0"/>
                  <w:vAlign w:val="center"/>
                </w:tcPr>
                <w:p w14:paraId="2D2147B4">
                  <w:pPr>
                    <w:jc w:val="center"/>
                    <w:rPr>
                      <w:rFonts w:hint="default" w:eastAsia="宋体"/>
                      <w:i/>
                      <w:iCs/>
                      <w:szCs w:val="21"/>
                      <w:highlight w:val="none"/>
                      <w:u w:val="single"/>
                      <w:lang w:val="en-US" w:eastAsia="zh-CN" w:bidi="ar"/>
                    </w:rPr>
                  </w:pPr>
                  <w:r>
                    <w:rPr>
                      <w:rFonts w:hint="eastAsia"/>
                      <w:i/>
                      <w:iCs/>
                      <w:szCs w:val="21"/>
                      <w:highlight w:val="none"/>
                      <w:u w:val="single"/>
                      <w:lang w:val="en-US" w:eastAsia="zh-CN" w:bidi="ar"/>
                    </w:rPr>
                    <w:t>187.2</w:t>
                  </w:r>
                </w:p>
              </w:tc>
              <w:tc>
                <w:tcPr>
                  <w:tcW w:w="471" w:type="pct"/>
                  <w:noWrap w:val="0"/>
                  <w:vAlign w:val="center"/>
                </w:tcPr>
                <w:p w14:paraId="66434310">
                  <w:pPr>
                    <w:jc w:val="center"/>
                    <w:rPr>
                      <w:rFonts w:hint="eastAsia" w:eastAsia="宋体"/>
                      <w:i/>
                      <w:iCs/>
                      <w:szCs w:val="21"/>
                      <w:highlight w:val="none"/>
                      <w:u w:val="single"/>
                      <w:lang w:val="en-US" w:eastAsia="zh-CN" w:bidi="ar"/>
                    </w:rPr>
                  </w:pPr>
                  <w:r>
                    <w:rPr>
                      <w:rFonts w:hint="eastAsia"/>
                      <w:i/>
                      <w:iCs/>
                      <w:szCs w:val="21"/>
                      <w:highlight w:val="none"/>
                      <w:u w:val="single"/>
                      <w:lang w:bidi="ar"/>
                    </w:rPr>
                    <w:t>0.1</w:t>
                  </w:r>
                  <w:r>
                    <w:rPr>
                      <w:rFonts w:hint="eastAsia"/>
                      <w:i/>
                      <w:iCs/>
                      <w:szCs w:val="21"/>
                      <w:highlight w:val="none"/>
                      <w:u w:val="single"/>
                      <w:lang w:val="en-US" w:eastAsia="zh-CN" w:bidi="ar"/>
                    </w:rPr>
                    <w:t>4</w:t>
                  </w:r>
                </w:p>
              </w:tc>
              <w:tc>
                <w:tcPr>
                  <w:tcW w:w="372" w:type="pct"/>
                  <w:noWrap w:val="0"/>
                  <w:vAlign w:val="center"/>
                </w:tcPr>
                <w:p w14:paraId="0ECAE886">
                  <w:pPr>
                    <w:jc w:val="center"/>
                    <w:rPr>
                      <w:rFonts w:hint="default" w:eastAsia="宋体"/>
                      <w:i/>
                      <w:iCs/>
                      <w:szCs w:val="21"/>
                      <w:highlight w:val="none"/>
                      <w:u w:val="single"/>
                      <w:lang w:val="en-US" w:eastAsia="zh-CN" w:bidi="ar"/>
                    </w:rPr>
                  </w:pPr>
                  <w:r>
                    <w:rPr>
                      <w:rFonts w:hint="eastAsia"/>
                      <w:i/>
                      <w:iCs/>
                      <w:szCs w:val="21"/>
                      <w:highlight w:val="none"/>
                      <w:u w:val="single"/>
                      <w:lang w:val="en-US" w:eastAsia="zh-CN" w:bidi="ar"/>
                    </w:rPr>
                    <w:t>0.936</w:t>
                  </w:r>
                </w:p>
              </w:tc>
              <w:tc>
                <w:tcPr>
                  <w:tcW w:w="568" w:type="pct"/>
                  <w:noWrap w:val="0"/>
                  <w:vAlign w:val="center"/>
                </w:tcPr>
                <w:p w14:paraId="4F0326CA">
                  <w:pPr>
                    <w:jc w:val="center"/>
                    <w:rPr>
                      <w:rFonts w:hint="eastAsia"/>
                      <w:i/>
                      <w:iCs/>
                      <w:szCs w:val="21"/>
                      <w:highlight w:val="none"/>
                      <w:u w:val="single"/>
                      <w:lang w:bidi="ar"/>
                    </w:rPr>
                  </w:pPr>
                  <w:r>
                    <w:rPr>
                      <w:i/>
                      <w:iCs/>
                      <w:szCs w:val="21"/>
                      <w:highlight w:val="none"/>
                      <w:u w:val="single"/>
                      <w:lang w:bidi="ar"/>
                    </w:rPr>
                    <w:t>过滤棉吸附</w:t>
                  </w:r>
                  <w:r>
                    <w:rPr>
                      <w:rFonts w:hint="eastAsia"/>
                      <w:i/>
                      <w:iCs/>
                      <w:szCs w:val="21"/>
                      <w:highlight w:val="none"/>
                      <w:u w:val="single"/>
                      <w:lang w:bidi="ar"/>
                    </w:rPr>
                    <w:t>（90%）</w:t>
                  </w:r>
                </w:p>
              </w:tc>
              <w:tc>
                <w:tcPr>
                  <w:tcW w:w="409" w:type="pct"/>
                  <w:noWrap w:val="0"/>
                  <w:vAlign w:val="center"/>
                </w:tcPr>
                <w:p w14:paraId="628B994A">
                  <w:pPr>
                    <w:jc w:val="center"/>
                    <w:rPr>
                      <w:rFonts w:hint="default" w:eastAsia="宋体"/>
                      <w:i/>
                      <w:iCs/>
                      <w:szCs w:val="21"/>
                      <w:highlight w:val="none"/>
                      <w:u w:val="single"/>
                      <w:lang w:val="en-US" w:eastAsia="zh-CN" w:bidi="ar"/>
                    </w:rPr>
                  </w:pPr>
                  <w:r>
                    <w:rPr>
                      <w:rFonts w:hint="eastAsia"/>
                      <w:i/>
                      <w:iCs/>
                      <w:szCs w:val="21"/>
                      <w:highlight w:val="none"/>
                      <w:u w:val="single"/>
                      <w:lang w:val="en-US" w:eastAsia="zh-CN" w:bidi="ar"/>
                    </w:rPr>
                    <w:t>18.72</w:t>
                  </w:r>
                </w:p>
              </w:tc>
              <w:tc>
                <w:tcPr>
                  <w:tcW w:w="430" w:type="pct"/>
                  <w:noWrap w:val="0"/>
                  <w:vAlign w:val="center"/>
                </w:tcPr>
                <w:p w14:paraId="3FD7031F">
                  <w:pPr>
                    <w:jc w:val="center"/>
                    <w:rPr>
                      <w:rFonts w:hint="default" w:eastAsia="宋体"/>
                      <w:i/>
                      <w:iCs/>
                      <w:szCs w:val="21"/>
                      <w:highlight w:val="none"/>
                      <w:u w:val="single"/>
                      <w:lang w:val="en-US" w:eastAsia="zh-CN" w:bidi="ar"/>
                    </w:rPr>
                  </w:pPr>
                  <w:r>
                    <w:rPr>
                      <w:rFonts w:hint="eastAsia"/>
                      <w:i/>
                      <w:iCs/>
                      <w:szCs w:val="21"/>
                      <w:highlight w:val="none"/>
                      <w:u w:val="single"/>
                      <w:lang w:val="en-US" w:eastAsia="zh-CN" w:bidi="ar"/>
                    </w:rPr>
                    <w:t>0.014</w:t>
                  </w:r>
                </w:p>
              </w:tc>
              <w:tc>
                <w:tcPr>
                  <w:tcW w:w="364" w:type="pct"/>
                  <w:noWrap w:val="0"/>
                  <w:vAlign w:val="center"/>
                </w:tcPr>
                <w:p w14:paraId="4D2D2547">
                  <w:pPr>
                    <w:jc w:val="center"/>
                    <w:rPr>
                      <w:rFonts w:hint="default" w:eastAsia="宋体"/>
                      <w:i/>
                      <w:iCs/>
                      <w:szCs w:val="21"/>
                      <w:highlight w:val="none"/>
                      <w:u w:val="single"/>
                      <w:lang w:val="en-US" w:eastAsia="zh-CN"/>
                    </w:rPr>
                  </w:pPr>
                  <w:r>
                    <w:rPr>
                      <w:rFonts w:hint="eastAsia"/>
                      <w:i/>
                      <w:iCs/>
                      <w:szCs w:val="21"/>
                      <w:highlight w:val="none"/>
                      <w:u w:val="single"/>
                      <w:lang w:val="en-US" w:eastAsia="zh-CN"/>
                    </w:rPr>
                    <w:t>0.094</w:t>
                  </w:r>
                </w:p>
              </w:tc>
              <w:tc>
                <w:tcPr>
                  <w:tcW w:w="400" w:type="pct"/>
                  <w:noWrap w:val="0"/>
                  <w:vAlign w:val="center"/>
                </w:tcPr>
                <w:p w14:paraId="25E0EE0F">
                  <w:pPr>
                    <w:jc w:val="center"/>
                    <w:rPr>
                      <w:i/>
                      <w:iCs/>
                      <w:szCs w:val="21"/>
                      <w:highlight w:val="none"/>
                      <w:u w:val="single"/>
                      <w:lang w:bidi="ar"/>
                    </w:rPr>
                  </w:pPr>
                  <w:r>
                    <w:rPr>
                      <w:rFonts w:hint="eastAsia"/>
                      <w:i/>
                      <w:iCs/>
                      <w:szCs w:val="21"/>
                      <w:highlight w:val="none"/>
                      <w:u w:val="single"/>
                      <w:lang w:bidi="ar"/>
                    </w:rPr>
                    <w:t>150</w:t>
                  </w:r>
                </w:p>
              </w:tc>
            </w:tr>
            <w:tr w14:paraId="30C8C2D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2" w:type="pct"/>
                  <w:vMerge w:val="continue"/>
                  <w:noWrap w:val="0"/>
                  <w:vAlign w:val="center"/>
                </w:tcPr>
                <w:p w14:paraId="32C4D6C1">
                  <w:pPr>
                    <w:jc w:val="center"/>
                    <w:rPr>
                      <w:i/>
                      <w:iCs/>
                      <w:szCs w:val="21"/>
                      <w:highlight w:val="none"/>
                      <w:u w:val="single"/>
                      <w:lang w:bidi="ar"/>
                    </w:rPr>
                  </w:pPr>
                </w:p>
              </w:tc>
              <w:tc>
                <w:tcPr>
                  <w:tcW w:w="702" w:type="pct"/>
                  <w:vMerge w:val="continue"/>
                  <w:noWrap w:val="0"/>
                  <w:vAlign w:val="center"/>
                </w:tcPr>
                <w:p w14:paraId="47F93B72">
                  <w:pPr>
                    <w:jc w:val="center"/>
                    <w:rPr>
                      <w:i/>
                      <w:iCs/>
                      <w:szCs w:val="21"/>
                      <w:highlight w:val="none"/>
                      <w:u w:val="single"/>
                      <w:lang w:bidi="ar"/>
                    </w:rPr>
                  </w:pPr>
                </w:p>
              </w:tc>
              <w:tc>
                <w:tcPr>
                  <w:tcW w:w="556" w:type="pct"/>
                  <w:noWrap w:val="0"/>
                  <w:vAlign w:val="center"/>
                </w:tcPr>
                <w:p w14:paraId="52BD84E0">
                  <w:pPr>
                    <w:jc w:val="center"/>
                    <w:rPr>
                      <w:rFonts w:hint="eastAsia"/>
                      <w:i/>
                      <w:iCs/>
                      <w:szCs w:val="21"/>
                      <w:highlight w:val="none"/>
                      <w:u w:val="single"/>
                    </w:rPr>
                  </w:pPr>
                  <w:r>
                    <w:rPr>
                      <w:rFonts w:hint="eastAsia"/>
                      <w:i/>
                      <w:iCs/>
                      <w:kern w:val="0"/>
                      <w:szCs w:val="21"/>
                      <w:highlight w:val="none"/>
                      <w:u w:val="single"/>
                      <w:lang w:bidi="ar"/>
                    </w:rPr>
                    <w:t>NMHC</w:t>
                  </w:r>
                </w:p>
              </w:tc>
              <w:tc>
                <w:tcPr>
                  <w:tcW w:w="464" w:type="pct"/>
                  <w:noWrap w:val="0"/>
                  <w:vAlign w:val="center"/>
                </w:tcPr>
                <w:p w14:paraId="367C53CD">
                  <w:pPr>
                    <w:jc w:val="center"/>
                    <w:rPr>
                      <w:rFonts w:hint="default" w:eastAsia="宋体"/>
                      <w:i/>
                      <w:iCs/>
                      <w:szCs w:val="21"/>
                      <w:highlight w:val="none"/>
                      <w:u w:val="single"/>
                      <w:lang w:val="en-US" w:eastAsia="zh-CN" w:bidi="ar"/>
                    </w:rPr>
                  </w:pPr>
                  <w:r>
                    <w:rPr>
                      <w:rFonts w:hint="eastAsia"/>
                      <w:i/>
                      <w:iCs/>
                      <w:szCs w:val="21"/>
                      <w:highlight w:val="none"/>
                      <w:u w:val="single"/>
                      <w:lang w:val="en-US" w:eastAsia="zh-CN" w:bidi="ar"/>
                    </w:rPr>
                    <w:t>444</w:t>
                  </w:r>
                </w:p>
              </w:tc>
              <w:tc>
                <w:tcPr>
                  <w:tcW w:w="471" w:type="pct"/>
                  <w:noWrap w:val="0"/>
                  <w:vAlign w:val="center"/>
                </w:tcPr>
                <w:p w14:paraId="6CD70129">
                  <w:pPr>
                    <w:jc w:val="center"/>
                    <w:rPr>
                      <w:rFonts w:hint="default" w:eastAsia="宋体"/>
                      <w:i/>
                      <w:iCs/>
                      <w:szCs w:val="21"/>
                      <w:highlight w:val="none"/>
                      <w:u w:val="single"/>
                      <w:lang w:val="en-US" w:eastAsia="zh-CN" w:bidi="ar"/>
                    </w:rPr>
                  </w:pPr>
                  <w:r>
                    <w:rPr>
                      <w:rFonts w:hint="eastAsia" w:eastAsia="宋体"/>
                      <w:i/>
                      <w:iCs/>
                      <w:szCs w:val="21"/>
                      <w:highlight w:val="none"/>
                      <w:u w:val="single"/>
                      <w:lang w:val="en-US" w:eastAsia="zh-CN" w:bidi="ar"/>
                    </w:rPr>
                    <w:t>1.332</w:t>
                  </w:r>
                </w:p>
              </w:tc>
              <w:tc>
                <w:tcPr>
                  <w:tcW w:w="372" w:type="pct"/>
                  <w:noWrap w:val="0"/>
                  <w:vAlign w:val="center"/>
                </w:tcPr>
                <w:p w14:paraId="2F224BB9">
                  <w:pPr>
                    <w:jc w:val="center"/>
                    <w:rPr>
                      <w:rFonts w:hint="default" w:eastAsia="宋体"/>
                      <w:i/>
                      <w:iCs/>
                      <w:szCs w:val="21"/>
                      <w:highlight w:val="none"/>
                      <w:u w:val="single"/>
                      <w:lang w:val="en-US" w:eastAsia="zh-CN" w:bidi="ar"/>
                    </w:rPr>
                  </w:pPr>
                  <w:r>
                    <w:rPr>
                      <w:rFonts w:hint="eastAsia"/>
                      <w:i/>
                      <w:iCs/>
                      <w:szCs w:val="21"/>
                      <w:highlight w:val="none"/>
                      <w:u w:val="single"/>
                      <w:lang w:val="en-US" w:eastAsia="zh-CN" w:bidi="ar"/>
                    </w:rPr>
                    <w:t>2.22</w:t>
                  </w:r>
                </w:p>
              </w:tc>
              <w:tc>
                <w:tcPr>
                  <w:tcW w:w="568" w:type="pct"/>
                  <w:vMerge w:val="restart"/>
                  <w:noWrap w:val="0"/>
                  <w:vAlign w:val="center"/>
                </w:tcPr>
                <w:p w14:paraId="157F34B0">
                  <w:pPr>
                    <w:jc w:val="center"/>
                    <w:rPr>
                      <w:rFonts w:hint="eastAsia"/>
                      <w:i/>
                      <w:iCs/>
                      <w:szCs w:val="21"/>
                      <w:highlight w:val="none"/>
                      <w:u w:val="single"/>
                      <w:lang w:bidi="ar"/>
                    </w:rPr>
                  </w:pPr>
                  <w:r>
                    <w:rPr>
                      <w:i/>
                      <w:iCs/>
                      <w:szCs w:val="21"/>
                      <w:highlight w:val="none"/>
                      <w:u w:val="single"/>
                      <w:lang w:bidi="ar"/>
                    </w:rPr>
                    <w:t>活性炭吸附</w:t>
                  </w:r>
                  <w:r>
                    <w:rPr>
                      <w:rFonts w:hint="eastAsia"/>
                      <w:i/>
                      <w:iCs/>
                      <w:szCs w:val="21"/>
                      <w:highlight w:val="none"/>
                      <w:u w:val="single"/>
                      <w:lang w:bidi="ar"/>
                    </w:rPr>
                    <w:t>（</w:t>
                  </w:r>
                  <w:r>
                    <w:rPr>
                      <w:rFonts w:hint="eastAsia"/>
                      <w:i/>
                      <w:iCs/>
                      <w:szCs w:val="21"/>
                      <w:highlight w:val="none"/>
                      <w:u w:val="single"/>
                      <w:lang w:val="en-US" w:eastAsia="zh-CN" w:bidi="ar"/>
                    </w:rPr>
                    <w:t>8</w:t>
                  </w:r>
                  <w:r>
                    <w:rPr>
                      <w:rFonts w:hint="eastAsia"/>
                      <w:i/>
                      <w:iCs/>
                      <w:szCs w:val="21"/>
                      <w:highlight w:val="none"/>
                      <w:u w:val="single"/>
                      <w:lang w:bidi="ar"/>
                    </w:rPr>
                    <w:t>0%）</w:t>
                  </w:r>
                </w:p>
              </w:tc>
              <w:tc>
                <w:tcPr>
                  <w:tcW w:w="409" w:type="pct"/>
                  <w:noWrap w:val="0"/>
                  <w:vAlign w:val="center"/>
                </w:tcPr>
                <w:p w14:paraId="704C4C89">
                  <w:pPr>
                    <w:jc w:val="center"/>
                    <w:rPr>
                      <w:rFonts w:hint="default" w:eastAsia="宋体"/>
                      <w:i/>
                      <w:iCs/>
                      <w:szCs w:val="21"/>
                      <w:highlight w:val="none"/>
                      <w:u w:val="single"/>
                      <w:lang w:val="en-US" w:eastAsia="zh-CN" w:bidi="ar"/>
                    </w:rPr>
                  </w:pPr>
                  <w:r>
                    <w:rPr>
                      <w:rFonts w:hint="eastAsia"/>
                      <w:i/>
                      <w:iCs/>
                      <w:szCs w:val="21"/>
                      <w:highlight w:val="none"/>
                      <w:u w:val="single"/>
                      <w:lang w:val="en-US" w:eastAsia="zh-CN" w:bidi="ar"/>
                    </w:rPr>
                    <w:t>88.8</w:t>
                  </w:r>
                </w:p>
              </w:tc>
              <w:tc>
                <w:tcPr>
                  <w:tcW w:w="430" w:type="pct"/>
                  <w:noWrap w:val="0"/>
                  <w:vAlign w:val="center"/>
                </w:tcPr>
                <w:p w14:paraId="3B4A2147">
                  <w:pPr>
                    <w:jc w:val="center"/>
                    <w:rPr>
                      <w:rFonts w:hint="default" w:eastAsia="宋体"/>
                      <w:i/>
                      <w:iCs/>
                      <w:szCs w:val="21"/>
                      <w:highlight w:val="none"/>
                      <w:u w:val="single"/>
                      <w:lang w:val="en-US" w:eastAsia="zh-CN" w:bidi="ar"/>
                    </w:rPr>
                  </w:pPr>
                  <w:r>
                    <w:rPr>
                      <w:rFonts w:hint="eastAsia"/>
                      <w:i/>
                      <w:iCs/>
                      <w:szCs w:val="21"/>
                      <w:highlight w:val="none"/>
                      <w:u w:val="single"/>
                      <w:lang w:val="en-US" w:eastAsia="zh-CN" w:bidi="ar"/>
                    </w:rPr>
                    <w:t>0.266</w:t>
                  </w:r>
                </w:p>
              </w:tc>
              <w:tc>
                <w:tcPr>
                  <w:tcW w:w="364" w:type="pct"/>
                  <w:noWrap w:val="0"/>
                  <w:vAlign w:val="center"/>
                </w:tcPr>
                <w:p w14:paraId="6F107C30">
                  <w:pPr>
                    <w:jc w:val="center"/>
                    <w:rPr>
                      <w:rFonts w:hint="default" w:eastAsia="宋体"/>
                      <w:i/>
                      <w:iCs/>
                      <w:szCs w:val="21"/>
                      <w:highlight w:val="none"/>
                      <w:u w:val="single"/>
                      <w:lang w:val="en-US" w:eastAsia="zh-CN" w:bidi="ar"/>
                    </w:rPr>
                  </w:pPr>
                  <w:r>
                    <w:rPr>
                      <w:rFonts w:hint="eastAsia"/>
                      <w:i/>
                      <w:iCs/>
                      <w:szCs w:val="21"/>
                      <w:highlight w:val="none"/>
                      <w:u w:val="single"/>
                      <w:lang w:val="en-US" w:eastAsia="zh-CN" w:bidi="ar"/>
                    </w:rPr>
                    <w:t>0.444</w:t>
                  </w:r>
                </w:p>
              </w:tc>
              <w:tc>
                <w:tcPr>
                  <w:tcW w:w="400" w:type="pct"/>
                  <w:vMerge w:val="restart"/>
                  <w:noWrap w:val="0"/>
                  <w:vAlign w:val="center"/>
                </w:tcPr>
                <w:p w14:paraId="3ED6E2DF">
                  <w:pPr>
                    <w:jc w:val="center"/>
                    <w:rPr>
                      <w:rFonts w:hint="default" w:eastAsia="宋体"/>
                      <w:i/>
                      <w:iCs/>
                      <w:szCs w:val="21"/>
                      <w:highlight w:val="none"/>
                      <w:u w:val="single"/>
                      <w:lang w:val="en-US" w:eastAsia="zh-CN" w:bidi="ar"/>
                    </w:rPr>
                  </w:pPr>
                  <w:r>
                    <w:rPr>
                      <w:rFonts w:hint="eastAsia"/>
                      <w:i/>
                      <w:iCs/>
                      <w:szCs w:val="21"/>
                      <w:highlight w:val="none"/>
                      <w:u w:val="single"/>
                      <w:lang w:val="en-US" w:eastAsia="zh-CN" w:bidi="ar"/>
                    </w:rPr>
                    <w:t>600</w:t>
                  </w:r>
                </w:p>
              </w:tc>
            </w:tr>
            <w:tr w14:paraId="707988E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2" w:type="pct"/>
                  <w:vMerge w:val="continue"/>
                  <w:noWrap w:val="0"/>
                  <w:vAlign w:val="center"/>
                </w:tcPr>
                <w:p w14:paraId="7AEE8333">
                  <w:pPr>
                    <w:jc w:val="center"/>
                    <w:rPr>
                      <w:i/>
                      <w:iCs/>
                      <w:szCs w:val="21"/>
                      <w:highlight w:val="none"/>
                      <w:u w:val="single"/>
                    </w:rPr>
                  </w:pPr>
                </w:p>
              </w:tc>
              <w:tc>
                <w:tcPr>
                  <w:tcW w:w="702" w:type="pct"/>
                  <w:vMerge w:val="continue"/>
                  <w:noWrap w:val="0"/>
                  <w:vAlign w:val="center"/>
                </w:tcPr>
                <w:p w14:paraId="55D824CB">
                  <w:pPr>
                    <w:jc w:val="center"/>
                    <w:rPr>
                      <w:i/>
                      <w:iCs/>
                      <w:szCs w:val="21"/>
                      <w:highlight w:val="none"/>
                      <w:u w:val="single"/>
                    </w:rPr>
                  </w:pPr>
                </w:p>
              </w:tc>
              <w:tc>
                <w:tcPr>
                  <w:tcW w:w="556" w:type="pct"/>
                  <w:noWrap w:val="0"/>
                  <w:vAlign w:val="center"/>
                </w:tcPr>
                <w:p w14:paraId="2BECF3D9">
                  <w:pPr>
                    <w:jc w:val="center"/>
                    <w:rPr>
                      <w:i/>
                      <w:iCs/>
                      <w:kern w:val="0"/>
                      <w:szCs w:val="21"/>
                      <w:highlight w:val="none"/>
                      <w:u w:val="single"/>
                    </w:rPr>
                  </w:pPr>
                  <w:r>
                    <w:rPr>
                      <w:i/>
                      <w:iCs/>
                      <w:kern w:val="0"/>
                      <w:szCs w:val="21"/>
                      <w:highlight w:val="none"/>
                      <w:u w:val="single"/>
                      <w:lang w:bidi="ar"/>
                    </w:rPr>
                    <w:t>甲苯</w:t>
                  </w:r>
                </w:p>
              </w:tc>
              <w:tc>
                <w:tcPr>
                  <w:tcW w:w="464" w:type="pct"/>
                  <w:noWrap w:val="0"/>
                  <w:vAlign w:val="center"/>
                </w:tcPr>
                <w:p w14:paraId="66BFFD1A">
                  <w:pPr>
                    <w:jc w:val="center"/>
                    <w:rPr>
                      <w:rFonts w:hint="default" w:eastAsia="宋体"/>
                      <w:i/>
                      <w:iCs/>
                      <w:szCs w:val="21"/>
                      <w:highlight w:val="none"/>
                      <w:u w:val="single"/>
                      <w:lang w:val="en-US" w:eastAsia="zh-CN" w:bidi="ar"/>
                    </w:rPr>
                  </w:pPr>
                  <w:r>
                    <w:rPr>
                      <w:rFonts w:hint="eastAsia"/>
                      <w:i/>
                      <w:iCs/>
                      <w:szCs w:val="21"/>
                      <w:highlight w:val="none"/>
                      <w:u w:val="single"/>
                      <w:lang w:val="en-US" w:eastAsia="zh-CN" w:bidi="ar"/>
                    </w:rPr>
                    <w:t>120</w:t>
                  </w:r>
                </w:p>
              </w:tc>
              <w:tc>
                <w:tcPr>
                  <w:tcW w:w="471" w:type="pct"/>
                  <w:noWrap w:val="0"/>
                  <w:vAlign w:val="center"/>
                </w:tcPr>
                <w:p w14:paraId="339FECF9">
                  <w:pPr>
                    <w:jc w:val="center"/>
                    <w:rPr>
                      <w:rFonts w:hint="default" w:eastAsia="宋体"/>
                      <w:i/>
                      <w:iCs/>
                      <w:szCs w:val="21"/>
                      <w:highlight w:val="none"/>
                      <w:u w:val="single"/>
                      <w:lang w:val="en-US" w:eastAsia="zh-CN" w:bidi="ar"/>
                    </w:rPr>
                  </w:pPr>
                  <w:r>
                    <w:rPr>
                      <w:rFonts w:hint="eastAsia"/>
                      <w:i/>
                      <w:iCs/>
                      <w:szCs w:val="21"/>
                      <w:highlight w:val="none"/>
                      <w:u w:val="single"/>
                      <w:lang w:val="en-US" w:eastAsia="zh-CN" w:bidi="ar"/>
                    </w:rPr>
                    <w:t>0.36</w:t>
                  </w:r>
                </w:p>
              </w:tc>
              <w:tc>
                <w:tcPr>
                  <w:tcW w:w="372" w:type="pct"/>
                  <w:noWrap w:val="0"/>
                  <w:vAlign w:val="center"/>
                </w:tcPr>
                <w:p w14:paraId="519BB60B">
                  <w:pPr>
                    <w:jc w:val="center"/>
                    <w:rPr>
                      <w:rFonts w:hint="default" w:eastAsia="宋体"/>
                      <w:i/>
                      <w:iCs/>
                      <w:szCs w:val="21"/>
                      <w:highlight w:val="none"/>
                      <w:u w:val="single"/>
                      <w:lang w:val="en-US" w:eastAsia="zh-CN" w:bidi="ar"/>
                    </w:rPr>
                  </w:pPr>
                  <w:r>
                    <w:rPr>
                      <w:rFonts w:hint="eastAsia"/>
                      <w:i/>
                      <w:iCs/>
                      <w:szCs w:val="21"/>
                      <w:highlight w:val="none"/>
                      <w:u w:val="single"/>
                      <w:lang w:val="en-US" w:eastAsia="zh-CN" w:bidi="ar"/>
                    </w:rPr>
                    <w:t>0.6</w:t>
                  </w:r>
                </w:p>
              </w:tc>
              <w:tc>
                <w:tcPr>
                  <w:tcW w:w="568" w:type="pct"/>
                  <w:vMerge w:val="continue"/>
                  <w:noWrap w:val="0"/>
                  <w:vAlign w:val="center"/>
                </w:tcPr>
                <w:p w14:paraId="54B47EA4">
                  <w:pPr>
                    <w:jc w:val="center"/>
                    <w:rPr>
                      <w:i/>
                      <w:iCs/>
                      <w:szCs w:val="21"/>
                      <w:highlight w:val="none"/>
                      <w:u w:val="single"/>
                      <w:lang w:bidi="ar"/>
                    </w:rPr>
                  </w:pPr>
                </w:p>
              </w:tc>
              <w:tc>
                <w:tcPr>
                  <w:tcW w:w="409" w:type="pct"/>
                  <w:noWrap w:val="0"/>
                  <w:vAlign w:val="center"/>
                </w:tcPr>
                <w:p w14:paraId="21B0DA4E">
                  <w:pPr>
                    <w:jc w:val="center"/>
                    <w:rPr>
                      <w:rFonts w:hint="default" w:eastAsia="宋体"/>
                      <w:i/>
                      <w:iCs/>
                      <w:szCs w:val="21"/>
                      <w:highlight w:val="none"/>
                      <w:u w:val="single"/>
                      <w:lang w:val="en-US" w:eastAsia="zh-CN" w:bidi="ar"/>
                    </w:rPr>
                  </w:pPr>
                  <w:r>
                    <w:rPr>
                      <w:rFonts w:hint="eastAsia"/>
                      <w:i/>
                      <w:iCs/>
                      <w:szCs w:val="21"/>
                      <w:highlight w:val="none"/>
                      <w:u w:val="single"/>
                      <w:lang w:val="en-US" w:eastAsia="zh-CN" w:bidi="ar"/>
                    </w:rPr>
                    <w:t>24</w:t>
                  </w:r>
                </w:p>
              </w:tc>
              <w:tc>
                <w:tcPr>
                  <w:tcW w:w="430" w:type="pct"/>
                  <w:noWrap w:val="0"/>
                  <w:vAlign w:val="center"/>
                </w:tcPr>
                <w:p w14:paraId="4C374A2D">
                  <w:pPr>
                    <w:jc w:val="center"/>
                    <w:rPr>
                      <w:rFonts w:hint="default" w:eastAsia="宋体"/>
                      <w:i/>
                      <w:iCs/>
                      <w:szCs w:val="21"/>
                      <w:highlight w:val="none"/>
                      <w:u w:val="single"/>
                      <w:lang w:val="en-US" w:eastAsia="zh-CN" w:bidi="ar"/>
                    </w:rPr>
                  </w:pPr>
                  <w:r>
                    <w:rPr>
                      <w:rFonts w:hint="eastAsia"/>
                      <w:i/>
                      <w:iCs/>
                      <w:szCs w:val="21"/>
                      <w:highlight w:val="none"/>
                      <w:u w:val="single"/>
                      <w:lang w:val="en-US" w:eastAsia="zh-CN" w:bidi="ar"/>
                    </w:rPr>
                    <w:t>0.072</w:t>
                  </w:r>
                </w:p>
              </w:tc>
              <w:tc>
                <w:tcPr>
                  <w:tcW w:w="364" w:type="pct"/>
                  <w:noWrap w:val="0"/>
                  <w:vAlign w:val="center"/>
                </w:tcPr>
                <w:p w14:paraId="37FCA9A8">
                  <w:pPr>
                    <w:jc w:val="center"/>
                    <w:rPr>
                      <w:rFonts w:hint="default" w:eastAsia="宋体"/>
                      <w:i/>
                      <w:iCs/>
                      <w:szCs w:val="21"/>
                      <w:highlight w:val="none"/>
                      <w:u w:val="single"/>
                      <w:lang w:val="en-US" w:eastAsia="zh-CN"/>
                    </w:rPr>
                  </w:pPr>
                  <w:r>
                    <w:rPr>
                      <w:rFonts w:hint="eastAsia"/>
                      <w:i/>
                      <w:iCs/>
                      <w:szCs w:val="21"/>
                      <w:highlight w:val="none"/>
                      <w:u w:val="single"/>
                      <w:lang w:val="en-US" w:eastAsia="zh-CN"/>
                    </w:rPr>
                    <w:t>0.12</w:t>
                  </w:r>
                </w:p>
              </w:tc>
              <w:tc>
                <w:tcPr>
                  <w:tcW w:w="400" w:type="pct"/>
                  <w:vMerge w:val="continue"/>
                  <w:noWrap w:val="0"/>
                  <w:vAlign w:val="center"/>
                </w:tcPr>
                <w:p w14:paraId="57062F37">
                  <w:pPr>
                    <w:jc w:val="center"/>
                    <w:rPr>
                      <w:i/>
                      <w:iCs/>
                      <w:szCs w:val="21"/>
                      <w:highlight w:val="none"/>
                      <w:u w:val="single"/>
                    </w:rPr>
                  </w:pPr>
                </w:p>
              </w:tc>
            </w:tr>
            <w:tr w14:paraId="4AA6A97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2" w:type="pct"/>
                  <w:vMerge w:val="restart"/>
                  <w:noWrap w:val="0"/>
                  <w:vAlign w:val="center"/>
                </w:tcPr>
                <w:p w14:paraId="5A34B510">
                  <w:pPr>
                    <w:jc w:val="center"/>
                    <w:rPr>
                      <w:i/>
                      <w:iCs/>
                      <w:szCs w:val="21"/>
                      <w:highlight w:val="none"/>
                      <w:u w:val="single"/>
                    </w:rPr>
                  </w:pPr>
                  <w:r>
                    <w:rPr>
                      <w:i/>
                      <w:iCs/>
                      <w:szCs w:val="21"/>
                      <w:highlight w:val="none"/>
                      <w:u w:val="single"/>
                      <w:lang w:bidi="ar"/>
                    </w:rPr>
                    <w:t>无组织</w:t>
                  </w:r>
                </w:p>
              </w:tc>
              <w:tc>
                <w:tcPr>
                  <w:tcW w:w="702" w:type="pct"/>
                  <w:vMerge w:val="restart"/>
                  <w:noWrap w:val="0"/>
                  <w:vAlign w:val="center"/>
                </w:tcPr>
                <w:p w14:paraId="7853D473">
                  <w:pPr>
                    <w:jc w:val="center"/>
                    <w:rPr>
                      <w:i/>
                      <w:iCs/>
                      <w:szCs w:val="21"/>
                      <w:highlight w:val="none"/>
                      <w:u w:val="single"/>
                      <w:lang w:bidi="ar"/>
                    </w:rPr>
                  </w:pPr>
                  <w:r>
                    <w:rPr>
                      <w:rFonts w:hint="eastAsia"/>
                      <w:i/>
                      <w:iCs/>
                      <w:szCs w:val="21"/>
                      <w:highlight w:val="none"/>
                      <w:u w:val="single"/>
                      <w:lang w:bidi="ar"/>
                    </w:rPr>
                    <w:t>喷漆及烘干</w:t>
                  </w:r>
                  <w:r>
                    <w:rPr>
                      <w:rFonts w:hint="eastAsia"/>
                      <w:i/>
                      <w:iCs/>
                      <w:szCs w:val="21"/>
                      <w:highlight w:val="none"/>
                      <w:u w:val="single"/>
                      <w:lang w:eastAsia="zh-CN" w:bidi="ar"/>
                    </w:rPr>
                    <w:t>废气</w:t>
                  </w:r>
                </w:p>
              </w:tc>
              <w:tc>
                <w:tcPr>
                  <w:tcW w:w="556" w:type="pct"/>
                  <w:noWrap w:val="0"/>
                  <w:vAlign w:val="center"/>
                </w:tcPr>
                <w:p w14:paraId="7C01A384">
                  <w:pPr>
                    <w:jc w:val="center"/>
                    <w:rPr>
                      <w:i/>
                      <w:iCs/>
                      <w:kern w:val="0"/>
                      <w:szCs w:val="21"/>
                      <w:highlight w:val="none"/>
                      <w:u w:val="single"/>
                    </w:rPr>
                  </w:pPr>
                  <w:r>
                    <w:rPr>
                      <w:rFonts w:hint="eastAsia"/>
                      <w:i/>
                      <w:iCs/>
                      <w:kern w:val="0"/>
                      <w:szCs w:val="21"/>
                      <w:highlight w:val="none"/>
                      <w:u w:val="single"/>
                    </w:rPr>
                    <w:t>漆雾</w:t>
                  </w:r>
                </w:p>
              </w:tc>
              <w:tc>
                <w:tcPr>
                  <w:tcW w:w="464" w:type="pct"/>
                  <w:noWrap w:val="0"/>
                  <w:vAlign w:val="center"/>
                </w:tcPr>
                <w:p w14:paraId="03363916">
                  <w:pPr>
                    <w:jc w:val="center"/>
                    <w:rPr>
                      <w:i/>
                      <w:iCs/>
                      <w:szCs w:val="21"/>
                      <w:highlight w:val="none"/>
                      <w:u w:val="single"/>
                      <w:lang w:bidi="ar"/>
                    </w:rPr>
                  </w:pPr>
                  <w:r>
                    <w:rPr>
                      <w:i/>
                      <w:iCs/>
                      <w:szCs w:val="21"/>
                      <w:highlight w:val="none"/>
                      <w:u w:val="single"/>
                      <w:lang w:bidi="ar"/>
                    </w:rPr>
                    <w:t>/</w:t>
                  </w:r>
                </w:p>
              </w:tc>
              <w:tc>
                <w:tcPr>
                  <w:tcW w:w="471" w:type="pct"/>
                  <w:noWrap w:val="0"/>
                  <w:vAlign w:val="center"/>
                </w:tcPr>
                <w:p w14:paraId="2B26F02F">
                  <w:pPr>
                    <w:jc w:val="center"/>
                    <w:rPr>
                      <w:rFonts w:hint="default" w:eastAsia="宋体"/>
                      <w:i/>
                      <w:iCs/>
                      <w:szCs w:val="21"/>
                      <w:highlight w:val="none"/>
                      <w:u w:val="single"/>
                      <w:lang w:val="en-US" w:eastAsia="zh-CN" w:bidi="ar"/>
                    </w:rPr>
                  </w:pPr>
                  <w:r>
                    <w:rPr>
                      <w:rFonts w:hint="eastAsia"/>
                      <w:i/>
                      <w:iCs/>
                      <w:szCs w:val="21"/>
                      <w:highlight w:val="none"/>
                      <w:u w:val="single"/>
                      <w:lang w:val="en-US" w:eastAsia="zh-CN" w:bidi="ar"/>
                    </w:rPr>
                    <w:t>0.008</w:t>
                  </w:r>
                </w:p>
              </w:tc>
              <w:tc>
                <w:tcPr>
                  <w:tcW w:w="372" w:type="pct"/>
                  <w:noWrap w:val="0"/>
                  <w:vAlign w:val="center"/>
                </w:tcPr>
                <w:p w14:paraId="42030CD7">
                  <w:pPr>
                    <w:jc w:val="center"/>
                    <w:rPr>
                      <w:rFonts w:hint="default" w:eastAsia="宋体"/>
                      <w:i/>
                      <w:iCs/>
                      <w:szCs w:val="21"/>
                      <w:highlight w:val="none"/>
                      <w:u w:val="single"/>
                      <w:lang w:val="en-US" w:eastAsia="zh-CN" w:bidi="ar"/>
                    </w:rPr>
                  </w:pPr>
                  <w:r>
                    <w:rPr>
                      <w:rFonts w:hint="eastAsia"/>
                      <w:i/>
                      <w:iCs/>
                      <w:szCs w:val="21"/>
                      <w:highlight w:val="none"/>
                      <w:u w:val="single"/>
                      <w:lang w:val="en-US" w:eastAsia="zh-CN" w:bidi="ar"/>
                    </w:rPr>
                    <w:t>0.053</w:t>
                  </w:r>
                </w:p>
              </w:tc>
              <w:tc>
                <w:tcPr>
                  <w:tcW w:w="568" w:type="pct"/>
                  <w:vMerge w:val="restart"/>
                  <w:noWrap w:val="0"/>
                  <w:vAlign w:val="center"/>
                </w:tcPr>
                <w:p w14:paraId="75401FEF">
                  <w:pPr>
                    <w:jc w:val="center"/>
                    <w:rPr>
                      <w:i/>
                      <w:iCs/>
                      <w:szCs w:val="21"/>
                      <w:highlight w:val="none"/>
                      <w:u w:val="single"/>
                      <w:lang w:bidi="ar"/>
                    </w:rPr>
                  </w:pPr>
                  <w:r>
                    <w:rPr>
                      <w:rFonts w:hint="eastAsia"/>
                      <w:i/>
                      <w:iCs/>
                      <w:szCs w:val="21"/>
                      <w:highlight w:val="none"/>
                      <w:u w:val="single"/>
                      <w:lang w:bidi="ar"/>
                    </w:rPr>
                    <w:t>加强集气收集</w:t>
                  </w:r>
                </w:p>
              </w:tc>
              <w:tc>
                <w:tcPr>
                  <w:tcW w:w="409" w:type="pct"/>
                  <w:noWrap w:val="0"/>
                  <w:vAlign w:val="center"/>
                </w:tcPr>
                <w:p w14:paraId="47D7AD7E">
                  <w:pPr>
                    <w:jc w:val="center"/>
                    <w:rPr>
                      <w:i/>
                      <w:iCs/>
                      <w:szCs w:val="21"/>
                      <w:highlight w:val="none"/>
                      <w:u w:val="single"/>
                      <w:lang w:bidi="ar"/>
                    </w:rPr>
                  </w:pPr>
                  <w:r>
                    <w:rPr>
                      <w:i/>
                      <w:iCs/>
                      <w:szCs w:val="21"/>
                      <w:highlight w:val="none"/>
                      <w:u w:val="single"/>
                      <w:lang w:bidi="ar"/>
                    </w:rPr>
                    <w:t>/</w:t>
                  </w:r>
                </w:p>
              </w:tc>
              <w:tc>
                <w:tcPr>
                  <w:tcW w:w="430" w:type="pct"/>
                  <w:noWrap w:val="0"/>
                  <w:vAlign w:val="center"/>
                </w:tcPr>
                <w:p w14:paraId="44969E5A">
                  <w:pPr>
                    <w:jc w:val="center"/>
                    <w:rPr>
                      <w:i/>
                      <w:iCs/>
                      <w:szCs w:val="21"/>
                      <w:highlight w:val="none"/>
                      <w:u w:val="single"/>
                      <w:lang w:bidi="ar"/>
                    </w:rPr>
                  </w:pPr>
                  <w:r>
                    <w:rPr>
                      <w:rFonts w:hint="eastAsia"/>
                      <w:i/>
                      <w:iCs/>
                      <w:szCs w:val="21"/>
                      <w:highlight w:val="none"/>
                      <w:u w:val="single"/>
                      <w:lang w:val="en-US" w:eastAsia="zh-CN" w:bidi="ar"/>
                    </w:rPr>
                    <w:t>0.008</w:t>
                  </w:r>
                </w:p>
              </w:tc>
              <w:tc>
                <w:tcPr>
                  <w:tcW w:w="364" w:type="pct"/>
                  <w:noWrap w:val="0"/>
                  <w:vAlign w:val="center"/>
                </w:tcPr>
                <w:p w14:paraId="64253D49">
                  <w:pPr>
                    <w:jc w:val="center"/>
                    <w:rPr>
                      <w:i/>
                      <w:iCs/>
                      <w:szCs w:val="21"/>
                      <w:highlight w:val="none"/>
                      <w:u w:val="single"/>
                    </w:rPr>
                  </w:pPr>
                  <w:r>
                    <w:rPr>
                      <w:rFonts w:hint="eastAsia"/>
                      <w:i/>
                      <w:iCs/>
                      <w:szCs w:val="21"/>
                      <w:highlight w:val="none"/>
                      <w:u w:val="single"/>
                      <w:lang w:val="en-US" w:eastAsia="zh-CN" w:bidi="ar"/>
                    </w:rPr>
                    <w:t>0.053</w:t>
                  </w:r>
                </w:p>
              </w:tc>
              <w:tc>
                <w:tcPr>
                  <w:tcW w:w="400" w:type="pct"/>
                  <w:noWrap w:val="0"/>
                  <w:vAlign w:val="center"/>
                </w:tcPr>
                <w:p w14:paraId="7C3F71D7">
                  <w:pPr>
                    <w:jc w:val="center"/>
                    <w:rPr>
                      <w:i/>
                      <w:iCs/>
                      <w:szCs w:val="21"/>
                      <w:highlight w:val="none"/>
                      <w:u w:val="single"/>
                      <w:lang w:bidi="ar"/>
                    </w:rPr>
                  </w:pPr>
                  <w:r>
                    <w:rPr>
                      <w:rFonts w:hint="eastAsia"/>
                      <w:i/>
                      <w:iCs/>
                      <w:szCs w:val="21"/>
                      <w:highlight w:val="none"/>
                      <w:u w:val="single"/>
                      <w:lang w:bidi="ar"/>
                    </w:rPr>
                    <w:t>150</w:t>
                  </w:r>
                </w:p>
              </w:tc>
            </w:tr>
            <w:tr w14:paraId="2351A86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62" w:type="pct"/>
                  <w:vMerge w:val="continue"/>
                  <w:noWrap w:val="0"/>
                  <w:vAlign w:val="center"/>
                </w:tcPr>
                <w:p w14:paraId="1043E628">
                  <w:pPr>
                    <w:jc w:val="center"/>
                    <w:rPr>
                      <w:i/>
                      <w:iCs/>
                      <w:szCs w:val="21"/>
                      <w:highlight w:val="none"/>
                      <w:u w:val="single"/>
                      <w:lang w:bidi="ar"/>
                    </w:rPr>
                  </w:pPr>
                </w:p>
              </w:tc>
              <w:tc>
                <w:tcPr>
                  <w:tcW w:w="702" w:type="pct"/>
                  <w:vMerge w:val="continue"/>
                  <w:noWrap w:val="0"/>
                  <w:vAlign w:val="center"/>
                </w:tcPr>
                <w:p w14:paraId="4BA53157">
                  <w:pPr>
                    <w:jc w:val="center"/>
                    <w:rPr>
                      <w:i/>
                      <w:iCs/>
                      <w:szCs w:val="21"/>
                      <w:highlight w:val="none"/>
                      <w:u w:val="single"/>
                      <w:lang w:bidi="ar"/>
                    </w:rPr>
                  </w:pPr>
                </w:p>
              </w:tc>
              <w:tc>
                <w:tcPr>
                  <w:tcW w:w="556" w:type="pct"/>
                  <w:noWrap w:val="0"/>
                  <w:vAlign w:val="center"/>
                </w:tcPr>
                <w:p w14:paraId="6A5E4AA4">
                  <w:pPr>
                    <w:jc w:val="center"/>
                    <w:rPr>
                      <w:rFonts w:hint="eastAsia"/>
                      <w:i/>
                      <w:iCs/>
                      <w:szCs w:val="21"/>
                      <w:highlight w:val="none"/>
                      <w:u w:val="single"/>
                    </w:rPr>
                  </w:pPr>
                  <w:r>
                    <w:rPr>
                      <w:rFonts w:hint="eastAsia"/>
                      <w:i/>
                      <w:iCs/>
                      <w:szCs w:val="21"/>
                      <w:highlight w:val="none"/>
                      <w:u w:val="single"/>
                      <w:lang w:bidi="ar"/>
                    </w:rPr>
                    <w:t>NMHC</w:t>
                  </w:r>
                </w:p>
              </w:tc>
              <w:tc>
                <w:tcPr>
                  <w:tcW w:w="464" w:type="pct"/>
                  <w:noWrap w:val="0"/>
                  <w:vAlign w:val="center"/>
                </w:tcPr>
                <w:p w14:paraId="5BDF9F87">
                  <w:pPr>
                    <w:jc w:val="center"/>
                    <w:rPr>
                      <w:i/>
                      <w:iCs/>
                      <w:szCs w:val="21"/>
                      <w:highlight w:val="none"/>
                      <w:u w:val="single"/>
                      <w:lang w:bidi="ar"/>
                    </w:rPr>
                  </w:pPr>
                  <w:r>
                    <w:rPr>
                      <w:i/>
                      <w:iCs/>
                      <w:szCs w:val="21"/>
                      <w:highlight w:val="none"/>
                      <w:u w:val="single"/>
                      <w:lang w:bidi="ar"/>
                    </w:rPr>
                    <w:t>/</w:t>
                  </w:r>
                </w:p>
              </w:tc>
              <w:tc>
                <w:tcPr>
                  <w:tcW w:w="471" w:type="pct"/>
                  <w:noWrap w:val="0"/>
                  <w:vAlign w:val="center"/>
                </w:tcPr>
                <w:p w14:paraId="4FE7F4BB">
                  <w:pPr>
                    <w:jc w:val="center"/>
                    <w:rPr>
                      <w:rFonts w:hint="default" w:eastAsia="宋体"/>
                      <w:i/>
                      <w:iCs/>
                      <w:szCs w:val="21"/>
                      <w:highlight w:val="none"/>
                      <w:u w:val="single"/>
                      <w:lang w:val="en-US" w:eastAsia="zh-CN" w:bidi="ar"/>
                    </w:rPr>
                  </w:pPr>
                  <w:r>
                    <w:rPr>
                      <w:rFonts w:hint="eastAsia"/>
                      <w:i/>
                      <w:iCs/>
                      <w:szCs w:val="21"/>
                      <w:highlight w:val="none"/>
                      <w:u w:val="single"/>
                      <w:lang w:val="en-US" w:eastAsia="zh-CN" w:bidi="ar"/>
                    </w:rPr>
                    <w:t>0.148</w:t>
                  </w:r>
                </w:p>
              </w:tc>
              <w:tc>
                <w:tcPr>
                  <w:tcW w:w="372" w:type="pct"/>
                  <w:noWrap w:val="0"/>
                  <w:vAlign w:val="center"/>
                </w:tcPr>
                <w:p w14:paraId="221FF2E6">
                  <w:pPr>
                    <w:jc w:val="center"/>
                    <w:rPr>
                      <w:rFonts w:hint="default" w:eastAsia="宋体"/>
                      <w:i/>
                      <w:iCs/>
                      <w:szCs w:val="21"/>
                      <w:highlight w:val="none"/>
                      <w:u w:val="single"/>
                      <w:lang w:val="en-US" w:eastAsia="zh-CN" w:bidi="ar"/>
                    </w:rPr>
                  </w:pPr>
                  <w:r>
                    <w:rPr>
                      <w:rFonts w:hint="eastAsia"/>
                      <w:i/>
                      <w:iCs/>
                      <w:szCs w:val="21"/>
                      <w:highlight w:val="none"/>
                      <w:u w:val="single"/>
                      <w:lang w:val="en-US" w:eastAsia="zh-CN" w:bidi="ar"/>
                    </w:rPr>
                    <w:t>0.247</w:t>
                  </w:r>
                </w:p>
              </w:tc>
              <w:tc>
                <w:tcPr>
                  <w:tcW w:w="568" w:type="pct"/>
                  <w:vMerge w:val="continue"/>
                  <w:noWrap w:val="0"/>
                  <w:vAlign w:val="center"/>
                </w:tcPr>
                <w:p w14:paraId="02428485">
                  <w:pPr>
                    <w:jc w:val="center"/>
                    <w:rPr>
                      <w:i/>
                      <w:iCs/>
                      <w:szCs w:val="21"/>
                      <w:highlight w:val="none"/>
                      <w:u w:val="single"/>
                      <w:lang w:bidi="ar"/>
                    </w:rPr>
                  </w:pPr>
                </w:p>
              </w:tc>
              <w:tc>
                <w:tcPr>
                  <w:tcW w:w="409" w:type="pct"/>
                  <w:noWrap w:val="0"/>
                  <w:vAlign w:val="center"/>
                </w:tcPr>
                <w:p w14:paraId="09429B02">
                  <w:pPr>
                    <w:jc w:val="center"/>
                    <w:rPr>
                      <w:i/>
                      <w:iCs/>
                      <w:szCs w:val="21"/>
                      <w:highlight w:val="none"/>
                      <w:u w:val="single"/>
                      <w:lang w:bidi="ar"/>
                    </w:rPr>
                  </w:pPr>
                  <w:r>
                    <w:rPr>
                      <w:i/>
                      <w:iCs/>
                      <w:szCs w:val="21"/>
                      <w:highlight w:val="none"/>
                      <w:u w:val="single"/>
                      <w:lang w:bidi="ar"/>
                    </w:rPr>
                    <w:t>/</w:t>
                  </w:r>
                </w:p>
              </w:tc>
              <w:tc>
                <w:tcPr>
                  <w:tcW w:w="430" w:type="pct"/>
                  <w:noWrap w:val="0"/>
                  <w:vAlign w:val="center"/>
                </w:tcPr>
                <w:p w14:paraId="11FFA01F">
                  <w:pPr>
                    <w:jc w:val="center"/>
                    <w:rPr>
                      <w:i/>
                      <w:iCs/>
                      <w:szCs w:val="21"/>
                      <w:highlight w:val="none"/>
                      <w:u w:val="single"/>
                      <w:lang w:bidi="ar"/>
                    </w:rPr>
                  </w:pPr>
                  <w:r>
                    <w:rPr>
                      <w:rFonts w:hint="eastAsia"/>
                      <w:i/>
                      <w:iCs/>
                      <w:szCs w:val="21"/>
                      <w:highlight w:val="none"/>
                      <w:u w:val="single"/>
                      <w:lang w:val="en-US" w:eastAsia="zh-CN" w:bidi="ar"/>
                    </w:rPr>
                    <w:t>0.148</w:t>
                  </w:r>
                </w:p>
              </w:tc>
              <w:tc>
                <w:tcPr>
                  <w:tcW w:w="364" w:type="pct"/>
                  <w:noWrap w:val="0"/>
                  <w:vAlign w:val="center"/>
                </w:tcPr>
                <w:p w14:paraId="15018660">
                  <w:pPr>
                    <w:jc w:val="center"/>
                    <w:rPr>
                      <w:i/>
                      <w:iCs/>
                      <w:szCs w:val="21"/>
                      <w:highlight w:val="none"/>
                      <w:u w:val="single"/>
                    </w:rPr>
                  </w:pPr>
                  <w:r>
                    <w:rPr>
                      <w:rFonts w:hint="eastAsia"/>
                      <w:i/>
                      <w:iCs/>
                      <w:szCs w:val="21"/>
                      <w:highlight w:val="none"/>
                      <w:u w:val="single"/>
                      <w:lang w:val="en-US" w:eastAsia="zh-CN" w:bidi="ar"/>
                    </w:rPr>
                    <w:t>0.247</w:t>
                  </w:r>
                </w:p>
              </w:tc>
              <w:tc>
                <w:tcPr>
                  <w:tcW w:w="400" w:type="pct"/>
                  <w:vMerge w:val="restart"/>
                  <w:noWrap w:val="0"/>
                  <w:vAlign w:val="center"/>
                </w:tcPr>
                <w:p w14:paraId="7722E663">
                  <w:pPr>
                    <w:jc w:val="center"/>
                    <w:rPr>
                      <w:rFonts w:hint="default" w:eastAsia="宋体"/>
                      <w:i/>
                      <w:iCs/>
                      <w:szCs w:val="21"/>
                      <w:highlight w:val="none"/>
                      <w:u w:val="single"/>
                      <w:lang w:val="en-US" w:eastAsia="zh-CN"/>
                    </w:rPr>
                  </w:pPr>
                  <w:r>
                    <w:rPr>
                      <w:rFonts w:hint="eastAsia"/>
                      <w:i/>
                      <w:iCs/>
                      <w:szCs w:val="21"/>
                      <w:highlight w:val="none"/>
                      <w:u w:val="single"/>
                      <w:lang w:val="en-US" w:eastAsia="zh-CN"/>
                    </w:rPr>
                    <w:t>600</w:t>
                  </w:r>
                </w:p>
              </w:tc>
            </w:tr>
            <w:tr w14:paraId="5B44950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2" w:type="pct"/>
                  <w:vMerge w:val="continue"/>
                  <w:noWrap w:val="0"/>
                  <w:vAlign w:val="center"/>
                </w:tcPr>
                <w:p w14:paraId="5D6D8149">
                  <w:pPr>
                    <w:jc w:val="center"/>
                    <w:rPr>
                      <w:i/>
                      <w:iCs/>
                      <w:szCs w:val="21"/>
                      <w:highlight w:val="none"/>
                      <w:u w:val="single"/>
                    </w:rPr>
                  </w:pPr>
                </w:p>
              </w:tc>
              <w:tc>
                <w:tcPr>
                  <w:tcW w:w="702" w:type="pct"/>
                  <w:vMerge w:val="continue"/>
                  <w:noWrap w:val="0"/>
                  <w:vAlign w:val="center"/>
                </w:tcPr>
                <w:p w14:paraId="74C3D7F7">
                  <w:pPr>
                    <w:jc w:val="center"/>
                    <w:rPr>
                      <w:i/>
                      <w:iCs/>
                      <w:szCs w:val="21"/>
                      <w:highlight w:val="none"/>
                      <w:u w:val="single"/>
                    </w:rPr>
                  </w:pPr>
                </w:p>
              </w:tc>
              <w:tc>
                <w:tcPr>
                  <w:tcW w:w="556" w:type="pct"/>
                  <w:noWrap w:val="0"/>
                  <w:vAlign w:val="center"/>
                </w:tcPr>
                <w:p w14:paraId="5BEEA4C3">
                  <w:pPr>
                    <w:jc w:val="center"/>
                    <w:rPr>
                      <w:i/>
                      <w:iCs/>
                      <w:szCs w:val="21"/>
                      <w:highlight w:val="none"/>
                      <w:u w:val="single"/>
                    </w:rPr>
                  </w:pPr>
                  <w:r>
                    <w:rPr>
                      <w:i/>
                      <w:iCs/>
                      <w:szCs w:val="21"/>
                      <w:highlight w:val="none"/>
                      <w:u w:val="single"/>
                      <w:lang w:bidi="ar"/>
                    </w:rPr>
                    <w:t>甲苯</w:t>
                  </w:r>
                </w:p>
              </w:tc>
              <w:tc>
                <w:tcPr>
                  <w:tcW w:w="464" w:type="pct"/>
                  <w:noWrap w:val="0"/>
                  <w:vAlign w:val="center"/>
                </w:tcPr>
                <w:p w14:paraId="23ED7DFB">
                  <w:pPr>
                    <w:jc w:val="center"/>
                    <w:rPr>
                      <w:i/>
                      <w:iCs/>
                      <w:szCs w:val="21"/>
                      <w:highlight w:val="none"/>
                      <w:u w:val="single"/>
                    </w:rPr>
                  </w:pPr>
                  <w:r>
                    <w:rPr>
                      <w:i/>
                      <w:iCs/>
                      <w:szCs w:val="21"/>
                      <w:highlight w:val="none"/>
                      <w:u w:val="single"/>
                      <w:lang w:bidi="ar"/>
                    </w:rPr>
                    <w:t>/</w:t>
                  </w:r>
                </w:p>
              </w:tc>
              <w:tc>
                <w:tcPr>
                  <w:tcW w:w="471" w:type="pct"/>
                  <w:noWrap w:val="0"/>
                  <w:vAlign w:val="center"/>
                </w:tcPr>
                <w:p w14:paraId="32AF7632">
                  <w:pPr>
                    <w:jc w:val="center"/>
                    <w:rPr>
                      <w:rFonts w:hint="default" w:eastAsia="宋体"/>
                      <w:i/>
                      <w:iCs/>
                      <w:szCs w:val="21"/>
                      <w:highlight w:val="none"/>
                      <w:u w:val="single"/>
                      <w:lang w:val="en-US" w:eastAsia="zh-CN"/>
                    </w:rPr>
                  </w:pPr>
                  <w:r>
                    <w:rPr>
                      <w:rFonts w:hint="eastAsia"/>
                      <w:i/>
                      <w:iCs/>
                      <w:szCs w:val="21"/>
                      <w:highlight w:val="none"/>
                      <w:u w:val="single"/>
                      <w:lang w:val="en-US" w:eastAsia="zh-CN"/>
                    </w:rPr>
                    <w:t>0.04</w:t>
                  </w:r>
                </w:p>
              </w:tc>
              <w:tc>
                <w:tcPr>
                  <w:tcW w:w="372" w:type="pct"/>
                  <w:noWrap w:val="0"/>
                  <w:vAlign w:val="center"/>
                </w:tcPr>
                <w:p w14:paraId="63786124">
                  <w:pPr>
                    <w:jc w:val="center"/>
                    <w:rPr>
                      <w:rFonts w:hint="default" w:eastAsia="宋体"/>
                      <w:i/>
                      <w:iCs/>
                      <w:szCs w:val="21"/>
                      <w:highlight w:val="none"/>
                      <w:u w:val="single"/>
                      <w:lang w:val="en-US" w:eastAsia="zh-CN"/>
                    </w:rPr>
                  </w:pPr>
                  <w:r>
                    <w:rPr>
                      <w:rFonts w:hint="eastAsia"/>
                      <w:i/>
                      <w:iCs/>
                      <w:szCs w:val="21"/>
                      <w:highlight w:val="none"/>
                      <w:u w:val="single"/>
                      <w:lang w:val="en-US" w:eastAsia="zh-CN"/>
                    </w:rPr>
                    <w:t>0.067</w:t>
                  </w:r>
                </w:p>
              </w:tc>
              <w:tc>
                <w:tcPr>
                  <w:tcW w:w="568" w:type="pct"/>
                  <w:vMerge w:val="continue"/>
                  <w:noWrap w:val="0"/>
                  <w:vAlign w:val="center"/>
                </w:tcPr>
                <w:p w14:paraId="65BEFF52">
                  <w:pPr>
                    <w:jc w:val="center"/>
                    <w:rPr>
                      <w:i/>
                      <w:iCs/>
                      <w:szCs w:val="21"/>
                      <w:highlight w:val="none"/>
                      <w:u w:val="single"/>
                    </w:rPr>
                  </w:pPr>
                </w:p>
              </w:tc>
              <w:tc>
                <w:tcPr>
                  <w:tcW w:w="409" w:type="pct"/>
                  <w:noWrap w:val="0"/>
                  <w:vAlign w:val="center"/>
                </w:tcPr>
                <w:p w14:paraId="02F741A1">
                  <w:pPr>
                    <w:jc w:val="center"/>
                    <w:rPr>
                      <w:i/>
                      <w:iCs/>
                      <w:szCs w:val="21"/>
                      <w:highlight w:val="none"/>
                      <w:u w:val="single"/>
                    </w:rPr>
                  </w:pPr>
                  <w:r>
                    <w:rPr>
                      <w:i/>
                      <w:iCs/>
                      <w:szCs w:val="21"/>
                      <w:highlight w:val="none"/>
                      <w:u w:val="single"/>
                      <w:lang w:bidi="ar"/>
                    </w:rPr>
                    <w:t>/</w:t>
                  </w:r>
                </w:p>
              </w:tc>
              <w:tc>
                <w:tcPr>
                  <w:tcW w:w="430" w:type="pct"/>
                  <w:noWrap w:val="0"/>
                  <w:vAlign w:val="center"/>
                </w:tcPr>
                <w:p w14:paraId="44379ECE">
                  <w:pPr>
                    <w:jc w:val="center"/>
                    <w:rPr>
                      <w:i/>
                      <w:iCs/>
                      <w:szCs w:val="21"/>
                      <w:highlight w:val="none"/>
                      <w:u w:val="single"/>
                    </w:rPr>
                  </w:pPr>
                  <w:r>
                    <w:rPr>
                      <w:rFonts w:hint="eastAsia"/>
                      <w:i/>
                      <w:iCs/>
                      <w:szCs w:val="21"/>
                      <w:highlight w:val="none"/>
                      <w:u w:val="single"/>
                      <w:lang w:val="en-US" w:eastAsia="zh-CN"/>
                    </w:rPr>
                    <w:t>0.04</w:t>
                  </w:r>
                </w:p>
              </w:tc>
              <w:tc>
                <w:tcPr>
                  <w:tcW w:w="364" w:type="pct"/>
                  <w:noWrap w:val="0"/>
                  <w:vAlign w:val="center"/>
                </w:tcPr>
                <w:p w14:paraId="66F87DA9">
                  <w:pPr>
                    <w:jc w:val="center"/>
                    <w:rPr>
                      <w:i/>
                      <w:iCs/>
                      <w:szCs w:val="21"/>
                      <w:highlight w:val="none"/>
                      <w:u w:val="single"/>
                    </w:rPr>
                  </w:pPr>
                  <w:r>
                    <w:rPr>
                      <w:rFonts w:hint="eastAsia"/>
                      <w:i/>
                      <w:iCs/>
                      <w:szCs w:val="21"/>
                      <w:highlight w:val="none"/>
                      <w:u w:val="single"/>
                      <w:lang w:val="en-US" w:eastAsia="zh-CN"/>
                    </w:rPr>
                    <w:t>0.067</w:t>
                  </w:r>
                </w:p>
              </w:tc>
              <w:tc>
                <w:tcPr>
                  <w:tcW w:w="400" w:type="pct"/>
                  <w:vMerge w:val="continue"/>
                  <w:noWrap w:val="0"/>
                  <w:vAlign w:val="center"/>
                </w:tcPr>
                <w:p w14:paraId="78B21554">
                  <w:pPr>
                    <w:jc w:val="center"/>
                    <w:rPr>
                      <w:i/>
                      <w:iCs/>
                      <w:szCs w:val="21"/>
                      <w:highlight w:val="none"/>
                      <w:u w:val="single"/>
                      <w:lang w:bidi="ar"/>
                    </w:rPr>
                  </w:pPr>
                </w:p>
              </w:tc>
            </w:tr>
          </w:tbl>
          <w:p w14:paraId="552E151C">
            <w:pPr>
              <w:spacing w:line="360" w:lineRule="auto"/>
              <w:ind w:firstLine="480" w:firstLineChars="200"/>
              <w:rPr>
                <w:rFonts w:hint="eastAsia"/>
                <w:sz w:val="24"/>
              </w:rPr>
            </w:pPr>
          </w:p>
          <w:p w14:paraId="437B5C57">
            <w:pPr>
              <w:spacing w:line="360" w:lineRule="auto"/>
              <w:ind w:firstLine="482" w:firstLineChars="200"/>
              <w:rPr>
                <w:rFonts w:hint="eastAsia"/>
                <w:b/>
                <w:bCs/>
                <w:sz w:val="24"/>
              </w:rPr>
            </w:pPr>
            <w:r>
              <w:rPr>
                <w:rFonts w:hint="eastAsia"/>
                <w:b/>
                <w:bCs/>
                <w:sz w:val="24"/>
              </w:rPr>
              <w:t>2.2污染治理措施及可行性</w:t>
            </w:r>
          </w:p>
          <w:p w14:paraId="36E20929">
            <w:pPr>
              <w:spacing w:line="360" w:lineRule="auto"/>
              <w:ind w:firstLine="480" w:firstLineChars="200"/>
              <w:rPr>
                <w:rFonts w:hint="eastAsia" w:eastAsia="宋体"/>
                <w:sz w:val="24"/>
                <w:lang w:eastAsia="zh-CN"/>
              </w:rPr>
            </w:pPr>
            <w:r>
              <w:rPr>
                <w:rFonts w:hint="eastAsia"/>
                <w:sz w:val="24"/>
              </w:rPr>
              <w:t>（1）喷砂废气G</w:t>
            </w:r>
            <w:r>
              <w:rPr>
                <w:rFonts w:hint="eastAsia"/>
                <w:sz w:val="24"/>
                <w:lang w:val="en-US" w:eastAsia="zh-CN"/>
              </w:rPr>
              <w:t>3</w:t>
            </w:r>
          </w:p>
          <w:p w14:paraId="749CA779">
            <w:pPr>
              <w:spacing w:line="360" w:lineRule="auto"/>
              <w:ind w:firstLine="480" w:firstLineChars="200"/>
              <w:rPr>
                <w:rFonts w:hint="eastAsia"/>
                <w:sz w:val="24"/>
              </w:rPr>
            </w:pPr>
            <w:r>
              <w:rPr>
                <w:rFonts w:hint="eastAsia"/>
                <w:sz w:val="24"/>
              </w:rPr>
              <w:t>本项目为实验室建设项目、无排污许可申请与核发技术规范，本项目参考《排污许可证申请与核发技术规范</w:t>
            </w:r>
            <w:r>
              <w:rPr>
                <w:rFonts w:hint="eastAsia"/>
                <w:sz w:val="24"/>
                <w:lang w:val="en-US" w:eastAsia="zh-CN"/>
              </w:rPr>
              <w:t xml:space="preserve"> </w:t>
            </w:r>
            <w:r>
              <w:rPr>
                <w:rFonts w:hint="eastAsia"/>
                <w:sz w:val="24"/>
                <w:lang w:eastAsia="zh-CN"/>
              </w:rPr>
              <w:t>总则</w:t>
            </w:r>
            <w:r>
              <w:rPr>
                <w:rFonts w:hint="eastAsia"/>
                <w:sz w:val="24"/>
              </w:rPr>
              <w:t>》（HJ</w:t>
            </w:r>
            <w:r>
              <w:rPr>
                <w:rFonts w:hint="eastAsia"/>
                <w:sz w:val="24"/>
                <w:lang w:val="en-US" w:eastAsia="zh-CN"/>
              </w:rPr>
              <w:t>942</w:t>
            </w:r>
            <w:r>
              <w:rPr>
                <w:rFonts w:hint="eastAsia"/>
                <w:sz w:val="24"/>
              </w:rPr>
              <w:t>-20</w:t>
            </w:r>
            <w:r>
              <w:rPr>
                <w:rFonts w:hint="eastAsia"/>
                <w:sz w:val="24"/>
                <w:lang w:val="en-US" w:eastAsia="zh-CN"/>
              </w:rPr>
              <w:t>18</w:t>
            </w:r>
            <w:r>
              <w:rPr>
                <w:rFonts w:hint="eastAsia"/>
                <w:sz w:val="24"/>
              </w:rPr>
              <w:t>）</w:t>
            </w:r>
            <w:r>
              <w:rPr>
                <w:rFonts w:hint="eastAsia"/>
                <w:sz w:val="24"/>
                <w:lang w:eastAsia="zh-CN"/>
              </w:rPr>
              <w:t>中</w:t>
            </w:r>
            <w:r>
              <w:rPr>
                <w:rFonts w:hint="eastAsia"/>
                <w:sz w:val="24"/>
                <w:lang w:val="en-US" w:eastAsia="zh-CN"/>
              </w:rPr>
              <w:t>4.5.2.1描述</w:t>
            </w:r>
            <w:r>
              <w:rPr>
                <w:rFonts w:hint="eastAsia"/>
                <w:sz w:val="24"/>
              </w:rPr>
              <w:t>，</w:t>
            </w:r>
            <w:r>
              <w:rPr>
                <w:rFonts w:hint="eastAsia"/>
                <w:sz w:val="24"/>
                <w:lang w:eastAsia="zh-CN"/>
              </w:rPr>
              <w:t>“废气污染治理设施工艺包括除尘设施（袋式除尘器、电除尘器、电袋复合除尘器、其他）”</w:t>
            </w:r>
            <w:r>
              <w:rPr>
                <w:rFonts w:hint="eastAsia"/>
                <w:sz w:val="24"/>
              </w:rPr>
              <w:t>本项</w:t>
            </w:r>
            <w:r>
              <w:rPr>
                <w:rFonts w:hint="eastAsia"/>
                <w:sz w:val="24"/>
                <w:highlight w:val="none"/>
              </w:rPr>
              <w:t>目</w:t>
            </w:r>
            <w:r>
              <w:rPr>
                <w:rFonts w:hint="eastAsia"/>
                <w:sz w:val="24"/>
                <w:highlight w:val="none"/>
                <w:lang w:eastAsia="zh-CN"/>
              </w:rPr>
              <w:t>喷砂工序</w:t>
            </w:r>
            <w:r>
              <w:rPr>
                <w:rFonts w:hint="eastAsia"/>
                <w:sz w:val="24"/>
                <w:highlight w:val="none"/>
              </w:rPr>
              <w:t>采用滤筒除尘器，属于布袋除尘器的一种，属可行性技术</w:t>
            </w:r>
            <w:r>
              <w:rPr>
                <w:rFonts w:hint="eastAsia"/>
                <w:sz w:val="24"/>
              </w:rPr>
              <w:t>，2台喷砂机均位于制备实验室内，距离较近，</w:t>
            </w:r>
            <w:r>
              <w:rPr>
                <w:sz w:val="24"/>
              </w:rPr>
              <w:t>喷砂废气经各自的滤筒除尘器处理后可通过三通管道连接至1</w:t>
            </w:r>
            <w:r>
              <w:rPr>
                <w:rFonts w:hint="eastAsia"/>
                <w:sz w:val="24"/>
                <w:lang w:eastAsia="zh-CN"/>
              </w:rPr>
              <w:t>根</w:t>
            </w:r>
            <w:r>
              <w:rPr>
                <w:sz w:val="24"/>
              </w:rPr>
              <w:t>排气筒DA001排放</w:t>
            </w:r>
            <w:r>
              <w:rPr>
                <w:rFonts w:hint="eastAsia"/>
                <w:sz w:val="24"/>
              </w:rPr>
              <w:t>。</w:t>
            </w:r>
          </w:p>
          <w:p w14:paraId="68BD4E6A">
            <w:pPr>
              <w:spacing w:line="360" w:lineRule="auto"/>
              <w:ind w:firstLine="480" w:firstLineChars="200"/>
              <w:rPr>
                <w:rFonts w:hint="eastAsia" w:eastAsia="宋体"/>
                <w:sz w:val="24"/>
                <w:lang w:eastAsia="zh-CN"/>
              </w:rPr>
            </w:pPr>
            <w:r>
              <w:rPr>
                <w:rFonts w:hint="eastAsia"/>
                <w:sz w:val="24"/>
              </w:rPr>
              <w:t>（2）</w:t>
            </w:r>
            <w:r>
              <w:rPr>
                <w:rFonts w:hint="eastAsia"/>
                <w:sz w:val="24"/>
                <w:lang w:eastAsia="zh-CN"/>
              </w:rPr>
              <w:t>有机废气</w:t>
            </w:r>
            <w:r>
              <w:rPr>
                <w:rFonts w:hint="eastAsia"/>
                <w:sz w:val="24"/>
                <w:lang w:val="en-US" w:eastAsia="zh-CN"/>
              </w:rPr>
              <w:t>G1、G2、</w:t>
            </w:r>
            <w:r>
              <w:rPr>
                <w:rFonts w:hint="eastAsia"/>
                <w:sz w:val="24"/>
              </w:rPr>
              <w:t>G</w:t>
            </w:r>
            <w:r>
              <w:rPr>
                <w:rFonts w:hint="eastAsia"/>
                <w:sz w:val="24"/>
                <w:lang w:val="en-US" w:eastAsia="zh-CN"/>
              </w:rPr>
              <w:t>4</w:t>
            </w:r>
          </w:p>
          <w:p w14:paraId="79549669">
            <w:pPr>
              <w:spacing w:line="360" w:lineRule="auto"/>
              <w:ind w:firstLine="480" w:firstLineChars="200"/>
              <w:rPr>
                <w:rFonts w:hint="eastAsia" w:eastAsia="宋体"/>
                <w:i/>
                <w:iCs/>
                <w:sz w:val="24"/>
                <w:u w:val="single"/>
                <w:lang w:eastAsia="zh-CN"/>
              </w:rPr>
            </w:pPr>
            <w:r>
              <w:rPr>
                <w:rFonts w:hint="eastAsia"/>
                <w:sz w:val="24"/>
                <w:lang w:eastAsia="zh-CN"/>
              </w:rPr>
              <w:t>喷涂实验室</w:t>
            </w:r>
            <w:r>
              <w:rPr>
                <w:rFonts w:hint="eastAsia"/>
                <w:sz w:val="24"/>
              </w:rPr>
              <w:t>处理设施采用过滤棉＋活性炭吸附法，《2020年挥发性有机物治理攻坚方案》提出“采用活性炭吸附技术的，应选择碘值不低于800毫克/克的活性炭”，本项目实验室使用吸附效率高的活性炭，选用碘值不低于800毫克/克的活性炭用于有机废气吸附，更换周期为1次/半年。</w:t>
            </w:r>
            <w:r>
              <w:rPr>
                <w:rFonts w:hint="eastAsia"/>
                <w:sz w:val="24"/>
                <w:lang w:eastAsia="zh-CN"/>
              </w:rPr>
              <w:t>根据</w:t>
            </w:r>
            <w:r>
              <w:rPr>
                <w:rFonts w:hint="eastAsia"/>
                <w:sz w:val="24"/>
              </w:rPr>
              <w:t>《排污许可证申请与核发技术规范</w:t>
            </w:r>
            <w:r>
              <w:rPr>
                <w:rFonts w:hint="eastAsia"/>
                <w:sz w:val="24"/>
                <w:lang w:val="en-US" w:eastAsia="zh-CN"/>
              </w:rPr>
              <w:t xml:space="preserve"> </w:t>
            </w:r>
            <w:r>
              <w:rPr>
                <w:rFonts w:hint="eastAsia"/>
                <w:sz w:val="24"/>
                <w:lang w:eastAsia="zh-CN"/>
              </w:rPr>
              <w:t>总则</w:t>
            </w:r>
            <w:r>
              <w:rPr>
                <w:rFonts w:hint="eastAsia"/>
                <w:sz w:val="24"/>
              </w:rPr>
              <w:t>》（HJ</w:t>
            </w:r>
            <w:r>
              <w:rPr>
                <w:rFonts w:hint="eastAsia"/>
                <w:sz w:val="24"/>
                <w:lang w:val="en-US" w:eastAsia="zh-CN"/>
              </w:rPr>
              <w:t>942</w:t>
            </w:r>
            <w:r>
              <w:rPr>
                <w:rFonts w:hint="eastAsia"/>
                <w:sz w:val="24"/>
              </w:rPr>
              <w:t>-20</w:t>
            </w:r>
            <w:r>
              <w:rPr>
                <w:rFonts w:hint="eastAsia"/>
                <w:sz w:val="24"/>
                <w:lang w:val="en-US" w:eastAsia="zh-CN"/>
              </w:rPr>
              <w:t>18</w:t>
            </w:r>
            <w:r>
              <w:rPr>
                <w:rFonts w:hint="eastAsia"/>
                <w:sz w:val="24"/>
              </w:rPr>
              <w:t>）</w:t>
            </w:r>
            <w:r>
              <w:rPr>
                <w:rFonts w:hint="eastAsia"/>
                <w:sz w:val="24"/>
                <w:lang w:eastAsia="zh-CN"/>
              </w:rPr>
              <w:t>中</w:t>
            </w:r>
            <w:r>
              <w:rPr>
                <w:rFonts w:hint="eastAsia"/>
                <w:sz w:val="24"/>
                <w:lang w:val="en-US" w:eastAsia="zh-CN"/>
              </w:rPr>
              <w:t>4.5.2.1描述</w:t>
            </w:r>
            <w:r>
              <w:rPr>
                <w:rFonts w:hint="eastAsia"/>
                <w:sz w:val="24"/>
              </w:rPr>
              <w:t>，</w:t>
            </w:r>
            <w:r>
              <w:rPr>
                <w:rFonts w:hint="eastAsia"/>
                <w:sz w:val="24"/>
                <w:lang w:eastAsia="zh-CN"/>
              </w:rPr>
              <w:t>“废气污染治理设施工艺包括其他废气收集处理设施（活性炭吸附、生物滤塔、洗涤、吸收、燃烧、氧化、过滤、其他）”</w:t>
            </w:r>
            <w:r>
              <w:rPr>
                <w:rFonts w:hint="eastAsia"/>
                <w:sz w:val="24"/>
              </w:rPr>
              <w:t>，</w:t>
            </w:r>
            <w:r>
              <w:rPr>
                <w:rFonts w:hint="eastAsia"/>
                <w:i/>
                <w:iCs/>
                <w:sz w:val="24"/>
                <w:u w:val="single"/>
                <w:lang w:eastAsia="zh-CN"/>
              </w:rPr>
              <w:t>本项目采用集气罩</w:t>
            </w:r>
            <w:r>
              <w:rPr>
                <w:rFonts w:hint="eastAsia"/>
                <w:i/>
                <w:iCs/>
                <w:sz w:val="24"/>
                <w:u w:val="single"/>
                <w:lang w:val="en-US" w:eastAsia="zh-CN"/>
              </w:rPr>
              <w:t>+</w:t>
            </w:r>
            <w:r>
              <w:rPr>
                <w:rFonts w:hint="eastAsia"/>
                <w:i/>
                <w:iCs/>
                <w:sz w:val="24"/>
                <w:u w:val="single"/>
              </w:rPr>
              <w:t>过滤棉＋活性炭吸附法为可行性技术。</w:t>
            </w:r>
            <w:r>
              <w:rPr>
                <w:rFonts w:hint="eastAsia"/>
                <w:i/>
                <w:iCs/>
                <w:sz w:val="24"/>
                <w:u w:val="single"/>
                <w:lang w:eastAsia="zh-CN"/>
              </w:rPr>
              <w:t>本项目在喷涂实验室喷涂实验区上方及制备实验室搅拌罐各设置</w:t>
            </w:r>
            <w:r>
              <w:rPr>
                <w:rFonts w:hint="eastAsia"/>
                <w:i/>
                <w:iCs/>
                <w:sz w:val="24"/>
                <w:u w:val="single"/>
                <w:lang w:val="en-US" w:eastAsia="zh-CN"/>
              </w:rPr>
              <w:t>1</w:t>
            </w:r>
            <w:r>
              <w:rPr>
                <w:rFonts w:hint="eastAsia"/>
                <w:i/>
                <w:iCs/>
                <w:sz w:val="24"/>
                <w:u w:val="single"/>
                <w:lang w:eastAsia="zh-CN"/>
              </w:rPr>
              <w:t>个集气罩，并通过三通管道与处理措施相连</w:t>
            </w:r>
            <w:r>
              <w:rPr>
                <w:rFonts w:hint="eastAsia"/>
                <w:i/>
                <w:iCs/>
                <w:sz w:val="24"/>
                <w:u w:val="single"/>
              </w:rPr>
              <w:t>。</w:t>
            </w:r>
            <w:r>
              <w:rPr>
                <w:rFonts w:hint="eastAsia"/>
                <w:i/>
                <w:iCs/>
                <w:sz w:val="24"/>
                <w:u w:val="single"/>
                <w:lang w:eastAsia="zh-CN"/>
              </w:rPr>
              <w:t>实验室配备通风橱，通过通风管道与建筑物总排风口相连，以保障室内空气环境安全。</w:t>
            </w:r>
          </w:p>
          <w:p w14:paraId="52022863">
            <w:pPr>
              <w:pStyle w:val="9"/>
              <w:spacing w:before="0" w:after="0" w:line="360" w:lineRule="auto"/>
              <w:ind w:right="0" w:firstLine="482"/>
              <w:rPr>
                <w:b/>
                <w:kern w:val="2"/>
                <w:sz w:val="24"/>
                <w:szCs w:val="24"/>
              </w:rPr>
            </w:pPr>
            <w:r>
              <w:rPr>
                <w:rFonts w:hint="eastAsia"/>
                <w:b/>
                <w:kern w:val="2"/>
                <w:sz w:val="24"/>
                <w:szCs w:val="24"/>
              </w:rPr>
              <w:t>2</w:t>
            </w:r>
            <w:r>
              <w:rPr>
                <w:b/>
                <w:kern w:val="2"/>
                <w:sz w:val="24"/>
                <w:szCs w:val="24"/>
              </w:rPr>
              <w:t>.</w:t>
            </w:r>
            <w:r>
              <w:rPr>
                <w:rFonts w:hint="eastAsia"/>
                <w:b/>
                <w:kern w:val="2"/>
                <w:sz w:val="24"/>
                <w:szCs w:val="24"/>
              </w:rPr>
              <w:t>3</w:t>
            </w:r>
            <w:r>
              <w:rPr>
                <w:b/>
                <w:kern w:val="2"/>
                <w:sz w:val="24"/>
                <w:szCs w:val="24"/>
              </w:rPr>
              <w:t>达标排放及环境影响分析</w:t>
            </w:r>
          </w:p>
          <w:p w14:paraId="3A2331D3">
            <w:pPr>
              <w:pStyle w:val="9"/>
              <w:spacing w:before="0" w:after="0" w:line="360" w:lineRule="auto"/>
              <w:ind w:right="0" w:firstLine="480" w:firstLineChars="200"/>
              <w:rPr>
                <w:sz w:val="24"/>
                <w:szCs w:val="24"/>
              </w:rPr>
            </w:pPr>
            <w:r>
              <w:rPr>
                <w:rFonts w:hint="eastAsia"/>
                <w:sz w:val="24"/>
                <w:szCs w:val="24"/>
              </w:rPr>
              <w:t>喷砂废气通过自带滤筒除尘器处理通过</w:t>
            </w:r>
            <w:r>
              <w:rPr>
                <w:rFonts w:hint="eastAsia"/>
                <w:sz w:val="24"/>
                <w:szCs w:val="24"/>
                <w:lang w:val="en-US" w:eastAsia="zh-CN"/>
              </w:rPr>
              <w:t>15</w:t>
            </w:r>
            <w:r>
              <w:rPr>
                <w:rFonts w:hint="eastAsia"/>
                <w:sz w:val="24"/>
                <w:szCs w:val="24"/>
              </w:rPr>
              <w:t>m排气筒（DA001）排放，排放浓度为2.576mg/m</w:t>
            </w:r>
            <w:r>
              <w:rPr>
                <w:rFonts w:hint="eastAsia"/>
                <w:sz w:val="24"/>
                <w:szCs w:val="24"/>
                <w:vertAlign w:val="superscript"/>
              </w:rPr>
              <w:t>3</w:t>
            </w:r>
            <w:r>
              <w:rPr>
                <w:rFonts w:hint="eastAsia"/>
                <w:sz w:val="24"/>
                <w:szCs w:val="24"/>
              </w:rPr>
              <w:t>，排放速率为0.0026kg/h，</w:t>
            </w:r>
            <w:r>
              <w:rPr>
                <w:rFonts w:hint="eastAsia"/>
                <w:sz w:val="24"/>
              </w:rPr>
              <w:t>上述颗粒物</w:t>
            </w:r>
            <w:r>
              <w:rPr>
                <w:rFonts w:hint="eastAsia"/>
                <w:sz w:val="24"/>
                <w:szCs w:val="24"/>
              </w:rPr>
              <w:t>排放速率和浓度满足</w:t>
            </w:r>
            <w:r>
              <w:rPr>
                <w:sz w:val="24"/>
                <w:szCs w:val="24"/>
                <w:lang w:val="zh-CN"/>
              </w:rPr>
              <w:t>GB16297-1996《大气污染物综合排放标准》</w:t>
            </w:r>
            <w:r>
              <w:rPr>
                <w:rFonts w:hint="eastAsia"/>
                <w:sz w:val="24"/>
                <w:szCs w:val="24"/>
                <w:lang w:val="zh-CN"/>
              </w:rPr>
              <w:t>二级排放标准</w:t>
            </w:r>
            <w:r>
              <w:rPr>
                <w:rFonts w:hint="eastAsia"/>
                <w:sz w:val="24"/>
                <w:szCs w:val="24"/>
              </w:rPr>
              <w:t>要求。</w:t>
            </w:r>
          </w:p>
          <w:p w14:paraId="76C6D4E7">
            <w:pPr>
              <w:pStyle w:val="9"/>
              <w:spacing w:before="0" w:after="0" w:line="360" w:lineRule="auto"/>
              <w:ind w:right="0" w:firstLine="480" w:firstLineChars="200"/>
              <w:rPr>
                <w:sz w:val="24"/>
                <w:szCs w:val="24"/>
              </w:rPr>
            </w:pPr>
            <w:r>
              <w:rPr>
                <w:rFonts w:hint="eastAsia"/>
                <w:sz w:val="24"/>
                <w:lang w:eastAsia="zh-CN"/>
              </w:rPr>
              <w:t>喷涂实验及制备实验产生的有机</w:t>
            </w:r>
            <w:r>
              <w:rPr>
                <w:rFonts w:hint="eastAsia"/>
                <w:sz w:val="24"/>
              </w:rPr>
              <w:t>废气NMHC及甲苯</w:t>
            </w:r>
            <w:r>
              <w:rPr>
                <w:sz w:val="24"/>
              </w:rPr>
              <w:t>经活性炭吸附处理</w:t>
            </w:r>
            <w:r>
              <w:rPr>
                <w:rFonts w:hint="eastAsia"/>
                <w:sz w:val="24"/>
                <w:szCs w:val="24"/>
              </w:rPr>
              <w:t>通过</w:t>
            </w:r>
            <w:r>
              <w:rPr>
                <w:rFonts w:hint="eastAsia"/>
                <w:sz w:val="24"/>
                <w:szCs w:val="24"/>
                <w:lang w:val="en-US" w:eastAsia="zh-CN"/>
              </w:rPr>
              <w:t>15</w:t>
            </w:r>
            <w:r>
              <w:rPr>
                <w:rFonts w:hint="eastAsia"/>
                <w:sz w:val="24"/>
                <w:szCs w:val="24"/>
              </w:rPr>
              <w:t>m高排气筒（DA002）排放</w:t>
            </w:r>
            <w:r>
              <w:rPr>
                <w:sz w:val="24"/>
              </w:rPr>
              <w:t>，</w:t>
            </w:r>
            <w:r>
              <w:rPr>
                <w:rFonts w:hint="eastAsia"/>
                <w:sz w:val="24"/>
              </w:rPr>
              <w:t>NMHC</w:t>
            </w:r>
            <w:r>
              <w:rPr>
                <w:sz w:val="24"/>
              </w:rPr>
              <w:t>排放速率为</w:t>
            </w:r>
            <w:r>
              <w:rPr>
                <w:rFonts w:hint="eastAsia"/>
                <w:sz w:val="24"/>
                <w:lang w:val="en-US" w:eastAsia="zh-CN"/>
              </w:rPr>
              <w:t>0.444</w:t>
            </w:r>
            <w:r>
              <w:rPr>
                <w:sz w:val="24"/>
              </w:rPr>
              <w:t>kg/h，排放浓度为</w:t>
            </w:r>
            <w:r>
              <w:rPr>
                <w:rFonts w:hint="eastAsia"/>
                <w:sz w:val="24"/>
                <w:lang w:val="en-US" w:eastAsia="zh-CN"/>
              </w:rPr>
              <w:t>88.8</w:t>
            </w:r>
            <w:r>
              <w:rPr>
                <w:sz w:val="24"/>
              </w:rPr>
              <w:t>mg/m</w:t>
            </w:r>
            <w:r>
              <w:rPr>
                <w:sz w:val="24"/>
                <w:vertAlign w:val="superscript"/>
              </w:rPr>
              <w:t>3</w:t>
            </w:r>
            <w:r>
              <w:rPr>
                <w:sz w:val="24"/>
              </w:rPr>
              <w:t>。</w:t>
            </w:r>
            <w:r>
              <w:rPr>
                <w:rFonts w:hint="eastAsia"/>
                <w:sz w:val="24"/>
              </w:rPr>
              <w:t>甲苯</w:t>
            </w:r>
            <w:r>
              <w:rPr>
                <w:sz w:val="24"/>
              </w:rPr>
              <w:t>排放速率为</w:t>
            </w:r>
            <w:r>
              <w:rPr>
                <w:rFonts w:hint="eastAsia"/>
                <w:sz w:val="24"/>
                <w:lang w:val="en-US" w:eastAsia="zh-CN"/>
              </w:rPr>
              <w:t>0.12</w:t>
            </w:r>
            <w:r>
              <w:rPr>
                <w:sz w:val="24"/>
              </w:rPr>
              <w:t>kg/h，排放浓度为</w:t>
            </w:r>
            <w:r>
              <w:rPr>
                <w:rFonts w:hint="eastAsia"/>
                <w:sz w:val="24"/>
                <w:lang w:val="en-US" w:eastAsia="zh-CN"/>
              </w:rPr>
              <w:t>24</w:t>
            </w:r>
            <w:r>
              <w:rPr>
                <w:sz w:val="24"/>
              </w:rPr>
              <w:t>mg/m</w:t>
            </w:r>
            <w:r>
              <w:rPr>
                <w:sz w:val="24"/>
                <w:vertAlign w:val="superscript"/>
              </w:rPr>
              <w:t>3</w:t>
            </w:r>
            <w:r>
              <w:rPr>
                <w:sz w:val="24"/>
              </w:rPr>
              <w:t>。</w:t>
            </w:r>
            <w:r>
              <w:rPr>
                <w:rFonts w:hint="eastAsia"/>
                <w:sz w:val="24"/>
                <w:szCs w:val="24"/>
              </w:rPr>
              <w:t>漆雾（颗粒物）经过过滤棉吸附后通过</w:t>
            </w:r>
            <w:r>
              <w:rPr>
                <w:rFonts w:hint="eastAsia"/>
                <w:sz w:val="24"/>
                <w:szCs w:val="24"/>
                <w:lang w:val="en-US" w:eastAsia="zh-CN"/>
              </w:rPr>
              <w:t>15</w:t>
            </w:r>
            <w:r>
              <w:rPr>
                <w:rFonts w:hint="eastAsia"/>
                <w:sz w:val="24"/>
                <w:szCs w:val="24"/>
              </w:rPr>
              <w:t>m高排气筒（DA002），</w:t>
            </w:r>
            <w:r>
              <w:rPr>
                <w:sz w:val="24"/>
              </w:rPr>
              <w:t>排放速率为</w:t>
            </w:r>
            <w:r>
              <w:rPr>
                <w:rFonts w:hint="eastAsia"/>
                <w:sz w:val="24"/>
              </w:rPr>
              <w:t>0.0</w:t>
            </w:r>
            <w:r>
              <w:rPr>
                <w:rFonts w:hint="eastAsia"/>
                <w:sz w:val="24"/>
                <w:lang w:val="en-US" w:eastAsia="zh-CN"/>
              </w:rPr>
              <w:t>94</w:t>
            </w:r>
            <w:r>
              <w:rPr>
                <w:sz w:val="24"/>
              </w:rPr>
              <w:t>kg/h，排放浓度为</w:t>
            </w:r>
            <w:r>
              <w:rPr>
                <w:rFonts w:hint="eastAsia"/>
                <w:sz w:val="24"/>
                <w:lang w:val="en-US" w:eastAsia="zh-CN"/>
              </w:rPr>
              <w:t>18.72</w:t>
            </w:r>
            <w:r>
              <w:rPr>
                <w:sz w:val="24"/>
              </w:rPr>
              <w:t>mg/m</w:t>
            </w:r>
            <w:r>
              <w:rPr>
                <w:sz w:val="24"/>
                <w:vertAlign w:val="superscript"/>
              </w:rPr>
              <w:t>3</w:t>
            </w:r>
            <w:r>
              <w:rPr>
                <w:sz w:val="24"/>
              </w:rPr>
              <w:t>，</w:t>
            </w:r>
            <w:r>
              <w:rPr>
                <w:rFonts w:hint="eastAsia"/>
                <w:sz w:val="24"/>
                <w:szCs w:val="24"/>
              </w:rPr>
              <w:t>满足</w:t>
            </w:r>
            <w:r>
              <w:rPr>
                <w:sz w:val="24"/>
                <w:szCs w:val="24"/>
                <w:lang w:val="zh-CN"/>
              </w:rPr>
              <w:t>《大气污染物综合排放标准》</w:t>
            </w:r>
            <w:r>
              <w:rPr>
                <w:rFonts w:hint="eastAsia"/>
                <w:sz w:val="24"/>
                <w:szCs w:val="24"/>
                <w:lang w:val="zh-CN"/>
              </w:rPr>
              <w:t>（</w:t>
            </w:r>
            <w:r>
              <w:rPr>
                <w:sz w:val="24"/>
                <w:szCs w:val="24"/>
                <w:lang w:val="zh-CN"/>
              </w:rPr>
              <w:t>GB16297-1996</w:t>
            </w:r>
            <w:r>
              <w:rPr>
                <w:rFonts w:hint="eastAsia"/>
                <w:sz w:val="24"/>
                <w:szCs w:val="24"/>
                <w:lang w:val="zh-CN"/>
              </w:rPr>
              <w:t>）二级排放标准</w:t>
            </w:r>
            <w:r>
              <w:rPr>
                <w:rFonts w:hint="eastAsia"/>
                <w:sz w:val="24"/>
                <w:szCs w:val="24"/>
              </w:rPr>
              <w:t>要求。</w:t>
            </w:r>
          </w:p>
          <w:p w14:paraId="6BEF4B8D">
            <w:pPr>
              <w:pStyle w:val="9"/>
              <w:spacing w:before="0" w:after="0" w:line="360" w:lineRule="auto"/>
              <w:ind w:right="0" w:firstLine="482"/>
              <w:rPr>
                <w:b/>
                <w:kern w:val="2"/>
                <w:sz w:val="24"/>
                <w:szCs w:val="24"/>
              </w:rPr>
            </w:pPr>
            <w:r>
              <w:rPr>
                <w:rFonts w:hint="eastAsia"/>
                <w:b/>
                <w:kern w:val="2"/>
                <w:sz w:val="24"/>
                <w:szCs w:val="24"/>
              </w:rPr>
              <w:t>2.4</w:t>
            </w:r>
            <w:r>
              <w:rPr>
                <w:b/>
                <w:kern w:val="2"/>
                <w:sz w:val="24"/>
                <w:szCs w:val="24"/>
              </w:rPr>
              <w:t>排放口</w:t>
            </w:r>
            <w:r>
              <w:rPr>
                <w:rFonts w:hint="eastAsia"/>
                <w:b/>
                <w:kern w:val="2"/>
                <w:sz w:val="24"/>
                <w:szCs w:val="24"/>
              </w:rPr>
              <w:t>设置</w:t>
            </w:r>
            <w:r>
              <w:rPr>
                <w:b/>
                <w:kern w:val="2"/>
                <w:sz w:val="24"/>
                <w:szCs w:val="24"/>
              </w:rPr>
              <w:t>及监测要求</w:t>
            </w:r>
          </w:p>
          <w:p w14:paraId="761D6F65">
            <w:pPr>
              <w:pStyle w:val="9"/>
              <w:spacing w:before="0" w:after="0" w:line="360" w:lineRule="auto"/>
              <w:ind w:right="0" w:firstLine="482"/>
              <w:rPr>
                <w:sz w:val="24"/>
                <w:szCs w:val="24"/>
              </w:rPr>
            </w:pPr>
            <w:r>
              <w:rPr>
                <w:rFonts w:hint="eastAsia"/>
                <w:sz w:val="24"/>
                <w:szCs w:val="24"/>
              </w:rPr>
              <w:t>（1）排放口信息</w:t>
            </w:r>
          </w:p>
          <w:p w14:paraId="42C1DE33">
            <w:pPr>
              <w:pStyle w:val="9"/>
              <w:spacing w:before="0" w:after="0" w:line="360" w:lineRule="auto"/>
              <w:ind w:right="0" w:firstLine="482"/>
              <w:rPr>
                <w:sz w:val="24"/>
                <w:szCs w:val="24"/>
              </w:rPr>
            </w:pPr>
            <w:r>
              <w:rPr>
                <w:sz w:val="24"/>
                <w:szCs w:val="24"/>
              </w:rPr>
              <w:t>本项目</w:t>
            </w:r>
            <w:r>
              <w:rPr>
                <w:rFonts w:hint="eastAsia"/>
                <w:sz w:val="24"/>
                <w:szCs w:val="24"/>
              </w:rPr>
              <w:t>废气排放口情况详见下表</w:t>
            </w:r>
            <w:r>
              <w:rPr>
                <w:sz w:val="24"/>
                <w:szCs w:val="24"/>
              </w:rPr>
              <w:t>。</w:t>
            </w:r>
          </w:p>
          <w:p w14:paraId="47E72315">
            <w:pPr>
              <w:jc w:val="center"/>
              <w:rPr>
                <w:b/>
                <w:bCs/>
                <w:sz w:val="24"/>
              </w:rPr>
            </w:pPr>
            <w:r>
              <w:rPr>
                <w:b/>
                <w:sz w:val="24"/>
              </w:rPr>
              <w:t>表</w:t>
            </w:r>
            <w:r>
              <w:rPr>
                <w:rFonts w:hint="eastAsia"/>
                <w:b/>
                <w:sz w:val="24"/>
              </w:rPr>
              <w:t>4-</w:t>
            </w:r>
            <w:r>
              <w:rPr>
                <w:rFonts w:hint="eastAsia"/>
                <w:b/>
                <w:sz w:val="24"/>
                <w:lang w:val="en-US" w:eastAsia="zh-CN"/>
              </w:rPr>
              <w:t>5</w:t>
            </w:r>
            <w:r>
              <w:rPr>
                <w:b/>
                <w:sz w:val="24"/>
              </w:rPr>
              <w:t xml:space="preserve"> </w:t>
            </w:r>
            <w:r>
              <w:rPr>
                <w:rFonts w:hint="eastAsia"/>
                <w:b/>
                <w:sz w:val="24"/>
              </w:rPr>
              <w:t xml:space="preserve"> </w:t>
            </w:r>
            <w:r>
              <w:rPr>
                <w:b/>
                <w:sz w:val="24"/>
              </w:rPr>
              <w:t>项目废气排放口信息一览表</w:t>
            </w:r>
          </w:p>
          <w:tbl>
            <w:tblPr>
              <w:tblStyle w:val="27"/>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434"/>
              <w:gridCol w:w="1358"/>
              <w:gridCol w:w="1215"/>
              <w:gridCol w:w="1004"/>
              <w:gridCol w:w="2299"/>
              <w:gridCol w:w="1272"/>
            </w:tblGrid>
            <w:tr w14:paraId="3FAE057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492" w:type="pct"/>
                  <w:vMerge w:val="restart"/>
                  <w:noWrap w:val="0"/>
                  <w:vAlign w:val="center"/>
                </w:tcPr>
                <w:p w14:paraId="14291C08">
                  <w:pPr>
                    <w:jc w:val="center"/>
                  </w:pPr>
                  <w:r>
                    <w:t>编号</w:t>
                  </w:r>
                </w:p>
              </w:tc>
              <w:tc>
                <w:tcPr>
                  <w:tcW w:w="753" w:type="pct"/>
                  <w:vMerge w:val="restart"/>
                  <w:noWrap w:val="0"/>
                  <w:vAlign w:val="center"/>
                </w:tcPr>
                <w:p w14:paraId="0D66ACDA">
                  <w:pPr>
                    <w:jc w:val="center"/>
                  </w:pPr>
                  <w:r>
                    <w:t>排放口</w:t>
                  </w:r>
                </w:p>
              </w:tc>
              <w:tc>
                <w:tcPr>
                  <w:tcW w:w="3085" w:type="pct"/>
                  <w:gridSpan w:val="4"/>
                  <w:noWrap w:val="0"/>
                  <w:vAlign w:val="center"/>
                </w:tcPr>
                <w:p w14:paraId="6216C414">
                  <w:pPr>
                    <w:jc w:val="center"/>
                  </w:pPr>
                  <w:r>
                    <w:t>排放口信息</w:t>
                  </w:r>
                </w:p>
              </w:tc>
              <w:tc>
                <w:tcPr>
                  <w:tcW w:w="668" w:type="pct"/>
                  <w:vMerge w:val="restart"/>
                  <w:noWrap w:val="0"/>
                  <w:vAlign w:val="center"/>
                </w:tcPr>
                <w:p w14:paraId="3E223E6C">
                  <w:pPr>
                    <w:jc w:val="center"/>
                  </w:pPr>
                  <w:r>
                    <w:t>排放口</w:t>
                  </w:r>
                </w:p>
                <w:p w14:paraId="6F571601">
                  <w:pPr>
                    <w:jc w:val="center"/>
                  </w:pPr>
                  <w:r>
                    <w:t>类型</w:t>
                  </w:r>
                </w:p>
              </w:tc>
            </w:tr>
            <w:tr w14:paraId="7140377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492" w:type="pct"/>
                  <w:vMerge w:val="continue"/>
                  <w:noWrap w:val="0"/>
                  <w:vAlign w:val="center"/>
                </w:tcPr>
                <w:p w14:paraId="7F73A6AD">
                  <w:pPr>
                    <w:jc w:val="center"/>
                  </w:pPr>
                </w:p>
              </w:tc>
              <w:tc>
                <w:tcPr>
                  <w:tcW w:w="753" w:type="pct"/>
                  <w:vMerge w:val="continue"/>
                  <w:noWrap w:val="0"/>
                  <w:vAlign w:val="center"/>
                </w:tcPr>
                <w:p w14:paraId="0280852B">
                  <w:pPr>
                    <w:jc w:val="center"/>
                  </w:pPr>
                </w:p>
              </w:tc>
              <w:tc>
                <w:tcPr>
                  <w:tcW w:w="713" w:type="pct"/>
                  <w:noWrap w:val="0"/>
                  <w:vAlign w:val="center"/>
                </w:tcPr>
                <w:p w14:paraId="6AFC0B4D">
                  <w:pPr>
                    <w:autoSpaceDE w:val="0"/>
                    <w:autoSpaceDN w:val="0"/>
                    <w:adjustRightInd w:val="0"/>
                    <w:snapToGrid w:val="0"/>
                    <w:ind w:left="-42" w:leftChars="-20" w:right="-105" w:rightChars="-50"/>
                    <w:jc w:val="center"/>
                    <w:textAlignment w:val="center"/>
                    <w:rPr>
                      <w:kern w:val="0"/>
                      <w:szCs w:val="21"/>
                    </w:rPr>
                  </w:pPr>
                  <w:r>
                    <w:rPr>
                      <w:kern w:val="0"/>
                      <w:szCs w:val="21"/>
                    </w:rPr>
                    <w:t>高度</w:t>
                  </w:r>
                </w:p>
                <w:p w14:paraId="6F35322D">
                  <w:pPr>
                    <w:autoSpaceDE w:val="0"/>
                    <w:autoSpaceDN w:val="0"/>
                    <w:adjustRightInd w:val="0"/>
                    <w:snapToGrid w:val="0"/>
                    <w:ind w:left="-42" w:leftChars="-20" w:right="-105" w:rightChars="-50"/>
                    <w:jc w:val="center"/>
                    <w:textAlignment w:val="center"/>
                    <w:rPr>
                      <w:kern w:val="0"/>
                      <w:szCs w:val="21"/>
                    </w:rPr>
                  </w:pPr>
                  <w:r>
                    <w:rPr>
                      <w:kern w:val="0"/>
                      <w:szCs w:val="21"/>
                    </w:rPr>
                    <w:t>（m）</w:t>
                  </w:r>
                </w:p>
              </w:tc>
              <w:tc>
                <w:tcPr>
                  <w:tcW w:w="638" w:type="pct"/>
                  <w:noWrap w:val="0"/>
                  <w:vAlign w:val="center"/>
                </w:tcPr>
                <w:p w14:paraId="2EBDB3B2">
                  <w:pPr>
                    <w:autoSpaceDE w:val="0"/>
                    <w:autoSpaceDN w:val="0"/>
                    <w:adjustRightInd w:val="0"/>
                    <w:snapToGrid w:val="0"/>
                    <w:ind w:left="-42" w:leftChars="-20" w:right="-105" w:rightChars="-50"/>
                    <w:jc w:val="center"/>
                    <w:textAlignment w:val="center"/>
                    <w:rPr>
                      <w:kern w:val="0"/>
                      <w:szCs w:val="21"/>
                    </w:rPr>
                  </w:pPr>
                  <w:r>
                    <w:rPr>
                      <w:kern w:val="0"/>
                      <w:szCs w:val="21"/>
                    </w:rPr>
                    <w:t>内径</w:t>
                  </w:r>
                </w:p>
                <w:p w14:paraId="5996CC05">
                  <w:pPr>
                    <w:autoSpaceDE w:val="0"/>
                    <w:autoSpaceDN w:val="0"/>
                    <w:adjustRightInd w:val="0"/>
                    <w:snapToGrid w:val="0"/>
                    <w:ind w:left="-42" w:leftChars="-20" w:right="-105" w:rightChars="-50"/>
                    <w:jc w:val="center"/>
                    <w:textAlignment w:val="center"/>
                    <w:rPr>
                      <w:kern w:val="0"/>
                      <w:szCs w:val="21"/>
                    </w:rPr>
                  </w:pPr>
                  <w:r>
                    <w:rPr>
                      <w:kern w:val="0"/>
                      <w:szCs w:val="21"/>
                    </w:rPr>
                    <w:t>（m）</w:t>
                  </w:r>
                </w:p>
              </w:tc>
              <w:tc>
                <w:tcPr>
                  <w:tcW w:w="527" w:type="pct"/>
                  <w:noWrap w:val="0"/>
                  <w:vAlign w:val="center"/>
                </w:tcPr>
                <w:p w14:paraId="30F2D15D">
                  <w:pPr>
                    <w:autoSpaceDE w:val="0"/>
                    <w:autoSpaceDN w:val="0"/>
                    <w:adjustRightInd w:val="0"/>
                    <w:snapToGrid w:val="0"/>
                    <w:ind w:left="-42" w:leftChars="-20" w:right="-105" w:rightChars="-50"/>
                    <w:jc w:val="center"/>
                    <w:textAlignment w:val="center"/>
                    <w:rPr>
                      <w:kern w:val="0"/>
                      <w:szCs w:val="21"/>
                    </w:rPr>
                  </w:pPr>
                  <w:r>
                    <w:rPr>
                      <w:kern w:val="0"/>
                      <w:szCs w:val="21"/>
                    </w:rPr>
                    <w:t>温度</w:t>
                  </w:r>
                </w:p>
                <w:p w14:paraId="531DB484">
                  <w:pPr>
                    <w:autoSpaceDE w:val="0"/>
                    <w:autoSpaceDN w:val="0"/>
                    <w:adjustRightInd w:val="0"/>
                    <w:snapToGrid w:val="0"/>
                    <w:ind w:left="-42" w:leftChars="-20" w:right="-105" w:rightChars="-50"/>
                    <w:jc w:val="center"/>
                    <w:textAlignment w:val="center"/>
                    <w:rPr>
                      <w:kern w:val="0"/>
                      <w:szCs w:val="21"/>
                    </w:rPr>
                  </w:pPr>
                  <w:r>
                    <w:rPr>
                      <w:kern w:val="0"/>
                      <w:szCs w:val="21"/>
                    </w:rPr>
                    <w:t>（℃）</w:t>
                  </w:r>
                </w:p>
              </w:tc>
              <w:tc>
                <w:tcPr>
                  <w:tcW w:w="1205" w:type="pct"/>
                  <w:noWrap w:val="0"/>
                  <w:vAlign w:val="center"/>
                </w:tcPr>
                <w:p w14:paraId="300E2990">
                  <w:pPr>
                    <w:autoSpaceDE w:val="0"/>
                    <w:autoSpaceDN w:val="0"/>
                    <w:adjustRightInd w:val="0"/>
                    <w:snapToGrid w:val="0"/>
                    <w:ind w:left="-42" w:leftChars="-20" w:right="-105" w:rightChars="-50"/>
                    <w:jc w:val="center"/>
                    <w:textAlignment w:val="center"/>
                    <w:rPr>
                      <w:kern w:val="0"/>
                      <w:szCs w:val="21"/>
                    </w:rPr>
                  </w:pPr>
                  <w:r>
                    <w:rPr>
                      <w:kern w:val="0"/>
                      <w:szCs w:val="21"/>
                    </w:rPr>
                    <w:t>位置坐标</w:t>
                  </w:r>
                </w:p>
              </w:tc>
              <w:tc>
                <w:tcPr>
                  <w:tcW w:w="668" w:type="pct"/>
                  <w:vMerge w:val="continue"/>
                  <w:noWrap w:val="0"/>
                  <w:vAlign w:val="center"/>
                </w:tcPr>
                <w:p w14:paraId="41EC934E">
                  <w:pPr>
                    <w:jc w:val="center"/>
                  </w:pPr>
                </w:p>
              </w:tc>
            </w:tr>
            <w:tr w14:paraId="5FD2F72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2" w:type="pct"/>
                  <w:noWrap w:val="0"/>
                  <w:vAlign w:val="center"/>
                </w:tcPr>
                <w:p w14:paraId="599CC62B">
                  <w:pPr>
                    <w:jc w:val="center"/>
                  </w:pPr>
                  <w:r>
                    <w:t>DA001</w:t>
                  </w:r>
                </w:p>
              </w:tc>
              <w:tc>
                <w:tcPr>
                  <w:tcW w:w="753" w:type="pct"/>
                  <w:noWrap w:val="0"/>
                  <w:vAlign w:val="center"/>
                </w:tcPr>
                <w:p w14:paraId="2D03EB47">
                  <w:pPr>
                    <w:jc w:val="center"/>
                  </w:pPr>
                  <w:r>
                    <w:rPr>
                      <w:rFonts w:hint="eastAsia"/>
                    </w:rPr>
                    <w:t>喷砂废气排放口</w:t>
                  </w:r>
                </w:p>
              </w:tc>
              <w:tc>
                <w:tcPr>
                  <w:tcW w:w="713" w:type="pct"/>
                  <w:noWrap w:val="0"/>
                  <w:vAlign w:val="center"/>
                </w:tcPr>
                <w:p w14:paraId="1A1444AF">
                  <w:pPr>
                    <w:jc w:val="center"/>
                    <w:rPr>
                      <w:rFonts w:hint="default" w:eastAsia="宋体"/>
                      <w:lang w:val="en-US" w:eastAsia="zh-CN"/>
                    </w:rPr>
                  </w:pPr>
                  <w:r>
                    <w:rPr>
                      <w:rFonts w:hint="eastAsia"/>
                      <w:lang w:val="en-US" w:eastAsia="zh-CN"/>
                    </w:rPr>
                    <w:t>15</w:t>
                  </w:r>
                </w:p>
              </w:tc>
              <w:tc>
                <w:tcPr>
                  <w:tcW w:w="638" w:type="pct"/>
                  <w:noWrap w:val="0"/>
                  <w:vAlign w:val="center"/>
                </w:tcPr>
                <w:p w14:paraId="395D3BF5">
                  <w:pPr>
                    <w:autoSpaceDE w:val="0"/>
                    <w:autoSpaceDN w:val="0"/>
                    <w:adjustRightInd w:val="0"/>
                    <w:snapToGrid w:val="0"/>
                    <w:ind w:left="-42" w:leftChars="-20" w:right="-105" w:rightChars="-50"/>
                    <w:jc w:val="center"/>
                    <w:textAlignment w:val="center"/>
                  </w:pPr>
                  <w:r>
                    <w:rPr>
                      <w:rFonts w:hint="eastAsia"/>
                      <w:kern w:val="0"/>
                      <w:szCs w:val="21"/>
                    </w:rPr>
                    <w:t>0.4</w:t>
                  </w:r>
                </w:p>
              </w:tc>
              <w:tc>
                <w:tcPr>
                  <w:tcW w:w="527" w:type="pct"/>
                  <w:noWrap w:val="0"/>
                  <w:vAlign w:val="center"/>
                </w:tcPr>
                <w:p w14:paraId="13A6A18B">
                  <w:pPr>
                    <w:autoSpaceDE w:val="0"/>
                    <w:autoSpaceDN w:val="0"/>
                    <w:adjustRightInd w:val="0"/>
                    <w:snapToGrid w:val="0"/>
                    <w:ind w:left="-42" w:leftChars="-20" w:right="-105" w:rightChars="-50"/>
                    <w:jc w:val="center"/>
                    <w:textAlignment w:val="center"/>
                    <w:rPr>
                      <w:rFonts w:hint="eastAsia"/>
                    </w:rPr>
                  </w:pPr>
                  <w:r>
                    <w:rPr>
                      <w:rFonts w:hint="eastAsia"/>
                      <w:kern w:val="0"/>
                      <w:szCs w:val="21"/>
                    </w:rPr>
                    <w:t>常温</w:t>
                  </w:r>
                </w:p>
              </w:tc>
              <w:tc>
                <w:tcPr>
                  <w:tcW w:w="1205" w:type="pct"/>
                  <w:noWrap w:val="0"/>
                  <w:vAlign w:val="center"/>
                </w:tcPr>
                <w:p w14:paraId="4483082F">
                  <w:pPr>
                    <w:autoSpaceDE w:val="0"/>
                    <w:autoSpaceDN w:val="0"/>
                    <w:adjustRightInd w:val="0"/>
                    <w:snapToGrid w:val="0"/>
                    <w:ind w:left="-42" w:leftChars="-20" w:right="-105" w:rightChars="-50"/>
                    <w:jc w:val="center"/>
                    <w:textAlignment w:val="center"/>
                    <w:rPr>
                      <w:kern w:val="0"/>
                      <w:szCs w:val="21"/>
                    </w:rPr>
                  </w:pPr>
                  <w:r>
                    <w:rPr>
                      <w:rFonts w:hint="eastAsia"/>
                      <w:kern w:val="0"/>
                      <w:szCs w:val="21"/>
                    </w:rPr>
                    <w:t>125</w:t>
                  </w:r>
                  <w:r>
                    <w:rPr>
                      <w:kern w:val="0"/>
                      <w:szCs w:val="21"/>
                    </w:rPr>
                    <w:t>°</w:t>
                  </w:r>
                  <w:r>
                    <w:rPr>
                      <w:rFonts w:hint="eastAsia"/>
                      <w:kern w:val="0"/>
                      <w:szCs w:val="21"/>
                    </w:rPr>
                    <w:t>26</w:t>
                  </w:r>
                  <w:r>
                    <w:rPr>
                      <w:kern w:val="0"/>
                      <w:szCs w:val="21"/>
                    </w:rPr>
                    <w:t>′</w:t>
                  </w:r>
                  <w:r>
                    <w:rPr>
                      <w:rFonts w:hint="eastAsia"/>
                      <w:kern w:val="0"/>
                      <w:szCs w:val="21"/>
                    </w:rPr>
                    <w:t>36.69</w:t>
                  </w:r>
                  <w:r>
                    <w:rPr>
                      <w:kern w:val="0"/>
                      <w:szCs w:val="21"/>
                    </w:rPr>
                    <w:t>″，</w:t>
                  </w:r>
                  <w:r>
                    <w:rPr>
                      <w:rFonts w:hint="eastAsia"/>
                      <w:kern w:val="0"/>
                      <w:szCs w:val="21"/>
                    </w:rPr>
                    <w:t>44</w:t>
                  </w:r>
                  <w:r>
                    <w:rPr>
                      <w:kern w:val="0"/>
                      <w:szCs w:val="21"/>
                    </w:rPr>
                    <w:t>°</w:t>
                  </w:r>
                  <w:r>
                    <w:rPr>
                      <w:rFonts w:hint="eastAsia"/>
                      <w:kern w:val="0"/>
                      <w:szCs w:val="21"/>
                    </w:rPr>
                    <w:t>3</w:t>
                  </w:r>
                  <w:r>
                    <w:rPr>
                      <w:kern w:val="0"/>
                      <w:szCs w:val="21"/>
                    </w:rPr>
                    <w:t>′</w:t>
                  </w:r>
                  <w:r>
                    <w:rPr>
                      <w:rFonts w:hint="eastAsia"/>
                      <w:kern w:val="0"/>
                      <w:szCs w:val="21"/>
                    </w:rPr>
                    <w:t>50.835</w:t>
                  </w:r>
                  <w:r>
                    <w:rPr>
                      <w:kern w:val="0"/>
                      <w:szCs w:val="21"/>
                    </w:rPr>
                    <w:t>″</w:t>
                  </w:r>
                </w:p>
              </w:tc>
              <w:tc>
                <w:tcPr>
                  <w:tcW w:w="668" w:type="pct"/>
                  <w:noWrap w:val="0"/>
                  <w:vAlign w:val="center"/>
                </w:tcPr>
                <w:p w14:paraId="2F576361">
                  <w:pPr>
                    <w:jc w:val="center"/>
                  </w:pPr>
                  <w:r>
                    <w:t>一般排放口</w:t>
                  </w:r>
                </w:p>
              </w:tc>
            </w:tr>
            <w:tr w14:paraId="0138397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2" w:type="pct"/>
                  <w:noWrap w:val="0"/>
                  <w:vAlign w:val="center"/>
                </w:tcPr>
                <w:p w14:paraId="4A93B7B9">
                  <w:pPr>
                    <w:jc w:val="center"/>
                  </w:pPr>
                  <w:r>
                    <w:rPr>
                      <w:rFonts w:hint="eastAsia"/>
                    </w:rPr>
                    <w:t>DA002</w:t>
                  </w:r>
                </w:p>
              </w:tc>
              <w:tc>
                <w:tcPr>
                  <w:tcW w:w="753" w:type="pct"/>
                  <w:noWrap w:val="0"/>
                  <w:vAlign w:val="center"/>
                </w:tcPr>
                <w:p w14:paraId="5786BC10">
                  <w:pPr>
                    <w:jc w:val="center"/>
                    <w:rPr>
                      <w:rFonts w:hint="eastAsia"/>
                    </w:rPr>
                  </w:pPr>
                  <w:r>
                    <w:rPr>
                      <w:rFonts w:hint="eastAsia"/>
                    </w:rPr>
                    <w:t>有机废气排放口</w:t>
                  </w:r>
                </w:p>
              </w:tc>
              <w:tc>
                <w:tcPr>
                  <w:tcW w:w="713" w:type="pct"/>
                  <w:noWrap w:val="0"/>
                  <w:vAlign w:val="center"/>
                </w:tcPr>
                <w:p w14:paraId="32937AE1">
                  <w:pPr>
                    <w:jc w:val="center"/>
                    <w:rPr>
                      <w:rFonts w:hint="default" w:eastAsia="宋体"/>
                      <w:lang w:val="en-US" w:eastAsia="zh-CN"/>
                    </w:rPr>
                  </w:pPr>
                  <w:r>
                    <w:rPr>
                      <w:rFonts w:hint="eastAsia"/>
                      <w:lang w:val="en-US" w:eastAsia="zh-CN"/>
                    </w:rPr>
                    <w:t>15</w:t>
                  </w:r>
                </w:p>
              </w:tc>
              <w:tc>
                <w:tcPr>
                  <w:tcW w:w="638" w:type="pct"/>
                  <w:noWrap w:val="0"/>
                  <w:vAlign w:val="center"/>
                </w:tcPr>
                <w:p w14:paraId="571C4F60">
                  <w:pPr>
                    <w:autoSpaceDE w:val="0"/>
                    <w:autoSpaceDN w:val="0"/>
                    <w:adjustRightInd w:val="0"/>
                    <w:snapToGrid w:val="0"/>
                    <w:ind w:left="-42" w:leftChars="-20" w:right="-105" w:rightChars="-50"/>
                    <w:jc w:val="center"/>
                    <w:textAlignment w:val="center"/>
                    <w:rPr>
                      <w:kern w:val="0"/>
                      <w:szCs w:val="21"/>
                    </w:rPr>
                  </w:pPr>
                  <w:r>
                    <w:rPr>
                      <w:rFonts w:hint="eastAsia"/>
                      <w:kern w:val="0"/>
                      <w:szCs w:val="21"/>
                    </w:rPr>
                    <w:t>0.4</w:t>
                  </w:r>
                </w:p>
              </w:tc>
              <w:tc>
                <w:tcPr>
                  <w:tcW w:w="527" w:type="pct"/>
                  <w:noWrap w:val="0"/>
                  <w:vAlign w:val="center"/>
                </w:tcPr>
                <w:p w14:paraId="595CE4C2">
                  <w:pPr>
                    <w:autoSpaceDE w:val="0"/>
                    <w:autoSpaceDN w:val="0"/>
                    <w:adjustRightInd w:val="0"/>
                    <w:snapToGrid w:val="0"/>
                    <w:ind w:left="-42" w:leftChars="-20" w:right="-105" w:rightChars="-50"/>
                    <w:jc w:val="center"/>
                    <w:textAlignment w:val="center"/>
                    <w:rPr>
                      <w:rFonts w:hint="eastAsia"/>
                      <w:kern w:val="0"/>
                      <w:szCs w:val="21"/>
                    </w:rPr>
                  </w:pPr>
                  <w:r>
                    <w:rPr>
                      <w:rFonts w:hint="eastAsia"/>
                      <w:kern w:val="0"/>
                      <w:szCs w:val="21"/>
                    </w:rPr>
                    <w:t>常温</w:t>
                  </w:r>
                </w:p>
              </w:tc>
              <w:tc>
                <w:tcPr>
                  <w:tcW w:w="1205" w:type="pct"/>
                  <w:noWrap w:val="0"/>
                  <w:vAlign w:val="center"/>
                </w:tcPr>
                <w:p w14:paraId="32330D1A">
                  <w:pPr>
                    <w:autoSpaceDE w:val="0"/>
                    <w:autoSpaceDN w:val="0"/>
                    <w:adjustRightInd w:val="0"/>
                    <w:snapToGrid w:val="0"/>
                    <w:ind w:left="-42" w:leftChars="-20" w:right="-105" w:rightChars="-50"/>
                    <w:jc w:val="center"/>
                    <w:textAlignment w:val="center"/>
                    <w:rPr>
                      <w:kern w:val="0"/>
                      <w:szCs w:val="21"/>
                    </w:rPr>
                  </w:pPr>
                  <w:r>
                    <w:rPr>
                      <w:rFonts w:hint="eastAsia"/>
                      <w:kern w:val="0"/>
                      <w:szCs w:val="21"/>
                    </w:rPr>
                    <w:t>125</w:t>
                  </w:r>
                  <w:r>
                    <w:rPr>
                      <w:kern w:val="0"/>
                      <w:szCs w:val="21"/>
                    </w:rPr>
                    <w:t>°</w:t>
                  </w:r>
                  <w:r>
                    <w:rPr>
                      <w:rFonts w:hint="eastAsia"/>
                      <w:kern w:val="0"/>
                      <w:szCs w:val="21"/>
                    </w:rPr>
                    <w:t>26</w:t>
                  </w:r>
                  <w:r>
                    <w:rPr>
                      <w:kern w:val="0"/>
                      <w:szCs w:val="21"/>
                    </w:rPr>
                    <w:t>′</w:t>
                  </w:r>
                  <w:r>
                    <w:rPr>
                      <w:rFonts w:hint="eastAsia"/>
                      <w:kern w:val="0"/>
                      <w:szCs w:val="21"/>
                    </w:rPr>
                    <w:t>36.852</w:t>
                  </w:r>
                  <w:r>
                    <w:rPr>
                      <w:kern w:val="0"/>
                      <w:szCs w:val="21"/>
                    </w:rPr>
                    <w:t>″，</w:t>
                  </w:r>
                  <w:r>
                    <w:rPr>
                      <w:rFonts w:hint="eastAsia"/>
                      <w:kern w:val="0"/>
                      <w:szCs w:val="21"/>
                    </w:rPr>
                    <w:t>44</w:t>
                  </w:r>
                  <w:r>
                    <w:rPr>
                      <w:kern w:val="0"/>
                      <w:szCs w:val="21"/>
                    </w:rPr>
                    <w:t>°</w:t>
                  </w:r>
                  <w:r>
                    <w:rPr>
                      <w:rFonts w:hint="eastAsia"/>
                      <w:kern w:val="0"/>
                      <w:szCs w:val="21"/>
                    </w:rPr>
                    <w:t>3</w:t>
                  </w:r>
                  <w:r>
                    <w:rPr>
                      <w:kern w:val="0"/>
                      <w:szCs w:val="21"/>
                    </w:rPr>
                    <w:t>′</w:t>
                  </w:r>
                  <w:r>
                    <w:rPr>
                      <w:rFonts w:hint="eastAsia"/>
                      <w:kern w:val="0"/>
                      <w:szCs w:val="21"/>
                      <w:lang w:val="en-US" w:eastAsia="zh-CN"/>
                    </w:rPr>
                    <w:t>51.140</w:t>
                  </w:r>
                  <w:r>
                    <w:rPr>
                      <w:kern w:val="0"/>
                      <w:szCs w:val="21"/>
                    </w:rPr>
                    <w:t>″</w:t>
                  </w:r>
                </w:p>
              </w:tc>
              <w:tc>
                <w:tcPr>
                  <w:tcW w:w="668" w:type="pct"/>
                  <w:noWrap w:val="0"/>
                  <w:vAlign w:val="center"/>
                </w:tcPr>
                <w:p w14:paraId="674A0448">
                  <w:pPr>
                    <w:jc w:val="center"/>
                  </w:pPr>
                  <w:r>
                    <w:t>一般排放口</w:t>
                  </w:r>
                </w:p>
              </w:tc>
            </w:tr>
          </w:tbl>
          <w:p w14:paraId="37ED52E5">
            <w:pPr>
              <w:pStyle w:val="9"/>
              <w:spacing w:before="0" w:after="0" w:line="360" w:lineRule="auto"/>
              <w:ind w:right="0" w:firstLine="482"/>
              <w:rPr>
                <w:rFonts w:hint="eastAsia"/>
                <w:b/>
                <w:bCs/>
                <w:sz w:val="24"/>
                <w:szCs w:val="24"/>
              </w:rPr>
            </w:pPr>
          </w:p>
          <w:p w14:paraId="2770AFD1">
            <w:pPr>
              <w:pStyle w:val="9"/>
              <w:spacing w:before="0" w:after="0" w:line="360" w:lineRule="auto"/>
              <w:ind w:right="0" w:firstLine="482"/>
              <w:rPr>
                <w:sz w:val="24"/>
                <w:szCs w:val="24"/>
              </w:rPr>
            </w:pPr>
            <w:r>
              <w:rPr>
                <w:rFonts w:hint="eastAsia"/>
                <w:sz w:val="24"/>
                <w:szCs w:val="24"/>
              </w:rPr>
              <w:t>（2）监测计划</w:t>
            </w:r>
          </w:p>
          <w:p w14:paraId="228A2104">
            <w:pPr>
              <w:pStyle w:val="43"/>
              <w:spacing w:line="360" w:lineRule="auto"/>
              <w:ind w:firstLine="480"/>
              <w:rPr>
                <w:rFonts w:hint="default" w:ascii="Times New Roman" w:hAnsi="Times New Roman"/>
                <w:color w:val="auto"/>
                <w:sz w:val="24"/>
                <w:szCs w:val="18"/>
              </w:rPr>
            </w:pPr>
            <w:r>
              <w:rPr>
                <w:rFonts w:hint="default" w:ascii="Times New Roman" w:hAnsi="Times New Roman"/>
                <w:color w:val="auto"/>
                <w:sz w:val="24"/>
                <w:szCs w:val="18"/>
              </w:rPr>
              <w:t>根据《固定污染源排污许可分类管理名录(2019年版)》(生态环境部第11号)》，本项目无需办理排污许可，原则不开展监测计划，若后期生态环境部门提出要求，按其要求进行监测。</w:t>
            </w:r>
          </w:p>
          <w:p w14:paraId="388A87DE">
            <w:pPr>
              <w:tabs>
                <w:tab w:val="left" w:pos="1077"/>
              </w:tabs>
              <w:spacing w:line="440" w:lineRule="exact"/>
              <w:ind w:firstLine="482" w:firstLineChars="200"/>
              <w:rPr>
                <w:rFonts w:cs="宋体"/>
                <w:b/>
                <w:color w:val="000000"/>
                <w:sz w:val="24"/>
                <w:highlight w:val="none"/>
              </w:rPr>
            </w:pPr>
            <w:r>
              <w:rPr>
                <w:rFonts w:hint="eastAsia" w:cs="宋体"/>
                <w:b/>
                <w:color w:val="000000"/>
                <w:sz w:val="24"/>
                <w:highlight w:val="none"/>
                <w:lang w:val="en-US" w:eastAsia="zh-CN"/>
              </w:rPr>
              <w:t>2.5</w:t>
            </w:r>
            <w:r>
              <w:rPr>
                <w:rFonts w:hint="eastAsia" w:cs="宋体"/>
                <w:b/>
                <w:color w:val="000000"/>
                <w:sz w:val="24"/>
                <w:highlight w:val="none"/>
              </w:rPr>
              <w:t>、废气非正常排放</w:t>
            </w:r>
          </w:p>
          <w:p w14:paraId="1C62DBD9">
            <w:pPr>
              <w:tabs>
                <w:tab w:val="left" w:pos="1077"/>
              </w:tabs>
              <w:spacing w:line="440" w:lineRule="exact"/>
              <w:ind w:firstLine="480" w:firstLineChars="200"/>
              <w:rPr>
                <w:rFonts w:cs="宋体"/>
                <w:color w:val="000000"/>
                <w:sz w:val="24"/>
              </w:rPr>
            </w:pPr>
            <w:r>
              <w:rPr>
                <w:rFonts w:hint="eastAsia" w:cs="宋体"/>
                <w:color w:val="000000"/>
                <w:sz w:val="24"/>
                <w:lang w:eastAsia="zh-CN"/>
              </w:rPr>
              <w:t>本项目</w:t>
            </w:r>
            <w:r>
              <w:rPr>
                <w:rFonts w:hint="eastAsia" w:cs="宋体"/>
                <w:color w:val="000000"/>
                <w:sz w:val="24"/>
              </w:rPr>
              <w:t>产污主要集中在</w:t>
            </w:r>
            <w:r>
              <w:rPr>
                <w:rFonts w:hint="eastAsia" w:cs="宋体"/>
                <w:color w:val="000000"/>
                <w:sz w:val="24"/>
                <w:lang w:eastAsia="zh-CN"/>
              </w:rPr>
              <w:t>实验</w:t>
            </w:r>
            <w:r>
              <w:rPr>
                <w:rFonts w:hint="eastAsia" w:cs="宋体"/>
                <w:color w:val="000000"/>
                <w:sz w:val="24"/>
              </w:rPr>
              <w:t>车间，污染物产生种类较少，产生速率较大，故拟建项目非正常工况为配套的废气处理装置处理效率无法达到设计效率时，（非正常工况年排放时间按1h时间计算），废气在未经有效处理的情况通过排气筒排放，非正常工况下废气排放详见下表。本次评价环评要求</w:t>
            </w:r>
            <w:r>
              <w:rPr>
                <w:rFonts w:hint="eastAsia" w:cs="宋体"/>
                <w:color w:val="000000"/>
                <w:sz w:val="24"/>
                <w:lang w:eastAsia="zh-CN"/>
              </w:rPr>
              <w:t>企业</w:t>
            </w:r>
            <w:r>
              <w:rPr>
                <w:rFonts w:hint="eastAsia" w:cs="宋体"/>
                <w:color w:val="000000"/>
                <w:sz w:val="24"/>
              </w:rPr>
              <w:t>定期检查尾气处理装置，严格管理，避免失效工况发生。</w:t>
            </w:r>
          </w:p>
          <w:p w14:paraId="2910C108">
            <w:pPr>
              <w:spacing w:line="440" w:lineRule="exact"/>
              <w:jc w:val="center"/>
              <w:rPr>
                <w:rFonts w:hint="eastAsia" w:cs="宋体"/>
                <w:b/>
                <w:color w:val="000000"/>
                <w:kern w:val="21"/>
                <w:sz w:val="24"/>
              </w:rPr>
            </w:pPr>
            <w:r>
              <w:rPr>
                <w:rFonts w:hint="eastAsia" w:cs="宋体"/>
                <w:b/>
                <w:color w:val="000000"/>
                <w:kern w:val="21"/>
                <w:sz w:val="24"/>
              </w:rPr>
              <w:t>表4-</w:t>
            </w:r>
            <w:r>
              <w:rPr>
                <w:rFonts w:hint="eastAsia" w:cs="宋体"/>
                <w:b/>
                <w:color w:val="000000"/>
                <w:kern w:val="21"/>
                <w:sz w:val="24"/>
                <w:lang w:val="en-US" w:eastAsia="zh-CN"/>
              </w:rPr>
              <w:t>6</w:t>
            </w:r>
            <w:r>
              <w:rPr>
                <w:rFonts w:hint="eastAsia" w:cs="宋体"/>
                <w:b/>
                <w:color w:val="000000"/>
                <w:kern w:val="21"/>
                <w:sz w:val="24"/>
              </w:rPr>
              <w:t xml:space="preserve">  本项目非正常工况污染物排放情况</w:t>
            </w:r>
          </w:p>
          <w:tbl>
            <w:tblPr>
              <w:tblStyle w:val="27"/>
              <w:tblW w:w="4962" w:type="pct"/>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autofit"/>
              <w:tblCellMar>
                <w:top w:w="0" w:type="dxa"/>
                <w:left w:w="0" w:type="dxa"/>
                <w:bottom w:w="0" w:type="dxa"/>
                <w:right w:w="0" w:type="dxa"/>
              </w:tblCellMar>
            </w:tblPr>
            <w:tblGrid>
              <w:gridCol w:w="814"/>
              <w:gridCol w:w="982"/>
              <w:gridCol w:w="1289"/>
              <w:gridCol w:w="1208"/>
              <w:gridCol w:w="791"/>
              <w:gridCol w:w="791"/>
              <w:gridCol w:w="948"/>
              <w:gridCol w:w="982"/>
              <w:gridCol w:w="785"/>
              <w:gridCol w:w="840"/>
            </w:tblGrid>
            <w:tr w14:paraId="7B2036B3">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90" w:hRule="atLeast"/>
                <w:jc w:val="center"/>
              </w:trPr>
              <w:tc>
                <w:tcPr>
                  <w:tcW w:w="432" w:type="pct"/>
                  <w:vMerge w:val="restart"/>
                  <w:tcBorders>
                    <w:top w:val="single" w:color="auto" w:sz="12" w:space="0"/>
                    <w:left w:val="nil"/>
                  </w:tcBorders>
                  <w:noWrap w:val="0"/>
                  <w:vAlign w:val="center"/>
                </w:tcPr>
                <w:p w14:paraId="7DBEC1AA">
                  <w:pPr>
                    <w:overflowPunct w:val="0"/>
                    <w:adjustRightInd w:val="0"/>
                    <w:snapToGrid w:val="0"/>
                    <w:ind w:firstLine="4" w:firstLineChars="0"/>
                    <w:jc w:val="center"/>
                    <w:textAlignment w:val="baseline"/>
                    <w:rPr>
                      <w:b/>
                      <w:color w:val="000000"/>
                      <w:kern w:val="0"/>
                      <w:sz w:val="21"/>
                      <w:szCs w:val="21"/>
                      <w:lang w:val="en-US" w:eastAsia="zh-CN" w:bidi="ar-SA"/>
                    </w:rPr>
                  </w:pPr>
                  <w:r>
                    <w:rPr>
                      <w:b/>
                      <w:color w:val="000000"/>
                      <w:kern w:val="0"/>
                      <w:szCs w:val="21"/>
                    </w:rPr>
                    <w:t>排放源编号</w:t>
                  </w:r>
                </w:p>
              </w:tc>
              <w:tc>
                <w:tcPr>
                  <w:tcW w:w="520" w:type="pct"/>
                  <w:vMerge w:val="restart"/>
                  <w:tcBorders>
                    <w:top w:val="single" w:color="auto" w:sz="12" w:space="0"/>
                  </w:tcBorders>
                  <w:noWrap w:val="0"/>
                  <w:vAlign w:val="center"/>
                </w:tcPr>
                <w:p w14:paraId="5B29499D">
                  <w:pPr>
                    <w:overflowPunct w:val="0"/>
                    <w:adjustRightInd w:val="0"/>
                    <w:snapToGrid w:val="0"/>
                    <w:ind w:firstLine="4" w:firstLineChars="0"/>
                    <w:jc w:val="center"/>
                    <w:textAlignment w:val="baseline"/>
                    <w:rPr>
                      <w:rFonts w:hint="eastAsia"/>
                      <w:b/>
                      <w:color w:val="000000"/>
                      <w:kern w:val="0"/>
                      <w:sz w:val="21"/>
                      <w:szCs w:val="21"/>
                      <w:lang w:val="en-US" w:eastAsia="zh-CN" w:bidi="ar-SA"/>
                    </w:rPr>
                  </w:pPr>
                  <w:r>
                    <w:rPr>
                      <w:b/>
                      <w:color w:val="000000"/>
                      <w:kern w:val="0"/>
                      <w:szCs w:val="21"/>
                    </w:rPr>
                    <w:t>污染源</w:t>
                  </w:r>
                </w:p>
              </w:tc>
              <w:tc>
                <w:tcPr>
                  <w:tcW w:w="683" w:type="pct"/>
                  <w:vMerge w:val="restart"/>
                  <w:tcBorders>
                    <w:top w:val="single" w:color="auto" w:sz="12" w:space="0"/>
                  </w:tcBorders>
                  <w:noWrap w:val="0"/>
                  <w:vAlign w:val="center"/>
                </w:tcPr>
                <w:p w14:paraId="06FE6640">
                  <w:pPr>
                    <w:overflowPunct w:val="0"/>
                    <w:adjustRightInd w:val="0"/>
                    <w:snapToGrid w:val="0"/>
                    <w:ind w:firstLine="4"/>
                    <w:jc w:val="center"/>
                    <w:textAlignment w:val="baseline"/>
                    <w:rPr>
                      <w:b/>
                      <w:color w:val="000000"/>
                      <w:kern w:val="0"/>
                      <w:szCs w:val="21"/>
                    </w:rPr>
                  </w:pPr>
                  <w:r>
                    <w:rPr>
                      <w:b/>
                      <w:color w:val="000000"/>
                      <w:kern w:val="0"/>
                      <w:szCs w:val="21"/>
                    </w:rPr>
                    <w:t>污染物</w:t>
                  </w:r>
                </w:p>
                <w:p w14:paraId="5CF1D996">
                  <w:pPr>
                    <w:overflowPunct w:val="0"/>
                    <w:adjustRightInd w:val="0"/>
                    <w:snapToGrid w:val="0"/>
                    <w:ind w:firstLine="4" w:firstLineChars="0"/>
                    <w:jc w:val="center"/>
                    <w:textAlignment w:val="baseline"/>
                    <w:rPr>
                      <w:rFonts w:hint="eastAsia"/>
                      <w:b/>
                      <w:color w:val="000000"/>
                      <w:kern w:val="0"/>
                      <w:sz w:val="21"/>
                      <w:szCs w:val="21"/>
                      <w:lang w:val="en-US" w:eastAsia="zh-CN" w:bidi="ar-SA"/>
                    </w:rPr>
                  </w:pPr>
                  <w:r>
                    <w:rPr>
                      <w:b/>
                      <w:color w:val="000000"/>
                      <w:kern w:val="0"/>
                      <w:szCs w:val="21"/>
                    </w:rPr>
                    <w:t>名称</w:t>
                  </w:r>
                </w:p>
              </w:tc>
              <w:tc>
                <w:tcPr>
                  <w:tcW w:w="640" w:type="pct"/>
                  <w:vMerge w:val="restart"/>
                  <w:tcBorders>
                    <w:top w:val="single" w:color="auto" w:sz="12" w:space="0"/>
                  </w:tcBorders>
                  <w:noWrap w:val="0"/>
                  <w:vAlign w:val="center"/>
                </w:tcPr>
                <w:p w14:paraId="333511CB">
                  <w:pPr>
                    <w:overflowPunct w:val="0"/>
                    <w:adjustRightInd w:val="0"/>
                    <w:snapToGrid w:val="0"/>
                    <w:ind w:firstLine="4" w:firstLineChars="0"/>
                    <w:jc w:val="center"/>
                    <w:textAlignment w:val="baseline"/>
                    <w:rPr>
                      <w:rFonts w:hint="eastAsia"/>
                      <w:b/>
                      <w:color w:val="000000"/>
                      <w:kern w:val="0"/>
                      <w:sz w:val="21"/>
                      <w:szCs w:val="21"/>
                      <w:lang w:val="en-US" w:eastAsia="zh-CN" w:bidi="ar-SA"/>
                    </w:rPr>
                  </w:pPr>
                  <w:r>
                    <w:rPr>
                      <w:b/>
                      <w:color w:val="000000"/>
                      <w:kern w:val="0"/>
                      <w:szCs w:val="21"/>
                    </w:rPr>
                    <w:t>非正常排放原因</w:t>
                  </w:r>
                </w:p>
              </w:tc>
              <w:tc>
                <w:tcPr>
                  <w:tcW w:w="419" w:type="pct"/>
                  <w:vMerge w:val="restart"/>
                  <w:tcBorders>
                    <w:top w:val="single" w:color="auto" w:sz="12" w:space="0"/>
                  </w:tcBorders>
                  <w:noWrap w:val="0"/>
                  <w:vAlign w:val="center"/>
                </w:tcPr>
                <w:p w14:paraId="29B0B55B">
                  <w:pPr>
                    <w:overflowPunct w:val="0"/>
                    <w:adjustRightInd w:val="0"/>
                    <w:snapToGrid w:val="0"/>
                    <w:ind w:firstLine="4" w:firstLineChars="0"/>
                    <w:jc w:val="center"/>
                    <w:textAlignment w:val="baseline"/>
                    <w:rPr>
                      <w:rFonts w:hint="eastAsia"/>
                      <w:b/>
                      <w:color w:val="000000"/>
                      <w:kern w:val="0"/>
                      <w:sz w:val="21"/>
                      <w:szCs w:val="21"/>
                      <w:lang w:val="en-US" w:eastAsia="zh-CN" w:bidi="ar-SA"/>
                    </w:rPr>
                  </w:pPr>
                  <w:r>
                    <w:rPr>
                      <w:b/>
                      <w:color w:val="000000"/>
                      <w:kern w:val="0"/>
                      <w:szCs w:val="21"/>
                    </w:rPr>
                    <w:t>去除率%</w:t>
                  </w:r>
                </w:p>
              </w:tc>
              <w:tc>
                <w:tcPr>
                  <w:tcW w:w="1441" w:type="pct"/>
                  <w:gridSpan w:val="3"/>
                  <w:tcBorders>
                    <w:top w:val="single" w:color="auto" w:sz="12" w:space="0"/>
                  </w:tcBorders>
                  <w:noWrap w:val="0"/>
                  <w:vAlign w:val="center"/>
                </w:tcPr>
                <w:p w14:paraId="4ACC982B">
                  <w:pPr>
                    <w:overflowPunct w:val="0"/>
                    <w:adjustRightInd w:val="0"/>
                    <w:snapToGrid w:val="0"/>
                    <w:ind w:firstLine="4" w:firstLineChars="0"/>
                    <w:jc w:val="center"/>
                    <w:textAlignment w:val="baseline"/>
                    <w:rPr>
                      <w:rFonts w:hint="eastAsia"/>
                      <w:b/>
                      <w:color w:val="000000"/>
                      <w:kern w:val="0"/>
                      <w:sz w:val="21"/>
                      <w:szCs w:val="21"/>
                      <w:lang w:val="en-US" w:eastAsia="zh-CN" w:bidi="ar-SA"/>
                    </w:rPr>
                  </w:pPr>
                  <w:r>
                    <w:rPr>
                      <w:b/>
                      <w:color w:val="000000"/>
                      <w:kern w:val="0"/>
                      <w:szCs w:val="21"/>
                    </w:rPr>
                    <w:t>排放状况</w:t>
                  </w:r>
                </w:p>
              </w:tc>
              <w:tc>
                <w:tcPr>
                  <w:tcW w:w="416" w:type="pct"/>
                  <w:vMerge w:val="restart"/>
                  <w:tcBorders>
                    <w:top w:val="single" w:color="auto" w:sz="12" w:space="0"/>
                  </w:tcBorders>
                  <w:noWrap w:val="0"/>
                  <w:vAlign w:val="center"/>
                </w:tcPr>
                <w:p w14:paraId="079E9B89">
                  <w:pPr>
                    <w:overflowPunct w:val="0"/>
                    <w:adjustRightInd w:val="0"/>
                    <w:snapToGrid w:val="0"/>
                    <w:spacing w:before="40" w:after="60" w:line="200" w:lineRule="atLeast"/>
                    <w:ind w:firstLine="4" w:firstLineChars="0"/>
                    <w:jc w:val="center"/>
                    <w:textAlignment w:val="baseline"/>
                    <w:rPr>
                      <w:b/>
                      <w:color w:val="000000"/>
                      <w:kern w:val="0"/>
                      <w:sz w:val="21"/>
                      <w:szCs w:val="21"/>
                      <w:lang w:val="en-US" w:eastAsia="zh-CN" w:bidi="ar-SA"/>
                    </w:rPr>
                  </w:pPr>
                  <w:r>
                    <w:rPr>
                      <w:b/>
                      <w:color w:val="000000"/>
                      <w:kern w:val="0"/>
                      <w:szCs w:val="21"/>
                    </w:rPr>
                    <w:t>单次持续时间</w:t>
                  </w:r>
                </w:p>
              </w:tc>
              <w:tc>
                <w:tcPr>
                  <w:tcW w:w="445" w:type="pct"/>
                  <w:vMerge w:val="restart"/>
                  <w:tcBorders>
                    <w:top w:val="single" w:color="auto" w:sz="12" w:space="0"/>
                    <w:right w:val="nil"/>
                  </w:tcBorders>
                  <w:noWrap w:val="0"/>
                  <w:vAlign w:val="center"/>
                </w:tcPr>
                <w:p w14:paraId="1197C587">
                  <w:pPr>
                    <w:overflowPunct w:val="0"/>
                    <w:adjustRightInd w:val="0"/>
                    <w:snapToGrid w:val="0"/>
                    <w:spacing w:before="40" w:after="60" w:line="200" w:lineRule="atLeast"/>
                    <w:ind w:firstLine="4" w:firstLineChars="0"/>
                    <w:jc w:val="center"/>
                    <w:textAlignment w:val="baseline"/>
                    <w:rPr>
                      <w:b/>
                      <w:color w:val="000000"/>
                      <w:kern w:val="0"/>
                      <w:sz w:val="21"/>
                      <w:szCs w:val="21"/>
                      <w:lang w:val="en-US" w:eastAsia="zh-CN" w:bidi="ar-SA"/>
                    </w:rPr>
                  </w:pPr>
                  <w:r>
                    <w:rPr>
                      <w:b/>
                      <w:color w:val="000000"/>
                      <w:kern w:val="0"/>
                      <w:szCs w:val="21"/>
                    </w:rPr>
                    <w:t>年发生频次</w:t>
                  </w:r>
                </w:p>
              </w:tc>
            </w:tr>
            <w:tr w14:paraId="6DBB84FB">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90" w:hRule="atLeast"/>
                <w:jc w:val="center"/>
              </w:trPr>
              <w:tc>
                <w:tcPr>
                  <w:tcW w:w="432" w:type="pct"/>
                  <w:vMerge w:val="continue"/>
                  <w:tcBorders>
                    <w:left w:val="nil"/>
                  </w:tcBorders>
                  <w:noWrap w:val="0"/>
                  <w:vAlign w:val="center"/>
                </w:tcPr>
                <w:p w14:paraId="2E00255F">
                  <w:pPr>
                    <w:adjustRightInd w:val="0"/>
                    <w:snapToGrid w:val="0"/>
                    <w:jc w:val="center"/>
                    <w:rPr>
                      <w:color w:val="000000"/>
                      <w:szCs w:val="21"/>
                    </w:rPr>
                  </w:pPr>
                </w:p>
              </w:tc>
              <w:tc>
                <w:tcPr>
                  <w:tcW w:w="520" w:type="pct"/>
                  <w:vMerge w:val="continue"/>
                  <w:noWrap w:val="0"/>
                  <w:vAlign w:val="center"/>
                </w:tcPr>
                <w:p w14:paraId="3CE21EED">
                  <w:pPr>
                    <w:jc w:val="center"/>
                    <w:rPr>
                      <w:rFonts w:hint="eastAsia"/>
                      <w:color w:val="000000"/>
                      <w:szCs w:val="21"/>
                    </w:rPr>
                  </w:pPr>
                </w:p>
              </w:tc>
              <w:tc>
                <w:tcPr>
                  <w:tcW w:w="683" w:type="pct"/>
                  <w:vMerge w:val="continue"/>
                  <w:noWrap w:val="0"/>
                  <w:vAlign w:val="center"/>
                </w:tcPr>
                <w:p w14:paraId="22C461CA">
                  <w:pPr>
                    <w:jc w:val="center"/>
                    <w:rPr>
                      <w:rFonts w:hint="eastAsia"/>
                      <w:color w:val="000000"/>
                      <w:szCs w:val="21"/>
                    </w:rPr>
                  </w:pPr>
                </w:p>
              </w:tc>
              <w:tc>
                <w:tcPr>
                  <w:tcW w:w="640" w:type="pct"/>
                  <w:vMerge w:val="continue"/>
                  <w:noWrap w:val="0"/>
                  <w:vAlign w:val="center"/>
                </w:tcPr>
                <w:p w14:paraId="670EF325">
                  <w:pPr>
                    <w:overflowPunct w:val="0"/>
                    <w:adjustRightInd w:val="0"/>
                    <w:snapToGrid w:val="0"/>
                    <w:ind w:firstLine="4"/>
                    <w:jc w:val="center"/>
                    <w:textAlignment w:val="baseline"/>
                    <w:rPr>
                      <w:rFonts w:hint="eastAsia"/>
                      <w:color w:val="000000"/>
                      <w:szCs w:val="21"/>
                    </w:rPr>
                  </w:pPr>
                </w:p>
              </w:tc>
              <w:tc>
                <w:tcPr>
                  <w:tcW w:w="419" w:type="pct"/>
                  <w:vMerge w:val="continue"/>
                  <w:noWrap w:val="0"/>
                  <w:vAlign w:val="center"/>
                </w:tcPr>
                <w:p w14:paraId="4B05D5E1">
                  <w:pPr>
                    <w:overflowPunct w:val="0"/>
                    <w:adjustRightInd w:val="0"/>
                    <w:snapToGrid w:val="0"/>
                    <w:ind w:firstLine="4"/>
                    <w:jc w:val="center"/>
                    <w:textAlignment w:val="baseline"/>
                    <w:rPr>
                      <w:rFonts w:hint="eastAsia"/>
                      <w:color w:val="000000"/>
                      <w:kern w:val="0"/>
                      <w:szCs w:val="21"/>
                    </w:rPr>
                  </w:pPr>
                </w:p>
              </w:tc>
              <w:tc>
                <w:tcPr>
                  <w:tcW w:w="419" w:type="pct"/>
                  <w:noWrap w:val="0"/>
                  <w:vAlign w:val="center"/>
                </w:tcPr>
                <w:p w14:paraId="4180D176">
                  <w:pPr>
                    <w:widowControl/>
                    <w:ind w:left="-105" w:leftChars="-50" w:right="-105" w:rightChars="-50"/>
                    <w:jc w:val="center"/>
                    <w:rPr>
                      <w:rFonts w:hint="eastAsia"/>
                      <w:b/>
                      <w:color w:val="000000"/>
                      <w:kern w:val="0"/>
                      <w:sz w:val="21"/>
                      <w:szCs w:val="21"/>
                      <w:lang w:val="en-US" w:eastAsia="zh-CN" w:bidi="ar-SA"/>
                    </w:rPr>
                  </w:pPr>
                  <w:r>
                    <w:rPr>
                      <w:b/>
                      <w:color w:val="000000"/>
                      <w:kern w:val="0"/>
                      <w:szCs w:val="21"/>
                    </w:rPr>
                    <w:t>kg/h</w:t>
                  </w:r>
                </w:p>
              </w:tc>
              <w:tc>
                <w:tcPr>
                  <w:tcW w:w="502" w:type="pct"/>
                  <w:noWrap w:val="0"/>
                  <w:vAlign w:val="center"/>
                </w:tcPr>
                <w:p w14:paraId="0F92E386">
                  <w:pPr>
                    <w:widowControl/>
                    <w:ind w:left="-105" w:leftChars="-50" w:right="-105" w:rightChars="-50"/>
                    <w:jc w:val="center"/>
                    <w:rPr>
                      <w:rFonts w:hint="eastAsia"/>
                      <w:b/>
                      <w:color w:val="000000"/>
                      <w:kern w:val="0"/>
                      <w:sz w:val="21"/>
                      <w:szCs w:val="21"/>
                      <w:lang w:val="en-US" w:eastAsia="zh-CN" w:bidi="ar-SA"/>
                    </w:rPr>
                  </w:pPr>
                  <w:r>
                    <w:rPr>
                      <w:b/>
                      <w:color w:val="000000"/>
                      <w:kern w:val="0"/>
                      <w:szCs w:val="21"/>
                    </w:rPr>
                    <w:t>kg/a</w:t>
                  </w:r>
                </w:p>
              </w:tc>
              <w:tc>
                <w:tcPr>
                  <w:tcW w:w="519" w:type="pct"/>
                  <w:noWrap w:val="0"/>
                  <w:vAlign w:val="center"/>
                </w:tcPr>
                <w:p w14:paraId="4BBB66F6">
                  <w:pPr>
                    <w:widowControl/>
                    <w:ind w:left="-105" w:leftChars="-50" w:right="-105" w:rightChars="-50"/>
                    <w:jc w:val="center"/>
                    <w:rPr>
                      <w:rFonts w:hint="eastAsia"/>
                      <w:b/>
                      <w:color w:val="000000"/>
                      <w:kern w:val="0"/>
                      <w:sz w:val="21"/>
                      <w:szCs w:val="21"/>
                      <w:lang w:val="en-US" w:eastAsia="zh-CN" w:bidi="ar-SA"/>
                    </w:rPr>
                  </w:pPr>
                  <w:r>
                    <w:rPr>
                      <w:b/>
                      <w:color w:val="000000"/>
                      <w:kern w:val="0"/>
                      <w:szCs w:val="21"/>
                    </w:rPr>
                    <w:t>mg/m</w:t>
                  </w:r>
                  <w:r>
                    <w:rPr>
                      <w:b/>
                      <w:color w:val="000000"/>
                      <w:kern w:val="0"/>
                      <w:szCs w:val="21"/>
                      <w:vertAlign w:val="superscript"/>
                    </w:rPr>
                    <w:t>3</w:t>
                  </w:r>
                </w:p>
              </w:tc>
              <w:tc>
                <w:tcPr>
                  <w:tcW w:w="416" w:type="pct"/>
                  <w:vMerge w:val="continue"/>
                  <w:noWrap w:val="0"/>
                  <w:vAlign w:val="center"/>
                </w:tcPr>
                <w:p w14:paraId="36164379">
                  <w:pPr>
                    <w:jc w:val="center"/>
                    <w:rPr>
                      <w:color w:val="000000"/>
                      <w:szCs w:val="21"/>
                    </w:rPr>
                  </w:pPr>
                </w:p>
              </w:tc>
              <w:tc>
                <w:tcPr>
                  <w:tcW w:w="445" w:type="pct"/>
                  <w:vMerge w:val="continue"/>
                  <w:tcBorders>
                    <w:right w:val="nil"/>
                  </w:tcBorders>
                  <w:noWrap w:val="0"/>
                  <w:vAlign w:val="center"/>
                </w:tcPr>
                <w:p w14:paraId="6EEA4EC6">
                  <w:pPr>
                    <w:jc w:val="center"/>
                    <w:rPr>
                      <w:color w:val="000000"/>
                      <w:szCs w:val="21"/>
                    </w:rPr>
                  </w:pPr>
                </w:p>
              </w:tc>
            </w:tr>
            <w:tr w14:paraId="64CD39C0">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90" w:hRule="atLeast"/>
                <w:jc w:val="center"/>
              </w:trPr>
              <w:tc>
                <w:tcPr>
                  <w:tcW w:w="432" w:type="pct"/>
                  <w:tcBorders>
                    <w:left w:val="nil"/>
                  </w:tcBorders>
                  <w:noWrap w:val="0"/>
                  <w:vAlign w:val="center"/>
                </w:tcPr>
                <w:p w14:paraId="0090A336">
                  <w:pPr>
                    <w:adjustRightInd w:val="0"/>
                    <w:snapToGrid w:val="0"/>
                    <w:jc w:val="center"/>
                    <w:rPr>
                      <w:color w:val="000000"/>
                      <w:szCs w:val="21"/>
                    </w:rPr>
                  </w:pPr>
                  <w:r>
                    <w:rPr>
                      <w:color w:val="000000"/>
                      <w:szCs w:val="21"/>
                    </w:rPr>
                    <w:t>DA00</w:t>
                  </w:r>
                  <w:r>
                    <w:rPr>
                      <w:rFonts w:hint="eastAsia"/>
                      <w:color w:val="000000"/>
                      <w:szCs w:val="21"/>
                    </w:rPr>
                    <w:t>1</w:t>
                  </w:r>
                </w:p>
              </w:tc>
              <w:tc>
                <w:tcPr>
                  <w:tcW w:w="520" w:type="pct"/>
                  <w:noWrap w:val="0"/>
                  <w:vAlign w:val="center"/>
                </w:tcPr>
                <w:p w14:paraId="1C39FD97">
                  <w:pPr>
                    <w:jc w:val="center"/>
                    <w:rPr>
                      <w:rFonts w:hint="eastAsia" w:eastAsia="宋体"/>
                      <w:color w:val="000000"/>
                      <w:szCs w:val="21"/>
                      <w:lang w:eastAsia="zh-CN"/>
                    </w:rPr>
                  </w:pPr>
                  <w:r>
                    <w:rPr>
                      <w:rFonts w:hint="eastAsia"/>
                      <w:color w:val="000000"/>
                      <w:szCs w:val="21"/>
                      <w:lang w:eastAsia="zh-CN"/>
                    </w:rPr>
                    <w:t>喷砂废气</w:t>
                  </w:r>
                </w:p>
              </w:tc>
              <w:tc>
                <w:tcPr>
                  <w:tcW w:w="683" w:type="pct"/>
                  <w:noWrap w:val="0"/>
                  <w:vAlign w:val="center"/>
                </w:tcPr>
                <w:p w14:paraId="705528E8">
                  <w:pPr>
                    <w:jc w:val="center"/>
                    <w:rPr>
                      <w:rFonts w:hint="eastAsia"/>
                      <w:color w:val="000000"/>
                      <w:szCs w:val="21"/>
                    </w:rPr>
                  </w:pPr>
                  <w:r>
                    <w:rPr>
                      <w:rFonts w:hint="eastAsia"/>
                      <w:color w:val="000000"/>
                      <w:szCs w:val="21"/>
                    </w:rPr>
                    <w:t>颗粒物</w:t>
                  </w:r>
                </w:p>
              </w:tc>
              <w:tc>
                <w:tcPr>
                  <w:tcW w:w="640" w:type="pct"/>
                  <w:vMerge w:val="restart"/>
                  <w:noWrap w:val="0"/>
                  <w:vAlign w:val="center"/>
                </w:tcPr>
                <w:p w14:paraId="4F9E6237">
                  <w:pPr>
                    <w:overflowPunct w:val="0"/>
                    <w:adjustRightInd w:val="0"/>
                    <w:snapToGrid w:val="0"/>
                    <w:ind w:firstLine="4"/>
                    <w:jc w:val="center"/>
                    <w:textAlignment w:val="baseline"/>
                    <w:rPr>
                      <w:rFonts w:hint="eastAsia" w:eastAsia="宋体"/>
                      <w:color w:val="000000"/>
                      <w:szCs w:val="21"/>
                      <w:lang w:eastAsia="zh-CN"/>
                    </w:rPr>
                  </w:pPr>
                  <w:r>
                    <w:rPr>
                      <w:rFonts w:hint="eastAsia"/>
                      <w:color w:val="000000"/>
                      <w:szCs w:val="21"/>
                      <w:lang w:eastAsia="zh-CN"/>
                    </w:rPr>
                    <w:t>处理设施失效</w:t>
                  </w:r>
                </w:p>
              </w:tc>
              <w:tc>
                <w:tcPr>
                  <w:tcW w:w="419" w:type="pct"/>
                  <w:noWrap w:val="0"/>
                  <w:vAlign w:val="center"/>
                </w:tcPr>
                <w:p w14:paraId="396BDB05">
                  <w:pPr>
                    <w:overflowPunct w:val="0"/>
                    <w:adjustRightInd w:val="0"/>
                    <w:snapToGrid w:val="0"/>
                    <w:ind w:firstLine="4"/>
                    <w:jc w:val="center"/>
                    <w:textAlignment w:val="baseline"/>
                    <w:rPr>
                      <w:rFonts w:hint="eastAsia"/>
                      <w:color w:val="000000"/>
                      <w:kern w:val="0"/>
                      <w:szCs w:val="21"/>
                    </w:rPr>
                  </w:pPr>
                  <w:r>
                    <w:rPr>
                      <w:rFonts w:hint="eastAsia"/>
                      <w:color w:val="000000"/>
                      <w:kern w:val="0"/>
                      <w:szCs w:val="21"/>
                    </w:rPr>
                    <w:t>0</w:t>
                  </w:r>
                </w:p>
              </w:tc>
              <w:tc>
                <w:tcPr>
                  <w:tcW w:w="419" w:type="pct"/>
                  <w:noWrap w:val="0"/>
                  <w:vAlign w:val="center"/>
                </w:tcPr>
                <w:p w14:paraId="009A7D98">
                  <w:pPr>
                    <w:jc w:val="center"/>
                    <w:rPr>
                      <w:rFonts w:hint="default" w:eastAsia="宋体"/>
                      <w:color w:val="000000"/>
                      <w:szCs w:val="21"/>
                      <w:lang w:val="en-US" w:eastAsia="zh-CN"/>
                    </w:rPr>
                  </w:pPr>
                  <w:r>
                    <w:rPr>
                      <w:rFonts w:hint="eastAsia"/>
                      <w:szCs w:val="21"/>
                      <w:lang w:bidi="ar"/>
                    </w:rPr>
                    <w:t>0.257</w:t>
                  </w:r>
                </w:p>
              </w:tc>
              <w:tc>
                <w:tcPr>
                  <w:tcW w:w="502" w:type="pct"/>
                  <w:noWrap w:val="0"/>
                  <w:vAlign w:val="center"/>
                </w:tcPr>
                <w:p w14:paraId="231411EF">
                  <w:pPr>
                    <w:jc w:val="center"/>
                    <w:rPr>
                      <w:rFonts w:hint="default" w:eastAsia="宋体"/>
                      <w:color w:val="000000"/>
                      <w:kern w:val="2"/>
                      <w:sz w:val="21"/>
                      <w:szCs w:val="21"/>
                      <w:lang w:val="en-US" w:eastAsia="zh-CN" w:bidi="ar-SA"/>
                    </w:rPr>
                  </w:pPr>
                  <w:r>
                    <w:rPr>
                      <w:rFonts w:hint="eastAsia"/>
                      <w:szCs w:val="21"/>
                      <w:lang w:bidi="ar"/>
                    </w:rPr>
                    <w:t>0.257</w:t>
                  </w:r>
                </w:p>
              </w:tc>
              <w:tc>
                <w:tcPr>
                  <w:tcW w:w="519" w:type="pct"/>
                  <w:noWrap w:val="0"/>
                  <w:vAlign w:val="center"/>
                </w:tcPr>
                <w:p w14:paraId="44E5F149">
                  <w:pPr>
                    <w:jc w:val="center"/>
                    <w:rPr>
                      <w:rFonts w:hint="default" w:eastAsia="宋体"/>
                      <w:color w:val="000000"/>
                      <w:szCs w:val="21"/>
                      <w:lang w:val="en-US" w:eastAsia="zh-CN"/>
                    </w:rPr>
                  </w:pPr>
                  <w:r>
                    <w:rPr>
                      <w:rFonts w:hint="eastAsia"/>
                      <w:szCs w:val="21"/>
                      <w:lang w:bidi="ar"/>
                    </w:rPr>
                    <w:t>257.647</w:t>
                  </w:r>
                </w:p>
              </w:tc>
              <w:tc>
                <w:tcPr>
                  <w:tcW w:w="416" w:type="pct"/>
                  <w:noWrap w:val="0"/>
                  <w:vAlign w:val="center"/>
                </w:tcPr>
                <w:p w14:paraId="6FD166C4">
                  <w:pPr>
                    <w:jc w:val="center"/>
                    <w:rPr>
                      <w:color w:val="000000"/>
                      <w:kern w:val="2"/>
                      <w:sz w:val="21"/>
                      <w:szCs w:val="21"/>
                      <w:lang w:val="en-US" w:eastAsia="zh-CN" w:bidi="ar-SA"/>
                    </w:rPr>
                  </w:pPr>
                  <w:r>
                    <w:rPr>
                      <w:color w:val="000000"/>
                      <w:szCs w:val="21"/>
                    </w:rPr>
                    <w:t>1h</w:t>
                  </w:r>
                </w:p>
              </w:tc>
              <w:tc>
                <w:tcPr>
                  <w:tcW w:w="445" w:type="pct"/>
                  <w:tcBorders>
                    <w:right w:val="nil"/>
                  </w:tcBorders>
                  <w:noWrap w:val="0"/>
                  <w:vAlign w:val="center"/>
                </w:tcPr>
                <w:p w14:paraId="49B0A856">
                  <w:pPr>
                    <w:jc w:val="center"/>
                    <w:rPr>
                      <w:color w:val="000000"/>
                      <w:kern w:val="2"/>
                      <w:sz w:val="21"/>
                      <w:szCs w:val="21"/>
                      <w:lang w:val="en-US" w:eastAsia="zh-CN" w:bidi="ar-SA"/>
                    </w:rPr>
                  </w:pPr>
                  <w:r>
                    <w:rPr>
                      <w:color w:val="000000"/>
                      <w:szCs w:val="21"/>
                    </w:rPr>
                    <w:t>1次/年</w:t>
                  </w:r>
                </w:p>
              </w:tc>
            </w:tr>
            <w:tr w14:paraId="0EEBEF6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90" w:hRule="atLeast"/>
                <w:jc w:val="center"/>
              </w:trPr>
              <w:tc>
                <w:tcPr>
                  <w:tcW w:w="432" w:type="pct"/>
                  <w:vMerge w:val="restart"/>
                  <w:tcBorders>
                    <w:left w:val="nil"/>
                  </w:tcBorders>
                  <w:noWrap w:val="0"/>
                  <w:vAlign w:val="center"/>
                </w:tcPr>
                <w:p w14:paraId="1DE2CDD1">
                  <w:pPr>
                    <w:adjustRightInd w:val="0"/>
                    <w:snapToGrid w:val="0"/>
                    <w:jc w:val="center"/>
                    <w:rPr>
                      <w:rFonts w:hint="eastAsia" w:eastAsia="宋体"/>
                      <w:color w:val="000000"/>
                      <w:szCs w:val="21"/>
                      <w:lang w:eastAsia="zh-CN"/>
                    </w:rPr>
                  </w:pPr>
                  <w:r>
                    <w:rPr>
                      <w:color w:val="000000"/>
                      <w:szCs w:val="21"/>
                    </w:rPr>
                    <w:t>DA00</w:t>
                  </w:r>
                  <w:r>
                    <w:rPr>
                      <w:rFonts w:hint="eastAsia"/>
                      <w:color w:val="000000"/>
                      <w:szCs w:val="21"/>
                      <w:lang w:val="en-US" w:eastAsia="zh-CN"/>
                    </w:rPr>
                    <w:t>2</w:t>
                  </w:r>
                </w:p>
              </w:tc>
              <w:tc>
                <w:tcPr>
                  <w:tcW w:w="520" w:type="pct"/>
                  <w:vMerge w:val="restart"/>
                  <w:noWrap w:val="0"/>
                  <w:vAlign w:val="center"/>
                </w:tcPr>
                <w:p w14:paraId="3DD03974">
                  <w:pPr>
                    <w:jc w:val="center"/>
                    <w:rPr>
                      <w:color w:val="000000"/>
                      <w:kern w:val="0"/>
                      <w:szCs w:val="21"/>
                    </w:rPr>
                  </w:pPr>
                  <w:r>
                    <w:rPr>
                      <w:rFonts w:hint="eastAsia"/>
                      <w:color w:val="000000"/>
                      <w:szCs w:val="21"/>
                    </w:rPr>
                    <w:t>烘干废气</w:t>
                  </w:r>
                </w:p>
              </w:tc>
              <w:tc>
                <w:tcPr>
                  <w:tcW w:w="683" w:type="pct"/>
                  <w:noWrap w:val="0"/>
                  <w:vAlign w:val="center"/>
                </w:tcPr>
                <w:p w14:paraId="4A0EE5E4">
                  <w:pPr>
                    <w:jc w:val="center"/>
                    <w:rPr>
                      <w:rFonts w:hint="eastAsia" w:eastAsia="宋体"/>
                      <w:color w:val="000000"/>
                      <w:szCs w:val="21"/>
                      <w:lang w:eastAsia="zh-CN"/>
                    </w:rPr>
                  </w:pPr>
                  <w:r>
                    <w:rPr>
                      <w:rFonts w:hint="eastAsia"/>
                      <w:color w:val="000000"/>
                      <w:szCs w:val="21"/>
                      <w:lang w:eastAsia="zh-CN"/>
                    </w:rPr>
                    <w:t>漆雾</w:t>
                  </w:r>
                </w:p>
              </w:tc>
              <w:tc>
                <w:tcPr>
                  <w:tcW w:w="640" w:type="pct"/>
                  <w:vMerge w:val="continue"/>
                  <w:noWrap w:val="0"/>
                  <w:vAlign w:val="center"/>
                </w:tcPr>
                <w:p w14:paraId="6736FF94">
                  <w:pPr>
                    <w:overflowPunct w:val="0"/>
                    <w:adjustRightInd w:val="0"/>
                    <w:snapToGrid w:val="0"/>
                    <w:ind w:firstLine="4"/>
                    <w:jc w:val="center"/>
                    <w:textAlignment w:val="baseline"/>
                    <w:rPr>
                      <w:color w:val="000000"/>
                      <w:szCs w:val="21"/>
                    </w:rPr>
                  </w:pPr>
                </w:p>
              </w:tc>
              <w:tc>
                <w:tcPr>
                  <w:tcW w:w="419" w:type="pct"/>
                  <w:noWrap w:val="0"/>
                  <w:vAlign w:val="center"/>
                </w:tcPr>
                <w:p w14:paraId="13B74897">
                  <w:pPr>
                    <w:overflowPunct w:val="0"/>
                    <w:adjustRightInd w:val="0"/>
                    <w:snapToGrid w:val="0"/>
                    <w:ind w:firstLine="4"/>
                    <w:jc w:val="center"/>
                    <w:textAlignment w:val="baseline"/>
                    <w:rPr>
                      <w:rFonts w:hint="eastAsia"/>
                      <w:color w:val="000000"/>
                      <w:kern w:val="0"/>
                      <w:szCs w:val="21"/>
                    </w:rPr>
                  </w:pPr>
                  <w:r>
                    <w:rPr>
                      <w:rFonts w:hint="eastAsia"/>
                      <w:color w:val="000000"/>
                      <w:kern w:val="0"/>
                      <w:szCs w:val="21"/>
                    </w:rPr>
                    <w:t>0</w:t>
                  </w:r>
                </w:p>
              </w:tc>
              <w:tc>
                <w:tcPr>
                  <w:tcW w:w="419" w:type="pct"/>
                  <w:noWrap w:val="0"/>
                  <w:vAlign w:val="center"/>
                </w:tcPr>
                <w:p w14:paraId="31203137">
                  <w:pPr>
                    <w:jc w:val="center"/>
                    <w:rPr>
                      <w:rFonts w:hint="default" w:eastAsia="宋体"/>
                      <w:color w:val="000000"/>
                      <w:szCs w:val="21"/>
                      <w:highlight w:val="yellow"/>
                      <w:lang w:val="en-US" w:eastAsia="zh-CN"/>
                    </w:rPr>
                  </w:pPr>
                  <w:r>
                    <w:rPr>
                      <w:rFonts w:hint="eastAsia"/>
                      <w:szCs w:val="21"/>
                      <w:lang w:val="en-US" w:eastAsia="zh-CN" w:bidi="ar"/>
                    </w:rPr>
                    <w:t>0.936</w:t>
                  </w:r>
                </w:p>
              </w:tc>
              <w:tc>
                <w:tcPr>
                  <w:tcW w:w="502" w:type="pct"/>
                  <w:noWrap w:val="0"/>
                  <w:vAlign w:val="center"/>
                </w:tcPr>
                <w:p w14:paraId="3BCC0398">
                  <w:pPr>
                    <w:jc w:val="center"/>
                    <w:rPr>
                      <w:rFonts w:hint="default" w:eastAsia="宋体"/>
                      <w:color w:val="000000"/>
                      <w:kern w:val="2"/>
                      <w:sz w:val="21"/>
                      <w:szCs w:val="21"/>
                      <w:highlight w:val="yellow"/>
                      <w:lang w:val="en-US" w:eastAsia="zh-CN" w:bidi="ar-SA"/>
                    </w:rPr>
                  </w:pPr>
                  <w:r>
                    <w:rPr>
                      <w:rFonts w:hint="eastAsia"/>
                      <w:szCs w:val="21"/>
                      <w:lang w:val="en-US" w:eastAsia="zh-CN" w:bidi="ar"/>
                    </w:rPr>
                    <w:t>0.936</w:t>
                  </w:r>
                </w:p>
              </w:tc>
              <w:tc>
                <w:tcPr>
                  <w:tcW w:w="519" w:type="pct"/>
                  <w:noWrap w:val="0"/>
                  <w:vAlign w:val="center"/>
                </w:tcPr>
                <w:p w14:paraId="25F15401">
                  <w:pPr>
                    <w:jc w:val="center"/>
                    <w:rPr>
                      <w:rFonts w:hint="default" w:eastAsia="宋体"/>
                      <w:color w:val="000000"/>
                      <w:szCs w:val="21"/>
                      <w:highlight w:val="yellow"/>
                      <w:lang w:val="en-US" w:eastAsia="zh-CN"/>
                    </w:rPr>
                  </w:pPr>
                  <w:r>
                    <w:rPr>
                      <w:rFonts w:hint="eastAsia"/>
                      <w:szCs w:val="21"/>
                      <w:lang w:val="en-US" w:eastAsia="zh-CN" w:bidi="ar"/>
                    </w:rPr>
                    <w:t>187.2</w:t>
                  </w:r>
                </w:p>
              </w:tc>
              <w:tc>
                <w:tcPr>
                  <w:tcW w:w="416" w:type="pct"/>
                  <w:noWrap w:val="0"/>
                  <w:vAlign w:val="center"/>
                </w:tcPr>
                <w:p w14:paraId="52C03070">
                  <w:pPr>
                    <w:jc w:val="center"/>
                    <w:rPr>
                      <w:color w:val="000000"/>
                      <w:szCs w:val="21"/>
                    </w:rPr>
                  </w:pPr>
                  <w:r>
                    <w:rPr>
                      <w:color w:val="000000"/>
                      <w:szCs w:val="21"/>
                    </w:rPr>
                    <w:t>1h</w:t>
                  </w:r>
                </w:p>
              </w:tc>
              <w:tc>
                <w:tcPr>
                  <w:tcW w:w="445" w:type="pct"/>
                  <w:tcBorders>
                    <w:right w:val="nil"/>
                  </w:tcBorders>
                  <w:noWrap w:val="0"/>
                  <w:vAlign w:val="center"/>
                </w:tcPr>
                <w:p w14:paraId="504A7F58">
                  <w:pPr>
                    <w:jc w:val="center"/>
                    <w:rPr>
                      <w:color w:val="000000"/>
                      <w:szCs w:val="21"/>
                    </w:rPr>
                  </w:pPr>
                  <w:r>
                    <w:rPr>
                      <w:color w:val="000000"/>
                      <w:szCs w:val="21"/>
                    </w:rPr>
                    <w:t>1次/年</w:t>
                  </w:r>
                </w:p>
              </w:tc>
            </w:tr>
            <w:tr w14:paraId="5F20E0D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90" w:hRule="atLeast"/>
                <w:jc w:val="center"/>
              </w:trPr>
              <w:tc>
                <w:tcPr>
                  <w:tcW w:w="432" w:type="pct"/>
                  <w:vMerge w:val="continue"/>
                  <w:tcBorders>
                    <w:left w:val="nil"/>
                  </w:tcBorders>
                  <w:noWrap w:val="0"/>
                  <w:vAlign w:val="center"/>
                </w:tcPr>
                <w:p w14:paraId="5B57B695">
                  <w:pPr>
                    <w:adjustRightInd w:val="0"/>
                    <w:snapToGrid w:val="0"/>
                    <w:jc w:val="center"/>
                    <w:rPr>
                      <w:color w:val="000000"/>
                      <w:szCs w:val="21"/>
                    </w:rPr>
                  </w:pPr>
                </w:p>
              </w:tc>
              <w:tc>
                <w:tcPr>
                  <w:tcW w:w="520" w:type="pct"/>
                  <w:vMerge w:val="continue"/>
                  <w:noWrap w:val="0"/>
                  <w:vAlign w:val="center"/>
                </w:tcPr>
                <w:p w14:paraId="50DF2B44">
                  <w:pPr>
                    <w:jc w:val="center"/>
                    <w:rPr>
                      <w:rFonts w:hint="eastAsia"/>
                      <w:color w:val="000000"/>
                      <w:szCs w:val="21"/>
                    </w:rPr>
                  </w:pPr>
                </w:p>
              </w:tc>
              <w:tc>
                <w:tcPr>
                  <w:tcW w:w="683" w:type="pct"/>
                  <w:noWrap w:val="0"/>
                  <w:vAlign w:val="center"/>
                </w:tcPr>
                <w:p w14:paraId="084465BA">
                  <w:pPr>
                    <w:jc w:val="center"/>
                    <w:rPr>
                      <w:rFonts w:hint="eastAsia"/>
                      <w:color w:val="000000"/>
                      <w:szCs w:val="21"/>
                    </w:rPr>
                  </w:pPr>
                  <w:r>
                    <w:rPr>
                      <w:rFonts w:hint="eastAsia"/>
                      <w:kern w:val="0"/>
                      <w:szCs w:val="21"/>
                      <w:lang w:bidi="ar"/>
                    </w:rPr>
                    <w:t>NMHC</w:t>
                  </w:r>
                </w:p>
              </w:tc>
              <w:tc>
                <w:tcPr>
                  <w:tcW w:w="640" w:type="pct"/>
                  <w:vMerge w:val="continue"/>
                  <w:noWrap w:val="0"/>
                  <w:vAlign w:val="center"/>
                </w:tcPr>
                <w:p w14:paraId="0AF61212">
                  <w:pPr>
                    <w:overflowPunct w:val="0"/>
                    <w:adjustRightInd w:val="0"/>
                    <w:snapToGrid w:val="0"/>
                    <w:ind w:firstLine="4"/>
                    <w:jc w:val="center"/>
                    <w:textAlignment w:val="baseline"/>
                    <w:rPr>
                      <w:rFonts w:hint="eastAsia"/>
                      <w:color w:val="000000"/>
                      <w:kern w:val="0"/>
                      <w:szCs w:val="21"/>
                    </w:rPr>
                  </w:pPr>
                </w:p>
              </w:tc>
              <w:tc>
                <w:tcPr>
                  <w:tcW w:w="419" w:type="pct"/>
                  <w:noWrap w:val="0"/>
                  <w:vAlign w:val="center"/>
                </w:tcPr>
                <w:p w14:paraId="385652E1">
                  <w:pPr>
                    <w:overflowPunct w:val="0"/>
                    <w:adjustRightInd w:val="0"/>
                    <w:snapToGrid w:val="0"/>
                    <w:ind w:firstLine="4"/>
                    <w:jc w:val="center"/>
                    <w:textAlignment w:val="baseline"/>
                    <w:rPr>
                      <w:color w:val="000000"/>
                      <w:kern w:val="0"/>
                      <w:szCs w:val="21"/>
                    </w:rPr>
                  </w:pPr>
                  <w:r>
                    <w:rPr>
                      <w:rFonts w:hint="eastAsia"/>
                      <w:color w:val="000000"/>
                      <w:kern w:val="0"/>
                      <w:szCs w:val="21"/>
                    </w:rPr>
                    <w:t>0</w:t>
                  </w:r>
                </w:p>
              </w:tc>
              <w:tc>
                <w:tcPr>
                  <w:tcW w:w="419" w:type="pct"/>
                  <w:noWrap w:val="0"/>
                  <w:vAlign w:val="center"/>
                </w:tcPr>
                <w:p w14:paraId="0B34D919">
                  <w:pPr>
                    <w:jc w:val="center"/>
                    <w:rPr>
                      <w:rFonts w:hint="default" w:eastAsia="宋体"/>
                      <w:color w:val="000000"/>
                      <w:szCs w:val="21"/>
                      <w:highlight w:val="yellow"/>
                      <w:lang w:val="en-US" w:eastAsia="zh-CN"/>
                    </w:rPr>
                  </w:pPr>
                  <w:r>
                    <w:rPr>
                      <w:rFonts w:hint="eastAsia"/>
                      <w:szCs w:val="21"/>
                      <w:lang w:val="en-US" w:eastAsia="zh-CN" w:bidi="ar"/>
                    </w:rPr>
                    <w:t>2.19</w:t>
                  </w:r>
                </w:p>
              </w:tc>
              <w:tc>
                <w:tcPr>
                  <w:tcW w:w="502" w:type="pct"/>
                  <w:noWrap w:val="0"/>
                  <w:vAlign w:val="center"/>
                </w:tcPr>
                <w:p w14:paraId="04F3CCB1">
                  <w:pPr>
                    <w:jc w:val="center"/>
                    <w:rPr>
                      <w:rFonts w:hint="default" w:eastAsia="宋体"/>
                      <w:color w:val="000000"/>
                      <w:kern w:val="2"/>
                      <w:sz w:val="21"/>
                      <w:szCs w:val="21"/>
                      <w:highlight w:val="yellow"/>
                      <w:lang w:val="en-US" w:eastAsia="zh-CN" w:bidi="ar-SA"/>
                    </w:rPr>
                  </w:pPr>
                  <w:r>
                    <w:rPr>
                      <w:rFonts w:hint="eastAsia"/>
                      <w:szCs w:val="21"/>
                      <w:lang w:val="en-US" w:eastAsia="zh-CN" w:bidi="ar"/>
                    </w:rPr>
                    <w:t>2.19</w:t>
                  </w:r>
                </w:p>
              </w:tc>
              <w:tc>
                <w:tcPr>
                  <w:tcW w:w="519" w:type="pct"/>
                  <w:noWrap w:val="0"/>
                  <w:vAlign w:val="center"/>
                </w:tcPr>
                <w:p w14:paraId="4831A20C">
                  <w:pPr>
                    <w:jc w:val="center"/>
                    <w:rPr>
                      <w:rFonts w:hint="default" w:eastAsia="宋体"/>
                      <w:color w:val="000000"/>
                      <w:szCs w:val="21"/>
                      <w:highlight w:val="yellow"/>
                      <w:lang w:val="en-US" w:eastAsia="zh-CN"/>
                    </w:rPr>
                  </w:pPr>
                  <w:r>
                    <w:rPr>
                      <w:rFonts w:hint="eastAsia"/>
                      <w:szCs w:val="21"/>
                      <w:lang w:val="en-US" w:eastAsia="zh-CN" w:bidi="ar"/>
                    </w:rPr>
                    <w:t>438</w:t>
                  </w:r>
                </w:p>
              </w:tc>
              <w:tc>
                <w:tcPr>
                  <w:tcW w:w="416" w:type="pct"/>
                  <w:noWrap w:val="0"/>
                  <w:vAlign w:val="center"/>
                </w:tcPr>
                <w:p w14:paraId="1CD619EC">
                  <w:pPr>
                    <w:jc w:val="center"/>
                    <w:rPr>
                      <w:color w:val="000000"/>
                      <w:szCs w:val="21"/>
                    </w:rPr>
                  </w:pPr>
                  <w:r>
                    <w:rPr>
                      <w:color w:val="000000"/>
                      <w:szCs w:val="21"/>
                    </w:rPr>
                    <w:t>1h</w:t>
                  </w:r>
                </w:p>
              </w:tc>
              <w:tc>
                <w:tcPr>
                  <w:tcW w:w="445" w:type="pct"/>
                  <w:tcBorders>
                    <w:right w:val="nil"/>
                  </w:tcBorders>
                  <w:noWrap w:val="0"/>
                  <w:vAlign w:val="center"/>
                </w:tcPr>
                <w:p w14:paraId="1F8982C9">
                  <w:pPr>
                    <w:jc w:val="center"/>
                    <w:rPr>
                      <w:color w:val="000000"/>
                      <w:szCs w:val="21"/>
                    </w:rPr>
                  </w:pPr>
                  <w:r>
                    <w:rPr>
                      <w:color w:val="000000"/>
                      <w:szCs w:val="21"/>
                    </w:rPr>
                    <w:t>1次/年</w:t>
                  </w:r>
                </w:p>
              </w:tc>
            </w:tr>
            <w:tr w14:paraId="7022C84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90" w:hRule="atLeast"/>
                <w:jc w:val="center"/>
              </w:trPr>
              <w:tc>
                <w:tcPr>
                  <w:tcW w:w="432" w:type="pct"/>
                  <w:vMerge w:val="continue"/>
                  <w:tcBorders>
                    <w:left w:val="nil"/>
                    <w:bottom w:val="single" w:color="auto" w:sz="12" w:space="0"/>
                  </w:tcBorders>
                  <w:noWrap w:val="0"/>
                  <w:vAlign w:val="center"/>
                </w:tcPr>
                <w:p w14:paraId="6637F895">
                  <w:pPr>
                    <w:adjustRightInd w:val="0"/>
                    <w:snapToGrid w:val="0"/>
                    <w:jc w:val="center"/>
                    <w:rPr>
                      <w:color w:val="000000"/>
                      <w:szCs w:val="21"/>
                    </w:rPr>
                  </w:pPr>
                </w:p>
              </w:tc>
              <w:tc>
                <w:tcPr>
                  <w:tcW w:w="520" w:type="pct"/>
                  <w:vMerge w:val="continue"/>
                  <w:tcBorders>
                    <w:bottom w:val="single" w:color="auto" w:sz="12" w:space="0"/>
                  </w:tcBorders>
                  <w:noWrap w:val="0"/>
                  <w:vAlign w:val="center"/>
                </w:tcPr>
                <w:p w14:paraId="135117CD">
                  <w:pPr>
                    <w:jc w:val="center"/>
                    <w:rPr>
                      <w:rFonts w:hint="eastAsia"/>
                      <w:color w:val="000000"/>
                      <w:szCs w:val="21"/>
                    </w:rPr>
                  </w:pPr>
                </w:p>
              </w:tc>
              <w:tc>
                <w:tcPr>
                  <w:tcW w:w="683" w:type="pct"/>
                  <w:tcBorders>
                    <w:bottom w:val="single" w:color="auto" w:sz="12" w:space="0"/>
                  </w:tcBorders>
                  <w:noWrap w:val="0"/>
                  <w:vAlign w:val="center"/>
                </w:tcPr>
                <w:p w14:paraId="5C8CD69E">
                  <w:pPr>
                    <w:jc w:val="center"/>
                    <w:rPr>
                      <w:rFonts w:hint="eastAsia"/>
                      <w:color w:val="000000"/>
                      <w:szCs w:val="21"/>
                    </w:rPr>
                  </w:pPr>
                  <w:r>
                    <w:rPr>
                      <w:kern w:val="0"/>
                      <w:szCs w:val="21"/>
                      <w:lang w:bidi="ar"/>
                    </w:rPr>
                    <w:t>甲苯</w:t>
                  </w:r>
                </w:p>
              </w:tc>
              <w:tc>
                <w:tcPr>
                  <w:tcW w:w="640" w:type="pct"/>
                  <w:vMerge w:val="continue"/>
                  <w:tcBorders>
                    <w:bottom w:val="single" w:color="auto" w:sz="12" w:space="0"/>
                  </w:tcBorders>
                  <w:noWrap w:val="0"/>
                  <w:vAlign w:val="center"/>
                </w:tcPr>
                <w:p w14:paraId="3E801ABC">
                  <w:pPr>
                    <w:overflowPunct w:val="0"/>
                    <w:adjustRightInd w:val="0"/>
                    <w:snapToGrid w:val="0"/>
                    <w:ind w:firstLine="4"/>
                    <w:jc w:val="center"/>
                    <w:textAlignment w:val="baseline"/>
                    <w:rPr>
                      <w:rFonts w:hint="eastAsia"/>
                      <w:color w:val="000000"/>
                      <w:kern w:val="0"/>
                      <w:szCs w:val="21"/>
                    </w:rPr>
                  </w:pPr>
                </w:p>
              </w:tc>
              <w:tc>
                <w:tcPr>
                  <w:tcW w:w="419" w:type="pct"/>
                  <w:tcBorders>
                    <w:bottom w:val="single" w:color="auto" w:sz="12" w:space="0"/>
                  </w:tcBorders>
                  <w:noWrap w:val="0"/>
                  <w:vAlign w:val="center"/>
                </w:tcPr>
                <w:p w14:paraId="65FCB83B">
                  <w:pPr>
                    <w:overflowPunct w:val="0"/>
                    <w:adjustRightInd w:val="0"/>
                    <w:snapToGrid w:val="0"/>
                    <w:ind w:firstLine="4"/>
                    <w:jc w:val="center"/>
                    <w:textAlignment w:val="baseline"/>
                    <w:rPr>
                      <w:color w:val="000000"/>
                      <w:kern w:val="0"/>
                      <w:szCs w:val="21"/>
                    </w:rPr>
                  </w:pPr>
                  <w:r>
                    <w:rPr>
                      <w:rFonts w:hint="eastAsia"/>
                      <w:color w:val="000000"/>
                      <w:kern w:val="0"/>
                      <w:szCs w:val="21"/>
                    </w:rPr>
                    <w:t>0</w:t>
                  </w:r>
                </w:p>
              </w:tc>
              <w:tc>
                <w:tcPr>
                  <w:tcW w:w="419" w:type="pct"/>
                  <w:tcBorders>
                    <w:bottom w:val="single" w:color="auto" w:sz="12" w:space="0"/>
                  </w:tcBorders>
                  <w:noWrap w:val="0"/>
                  <w:vAlign w:val="center"/>
                </w:tcPr>
                <w:p w14:paraId="04661400">
                  <w:pPr>
                    <w:jc w:val="center"/>
                    <w:rPr>
                      <w:rFonts w:hint="default" w:eastAsia="宋体"/>
                      <w:color w:val="000000"/>
                      <w:szCs w:val="21"/>
                      <w:highlight w:val="yellow"/>
                      <w:lang w:val="en-US" w:eastAsia="zh-CN"/>
                    </w:rPr>
                  </w:pPr>
                  <w:r>
                    <w:rPr>
                      <w:rFonts w:hint="eastAsia"/>
                      <w:szCs w:val="21"/>
                      <w:lang w:val="en-US" w:eastAsia="zh-CN" w:bidi="ar"/>
                    </w:rPr>
                    <w:t>0.6</w:t>
                  </w:r>
                </w:p>
              </w:tc>
              <w:tc>
                <w:tcPr>
                  <w:tcW w:w="502" w:type="pct"/>
                  <w:tcBorders>
                    <w:bottom w:val="single" w:color="auto" w:sz="12" w:space="0"/>
                  </w:tcBorders>
                  <w:noWrap w:val="0"/>
                  <w:vAlign w:val="center"/>
                </w:tcPr>
                <w:p w14:paraId="4FFD2444">
                  <w:pPr>
                    <w:jc w:val="center"/>
                    <w:rPr>
                      <w:rFonts w:hint="default" w:eastAsia="宋体"/>
                      <w:color w:val="000000"/>
                      <w:kern w:val="2"/>
                      <w:sz w:val="21"/>
                      <w:szCs w:val="21"/>
                      <w:highlight w:val="yellow"/>
                      <w:lang w:val="en-US" w:eastAsia="zh-CN" w:bidi="ar-SA"/>
                    </w:rPr>
                  </w:pPr>
                  <w:r>
                    <w:rPr>
                      <w:rFonts w:hint="eastAsia"/>
                      <w:szCs w:val="21"/>
                      <w:lang w:val="en-US" w:eastAsia="zh-CN" w:bidi="ar"/>
                    </w:rPr>
                    <w:t>0.6</w:t>
                  </w:r>
                </w:p>
              </w:tc>
              <w:tc>
                <w:tcPr>
                  <w:tcW w:w="519" w:type="pct"/>
                  <w:tcBorders>
                    <w:bottom w:val="single" w:color="auto" w:sz="12" w:space="0"/>
                  </w:tcBorders>
                  <w:noWrap w:val="0"/>
                  <w:vAlign w:val="center"/>
                </w:tcPr>
                <w:p w14:paraId="3B31583B">
                  <w:pPr>
                    <w:jc w:val="center"/>
                    <w:rPr>
                      <w:rFonts w:hint="default" w:eastAsia="宋体"/>
                      <w:color w:val="000000"/>
                      <w:szCs w:val="21"/>
                      <w:highlight w:val="yellow"/>
                      <w:lang w:val="en-US" w:eastAsia="zh-CN"/>
                    </w:rPr>
                  </w:pPr>
                  <w:r>
                    <w:rPr>
                      <w:rFonts w:hint="eastAsia"/>
                      <w:szCs w:val="21"/>
                      <w:lang w:val="en-US" w:eastAsia="zh-CN" w:bidi="ar"/>
                    </w:rPr>
                    <w:t>120</w:t>
                  </w:r>
                </w:p>
              </w:tc>
              <w:tc>
                <w:tcPr>
                  <w:tcW w:w="416" w:type="pct"/>
                  <w:tcBorders>
                    <w:bottom w:val="single" w:color="auto" w:sz="12" w:space="0"/>
                  </w:tcBorders>
                  <w:noWrap w:val="0"/>
                  <w:vAlign w:val="center"/>
                </w:tcPr>
                <w:p w14:paraId="3E933928">
                  <w:pPr>
                    <w:jc w:val="center"/>
                    <w:rPr>
                      <w:color w:val="000000"/>
                      <w:szCs w:val="21"/>
                    </w:rPr>
                  </w:pPr>
                  <w:r>
                    <w:rPr>
                      <w:color w:val="000000"/>
                      <w:szCs w:val="21"/>
                    </w:rPr>
                    <w:t>1h</w:t>
                  </w:r>
                </w:p>
              </w:tc>
              <w:tc>
                <w:tcPr>
                  <w:tcW w:w="445" w:type="pct"/>
                  <w:tcBorders>
                    <w:bottom w:val="single" w:color="auto" w:sz="12" w:space="0"/>
                    <w:right w:val="nil"/>
                  </w:tcBorders>
                  <w:noWrap w:val="0"/>
                  <w:vAlign w:val="center"/>
                </w:tcPr>
                <w:p w14:paraId="722EA745">
                  <w:pPr>
                    <w:jc w:val="center"/>
                    <w:rPr>
                      <w:color w:val="000000"/>
                      <w:szCs w:val="21"/>
                    </w:rPr>
                  </w:pPr>
                  <w:r>
                    <w:rPr>
                      <w:color w:val="000000"/>
                      <w:szCs w:val="21"/>
                    </w:rPr>
                    <w:t>1次/年</w:t>
                  </w:r>
                </w:p>
              </w:tc>
            </w:tr>
          </w:tbl>
          <w:p w14:paraId="1C3FF102">
            <w:pPr>
              <w:spacing w:line="360" w:lineRule="auto"/>
              <w:ind w:firstLine="480" w:firstLineChars="200"/>
              <w:rPr>
                <w:rFonts w:hint="eastAsia"/>
                <w:b w:val="0"/>
                <w:bCs w:val="0"/>
                <w:sz w:val="24"/>
              </w:rPr>
            </w:pPr>
          </w:p>
          <w:p w14:paraId="23EA6499">
            <w:pPr>
              <w:spacing w:line="360" w:lineRule="auto"/>
              <w:ind w:firstLine="480" w:firstLineChars="200"/>
              <w:rPr>
                <w:rFonts w:hint="eastAsia" w:eastAsia="宋体"/>
                <w:b w:val="0"/>
                <w:bCs w:val="0"/>
                <w:i/>
                <w:iCs/>
                <w:sz w:val="24"/>
                <w:u w:val="single"/>
                <w:lang w:eastAsia="zh-CN"/>
              </w:rPr>
            </w:pPr>
            <w:r>
              <w:rPr>
                <w:rFonts w:hint="eastAsia"/>
                <w:b w:val="0"/>
                <w:bCs w:val="0"/>
                <w:i/>
                <w:iCs/>
                <w:sz w:val="24"/>
                <w:u w:val="single"/>
              </w:rPr>
              <w:t>项目产生的废气不能达标排放</w:t>
            </w:r>
            <w:r>
              <w:rPr>
                <w:rFonts w:hint="eastAsia"/>
                <w:b w:val="0"/>
                <w:bCs w:val="0"/>
                <w:i/>
                <w:iCs/>
                <w:sz w:val="24"/>
                <w:u w:val="single"/>
                <w:lang w:eastAsia="zh-CN"/>
              </w:rPr>
              <w:t>会</w:t>
            </w:r>
            <w:r>
              <w:rPr>
                <w:rFonts w:hint="eastAsia"/>
                <w:b w:val="0"/>
                <w:bCs w:val="0"/>
                <w:i/>
                <w:iCs/>
                <w:sz w:val="24"/>
                <w:u w:val="single"/>
              </w:rPr>
              <w:t>直接排入周围大气环境中。</w:t>
            </w:r>
            <w:r>
              <w:rPr>
                <w:i/>
                <w:iCs/>
                <w:color w:val="000000"/>
                <w:kern w:val="0"/>
                <w:sz w:val="24"/>
                <w:u w:val="single"/>
                <w:lang w:bidi="ar"/>
              </w:rPr>
              <w:t>在短时间内污染物排放量较大，造成排放口瞬时出现高浓度，对环境会产生一定影响。项目周围大气环境具有一定的容量，废气正常排放时对环境质量影响不大，一旦发生事故性排放，在极端气象条件下会使大气排放口周围形成较高的污染物落地浓度，污染周围大气环境</w:t>
            </w:r>
            <w:r>
              <w:rPr>
                <w:rFonts w:hint="eastAsia"/>
                <w:i/>
                <w:iCs/>
                <w:color w:val="000000"/>
                <w:kern w:val="0"/>
                <w:sz w:val="24"/>
                <w:u w:val="single"/>
                <w:lang w:eastAsia="zh-CN" w:bidi="ar"/>
              </w:rPr>
              <w:t>，对周边企业员工</w:t>
            </w:r>
            <w:r>
              <w:rPr>
                <w:i/>
                <w:iCs/>
                <w:color w:val="000000"/>
                <w:kern w:val="0"/>
                <w:sz w:val="24"/>
                <w:u w:val="single"/>
                <w:lang w:bidi="ar"/>
              </w:rPr>
              <w:t>的正常生活造成影响</w:t>
            </w:r>
            <w:r>
              <w:rPr>
                <w:rFonts w:hint="eastAsia"/>
                <w:i/>
                <w:iCs/>
                <w:color w:val="000000"/>
                <w:kern w:val="0"/>
                <w:sz w:val="24"/>
                <w:u w:val="single"/>
                <w:lang w:eastAsia="zh-CN" w:bidi="ar"/>
              </w:rPr>
              <w:t>。</w:t>
            </w:r>
          </w:p>
          <w:p w14:paraId="47D7B6F4">
            <w:pPr>
              <w:pStyle w:val="98"/>
              <w:snapToGrid w:val="0"/>
              <w:spacing w:beforeLines="0" w:afterLines="0" w:line="360" w:lineRule="auto"/>
              <w:ind w:firstLine="482" w:firstLineChars="200"/>
              <w:rPr>
                <w:b/>
                <w:bCs/>
              </w:rPr>
            </w:pPr>
            <w:r>
              <w:rPr>
                <w:b/>
                <w:bCs/>
              </w:rPr>
              <w:t>3、</w:t>
            </w:r>
            <w:r>
              <w:rPr>
                <w:rFonts w:hint="eastAsia" w:ascii="宋体" w:hAnsi="宋体" w:eastAsia="宋体" w:cs="宋体"/>
                <w:b/>
                <w:bCs/>
              </w:rPr>
              <w:t>噪声</w:t>
            </w:r>
          </w:p>
          <w:p w14:paraId="02958DD4">
            <w:pPr>
              <w:spacing w:line="360" w:lineRule="auto"/>
              <w:ind w:firstLine="480"/>
              <w:rPr>
                <w:b/>
                <w:bCs/>
                <w:sz w:val="24"/>
              </w:rPr>
            </w:pPr>
            <w:r>
              <w:rPr>
                <w:b/>
                <w:bCs/>
                <w:sz w:val="24"/>
              </w:rPr>
              <w:t>3.1噪声源强</w:t>
            </w:r>
          </w:p>
          <w:p w14:paraId="318FDCF3">
            <w:pPr>
              <w:spacing w:line="360" w:lineRule="auto"/>
              <w:ind w:firstLine="480"/>
              <w:rPr>
                <w:sz w:val="24"/>
              </w:rPr>
            </w:pPr>
            <w:r>
              <w:rPr>
                <w:rFonts w:hint="eastAsia"/>
                <w:sz w:val="24"/>
              </w:rPr>
              <w:t>本</w:t>
            </w:r>
            <w:r>
              <w:rPr>
                <w:sz w:val="24"/>
              </w:rPr>
              <w:t>项目主要噪声源为</w:t>
            </w:r>
            <w:r>
              <w:rPr>
                <w:rFonts w:hint="eastAsia"/>
                <w:sz w:val="24"/>
              </w:rPr>
              <w:t>搅拌</w:t>
            </w:r>
            <w:r>
              <w:rPr>
                <w:sz w:val="24"/>
              </w:rPr>
              <w:t>器</w:t>
            </w:r>
            <w:r>
              <w:rPr>
                <w:rFonts w:hint="eastAsia"/>
                <w:sz w:val="24"/>
              </w:rPr>
              <w:t>、研磨机、喷砂机、喷枪高压气动泵、</w:t>
            </w:r>
            <w:r>
              <w:rPr>
                <w:sz w:val="24"/>
              </w:rPr>
              <w:t>风机，其声压级为</w:t>
            </w:r>
            <w:r>
              <w:rPr>
                <w:rFonts w:hint="eastAsia"/>
                <w:sz w:val="24"/>
              </w:rPr>
              <w:t>80</w:t>
            </w:r>
            <w:r>
              <w:rPr>
                <w:sz w:val="24"/>
              </w:rPr>
              <w:t>-</w:t>
            </w:r>
            <w:r>
              <w:rPr>
                <w:rFonts w:hint="eastAsia"/>
                <w:sz w:val="24"/>
              </w:rPr>
              <w:t>90</w:t>
            </w:r>
            <w:r>
              <w:rPr>
                <w:sz w:val="24"/>
              </w:rPr>
              <w:t>dB</w:t>
            </w:r>
            <w:r>
              <w:rPr>
                <w:rFonts w:hint="eastAsia"/>
                <w:sz w:val="24"/>
              </w:rPr>
              <w:t>（</w:t>
            </w:r>
            <w:r>
              <w:rPr>
                <w:sz w:val="24"/>
              </w:rPr>
              <w:t>A</w:t>
            </w:r>
            <w:r>
              <w:rPr>
                <w:rFonts w:hint="eastAsia"/>
                <w:sz w:val="24"/>
              </w:rPr>
              <w:t>）</w:t>
            </w:r>
            <w:r>
              <w:rPr>
                <w:sz w:val="24"/>
              </w:rPr>
              <w:t>。</w:t>
            </w:r>
          </w:p>
          <w:p w14:paraId="75C6ADEA">
            <w:pPr>
              <w:pStyle w:val="94"/>
              <w:numPr>
                <w:ilvl w:val="0"/>
                <w:numId w:val="0"/>
              </w:numPr>
              <w:adjustRightInd/>
              <w:snapToGrid/>
              <w:spacing w:line="240" w:lineRule="auto"/>
              <w:rPr>
                <w:b/>
                <w:color w:val="auto"/>
                <w:kern w:val="2"/>
                <w:szCs w:val="24"/>
              </w:rPr>
            </w:pPr>
            <w:r>
              <w:rPr>
                <w:b/>
                <w:color w:val="auto"/>
                <w:kern w:val="2"/>
                <w:szCs w:val="24"/>
              </w:rPr>
              <w:t>表4-</w:t>
            </w:r>
            <w:r>
              <w:rPr>
                <w:rFonts w:hint="eastAsia"/>
                <w:b/>
                <w:color w:val="auto"/>
                <w:kern w:val="2"/>
                <w:szCs w:val="24"/>
                <w:lang w:val="en-US" w:eastAsia="zh-CN"/>
              </w:rPr>
              <w:t>7</w:t>
            </w:r>
            <w:r>
              <w:rPr>
                <w:rFonts w:hint="eastAsia"/>
                <w:b/>
                <w:color w:val="auto"/>
                <w:kern w:val="2"/>
                <w:szCs w:val="24"/>
              </w:rPr>
              <w:t xml:space="preserve"> </w:t>
            </w:r>
            <w:r>
              <w:rPr>
                <w:b/>
                <w:color w:val="auto"/>
                <w:kern w:val="2"/>
                <w:szCs w:val="24"/>
              </w:rPr>
              <w:t xml:space="preserve"> 主要噪声源强表</w:t>
            </w:r>
          </w:p>
          <w:tbl>
            <w:tblPr>
              <w:tblStyle w:val="27"/>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1815"/>
              <w:gridCol w:w="794"/>
              <w:gridCol w:w="1061"/>
              <w:gridCol w:w="3400"/>
              <w:gridCol w:w="971"/>
              <w:gridCol w:w="879"/>
            </w:tblGrid>
            <w:tr w14:paraId="472A58D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14" w:type="pct"/>
                  <w:noWrap w:val="0"/>
                  <w:vAlign w:val="center"/>
                </w:tcPr>
                <w:p w14:paraId="79DC237A">
                  <w:pPr>
                    <w:pStyle w:val="79"/>
                    <w:ind w:left="-105" w:right="-105"/>
                    <w:rPr>
                      <w:bCs/>
                      <w:szCs w:val="21"/>
                    </w:rPr>
                  </w:pPr>
                  <w:bookmarkStart w:id="9" w:name="_Hlk77175658"/>
                  <w:r>
                    <w:rPr>
                      <w:bCs/>
                      <w:szCs w:val="21"/>
                    </w:rPr>
                    <w:t>序号</w:t>
                  </w:r>
                </w:p>
              </w:tc>
              <w:tc>
                <w:tcPr>
                  <w:tcW w:w="953" w:type="pct"/>
                  <w:noWrap w:val="0"/>
                  <w:vAlign w:val="center"/>
                </w:tcPr>
                <w:p w14:paraId="6F54C3A0">
                  <w:pPr>
                    <w:pStyle w:val="79"/>
                    <w:ind w:left="-105" w:right="-105"/>
                    <w:rPr>
                      <w:bCs/>
                      <w:szCs w:val="21"/>
                    </w:rPr>
                  </w:pPr>
                  <w:r>
                    <w:rPr>
                      <w:bCs/>
                      <w:szCs w:val="21"/>
                    </w:rPr>
                    <w:t>设备名称</w:t>
                  </w:r>
                </w:p>
              </w:tc>
              <w:tc>
                <w:tcPr>
                  <w:tcW w:w="417" w:type="pct"/>
                  <w:noWrap w:val="0"/>
                  <w:vAlign w:val="center"/>
                </w:tcPr>
                <w:p w14:paraId="12250ADA">
                  <w:pPr>
                    <w:pStyle w:val="79"/>
                    <w:ind w:left="-105" w:right="-105"/>
                    <w:rPr>
                      <w:bCs/>
                      <w:szCs w:val="21"/>
                    </w:rPr>
                  </w:pPr>
                  <w:r>
                    <w:rPr>
                      <w:bCs/>
                      <w:szCs w:val="21"/>
                    </w:rPr>
                    <w:t>运行</w:t>
                  </w:r>
                </w:p>
                <w:p w14:paraId="1CFA4BBF">
                  <w:pPr>
                    <w:pStyle w:val="79"/>
                    <w:ind w:left="-105" w:right="-105"/>
                    <w:rPr>
                      <w:bCs/>
                      <w:szCs w:val="21"/>
                    </w:rPr>
                  </w:pPr>
                  <w:r>
                    <w:rPr>
                      <w:bCs/>
                      <w:szCs w:val="21"/>
                    </w:rPr>
                    <w:t>数量</w:t>
                  </w:r>
                </w:p>
              </w:tc>
              <w:tc>
                <w:tcPr>
                  <w:tcW w:w="557" w:type="pct"/>
                  <w:noWrap w:val="0"/>
                  <w:vAlign w:val="center"/>
                </w:tcPr>
                <w:p w14:paraId="2F6D0050">
                  <w:pPr>
                    <w:pStyle w:val="79"/>
                    <w:ind w:left="-105" w:right="-105"/>
                    <w:rPr>
                      <w:bCs/>
                      <w:szCs w:val="21"/>
                    </w:rPr>
                  </w:pPr>
                  <w:r>
                    <w:rPr>
                      <w:bCs/>
                      <w:szCs w:val="21"/>
                    </w:rPr>
                    <w:t>噪声声级</w:t>
                  </w:r>
                </w:p>
              </w:tc>
              <w:tc>
                <w:tcPr>
                  <w:tcW w:w="1785" w:type="pct"/>
                  <w:noWrap w:val="0"/>
                  <w:vAlign w:val="center"/>
                </w:tcPr>
                <w:p w14:paraId="09E74400">
                  <w:pPr>
                    <w:pStyle w:val="79"/>
                    <w:ind w:left="-105" w:right="-105"/>
                    <w:rPr>
                      <w:bCs/>
                      <w:szCs w:val="21"/>
                    </w:rPr>
                  </w:pPr>
                  <w:r>
                    <w:rPr>
                      <w:bCs/>
                      <w:szCs w:val="21"/>
                    </w:rPr>
                    <w:t>治理措施</w:t>
                  </w:r>
                </w:p>
              </w:tc>
              <w:tc>
                <w:tcPr>
                  <w:tcW w:w="510" w:type="pct"/>
                  <w:noWrap w:val="0"/>
                  <w:vAlign w:val="center"/>
                </w:tcPr>
                <w:p w14:paraId="54C3636A">
                  <w:pPr>
                    <w:pStyle w:val="79"/>
                    <w:ind w:left="-105" w:right="-105"/>
                    <w:rPr>
                      <w:bCs/>
                      <w:szCs w:val="21"/>
                    </w:rPr>
                  </w:pPr>
                  <w:r>
                    <w:rPr>
                      <w:bCs/>
                      <w:szCs w:val="21"/>
                    </w:rPr>
                    <w:t>降噪后声级</w:t>
                  </w:r>
                </w:p>
              </w:tc>
              <w:tc>
                <w:tcPr>
                  <w:tcW w:w="461" w:type="pct"/>
                  <w:noWrap w:val="0"/>
                  <w:vAlign w:val="center"/>
                </w:tcPr>
                <w:p w14:paraId="12B806B5">
                  <w:pPr>
                    <w:pStyle w:val="79"/>
                    <w:ind w:left="-105" w:right="-105"/>
                    <w:rPr>
                      <w:bCs/>
                      <w:szCs w:val="21"/>
                    </w:rPr>
                  </w:pPr>
                  <w:r>
                    <w:rPr>
                      <w:bCs/>
                      <w:szCs w:val="21"/>
                    </w:rPr>
                    <w:t>排放方式</w:t>
                  </w:r>
                </w:p>
              </w:tc>
            </w:tr>
            <w:tr w14:paraId="1FF920D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4" w:type="pct"/>
                  <w:noWrap w:val="0"/>
                  <w:vAlign w:val="center"/>
                </w:tcPr>
                <w:p w14:paraId="4431AF15">
                  <w:pPr>
                    <w:autoSpaceDE w:val="0"/>
                    <w:autoSpaceDN w:val="0"/>
                    <w:adjustRightInd w:val="0"/>
                    <w:jc w:val="center"/>
                    <w:rPr>
                      <w:bCs/>
                      <w:kern w:val="0"/>
                      <w:szCs w:val="21"/>
                    </w:rPr>
                  </w:pPr>
                  <w:r>
                    <w:rPr>
                      <w:szCs w:val="21"/>
                      <w:lang w:val="zh-CN"/>
                    </w:rPr>
                    <w:t>1</w:t>
                  </w:r>
                </w:p>
              </w:tc>
              <w:tc>
                <w:tcPr>
                  <w:tcW w:w="953" w:type="pct"/>
                  <w:noWrap w:val="0"/>
                  <w:vAlign w:val="center"/>
                </w:tcPr>
                <w:p w14:paraId="5532B42D">
                  <w:pPr>
                    <w:jc w:val="center"/>
                    <w:rPr>
                      <w:bCs/>
                      <w:kern w:val="0"/>
                      <w:szCs w:val="21"/>
                    </w:rPr>
                  </w:pPr>
                  <w:r>
                    <w:rPr>
                      <w:rFonts w:hint="eastAsia"/>
                      <w:kern w:val="0"/>
                      <w:szCs w:val="21"/>
                    </w:rPr>
                    <w:t>搅拌</w:t>
                  </w:r>
                  <w:r>
                    <w:rPr>
                      <w:kern w:val="0"/>
                      <w:szCs w:val="21"/>
                    </w:rPr>
                    <w:t>器</w:t>
                  </w:r>
                </w:p>
              </w:tc>
              <w:tc>
                <w:tcPr>
                  <w:tcW w:w="417" w:type="pct"/>
                  <w:noWrap w:val="0"/>
                  <w:vAlign w:val="center"/>
                </w:tcPr>
                <w:p w14:paraId="3BFD31E9">
                  <w:pPr>
                    <w:widowControl/>
                    <w:jc w:val="center"/>
                    <w:textAlignment w:val="bottom"/>
                    <w:rPr>
                      <w:bCs/>
                      <w:kern w:val="0"/>
                      <w:szCs w:val="21"/>
                    </w:rPr>
                  </w:pPr>
                  <w:r>
                    <w:rPr>
                      <w:bCs/>
                      <w:kern w:val="0"/>
                      <w:szCs w:val="21"/>
                    </w:rPr>
                    <w:t>4</w:t>
                  </w:r>
                </w:p>
              </w:tc>
              <w:tc>
                <w:tcPr>
                  <w:tcW w:w="557" w:type="pct"/>
                  <w:noWrap w:val="0"/>
                  <w:vAlign w:val="center"/>
                </w:tcPr>
                <w:p w14:paraId="584DD105">
                  <w:pPr>
                    <w:pStyle w:val="79"/>
                    <w:ind w:left="-105" w:right="-105"/>
                    <w:rPr>
                      <w:rFonts w:hint="eastAsia"/>
                      <w:bCs/>
                      <w:szCs w:val="21"/>
                    </w:rPr>
                  </w:pPr>
                  <w:r>
                    <w:rPr>
                      <w:rFonts w:hint="eastAsia"/>
                      <w:bCs/>
                      <w:szCs w:val="21"/>
                    </w:rPr>
                    <w:t>80</w:t>
                  </w:r>
                </w:p>
              </w:tc>
              <w:tc>
                <w:tcPr>
                  <w:tcW w:w="1785" w:type="pct"/>
                  <w:vMerge w:val="restart"/>
                  <w:noWrap w:val="0"/>
                  <w:vAlign w:val="center"/>
                </w:tcPr>
                <w:p w14:paraId="3FD8161B">
                  <w:pPr>
                    <w:pStyle w:val="79"/>
                    <w:ind w:left="-105" w:right="-105"/>
                    <w:rPr>
                      <w:bCs/>
                      <w:szCs w:val="21"/>
                    </w:rPr>
                  </w:pPr>
                  <w:r>
                    <w:t>选择低噪设备、基础减振</w:t>
                  </w:r>
                  <w:r>
                    <w:rPr>
                      <w:rFonts w:hint="eastAsia"/>
                    </w:rPr>
                    <w:t>、建筑隔声</w:t>
                  </w:r>
                </w:p>
              </w:tc>
              <w:tc>
                <w:tcPr>
                  <w:tcW w:w="510" w:type="pct"/>
                  <w:noWrap w:val="0"/>
                  <w:vAlign w:val="center"/>
                </w:tcPr>
                <w:p w14:paraId="712FC303">
                  <w:pPr>
                    <w:widowControl/>
                    <w:jc w:val="center"/>
                    <w:textAlignment w:val="bottom"/>
                    <w:rPr>
                      <w:bCs/>
                      <w:szCs w:val="21"/>
                    </w:rPr>
                  </w:pPr>
                  <w:r>
                    <w:rPr>
                      <w:rFonts w:hint="eastAsia"/>
                      <w:bCs/>
                      <w:szCs w:val="21"/>
                    </w:rPr>
                    <w:t>60</w:t>
                  </w:r>
                </w:p>
              </w:tc>
              <w:tc>
                <w:tcPr>
                  <w:tcW w:w="461" w:type="pct"/>
                  <w:vMerge w:val="restart"/>
                  <w:noWrap w:val="0"/>
                  <w:vAlign w:val="center"/>
                </w:tcPr>
                <w:p w14:paraId="62B673B0">
                  <w:pPr>
                    <w:pStyle w:val="79"/>
                    <w:ind w:left="-105" w:right="-105"/>
                    <w:rPr>
                      <w:bCs/>
                      <w:szCs w:val="21"/>
                    </w:rPr>
                  </w:pPr>
                  <w:r>
                    <w:rPr>
                      <w:rFonts w:hint="eastAsia"/>
                      <w:bCs/>
                      <w:szCs w:val="21"/>
                    </w:rPr>
                    <w:t>间断</w:t>
                  </w:r>
                </w:p>
              </w:tc>
            </w:tr>
            <w:tr w14:paraId="27E2EA1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14" w:type="pct"/>
                  <w:noWrap w:val="0"/>
                  <w:vAlign w:val="center"/>
                </w:tcPr>
                <w:p w14:paraId="30E71E27">
                  <w:pPr>
                    <w:autoSpaceDE w:val="0"/>
                    <w:autoSpaceDN w:val="0"/>
                    <w:adjustRightInd w:val="0"/>
                    <w:jc w:val="center"/>
                    <w:rPr>
                      <w:bCs/>
                      <w:kern w:val="0"/>
                      <w:szCs w:val="21"/>
                    </w:rPr>
                  </w:pPr>
                  <w:r>
                    <w:rPr>
                      <w:szCs w:val="21"/>
                      <w:lang w:val="zh-CN"/>
                    </w:rPr>
                    <w:t>2</w:t>
                  </w:r>
                </w:p>
              </w:tc>
              <w:tc>
                <w:tcPr>
                  <w:tcW w:w="953" w:type="pct"/>
                  <w:noWrap w:val="0"/>
                  <w:vAlign w:val="center"/>
                </w:tcPr>
                <w:p w14:paraId="0DD9D1F8">
                  <w:pPr>
                    <w:jc w:val="center"/>
                    <w:rPr>
                      <w:bCs/>
                      <w:kern w:val="0"/>
                      <w:szCs w:val="21"/>
                    </w:rPr>
                  </w:pPr>
                  <w:r>
                    <w:rPr>
                      <w:rFonts w:hint="eastAsia"/>
                      <w:bCs/>
                      <w:kern w:val="0"/>
                      <w:szCs w:val="21"/>
                    </w:rPr>
                    <w:t>研磨机</w:t>
                  </w:r>
                </w:p>
              </w:tc>
              <w:tc>
                <w:tcPr>
                  <w:tcW w:w="417" w:type="pct"/>
                  <w:noWrap w:val="0"/>
                  <w:vAlign w:val="center"/>
                </w:tcPr>
                <w:p w14:paraId="423486DD">
                  <w:pPr>
                    <w:widowControl/>
                    <w:jc w:val="center"/>
                    <w:textAlignment w:val="bottom"/>
                    <w:rPr>
                      <w:bCs/>
                      <w:kern w:val="0"/>
                      <w:szCs w:val="21"/>
                    </w:rPr>
                  </w:pPr>
                  <w:r>
                    <w:rPr>
                      <w:szCs w:val="21"/>
                    </w:rPr>
                    <w:t>4</w:t>
                  </w:r>
                </w:p>
              </w:tc>
              <w:tc>
                <w:tcPr>
                  <w:tcW w:w="557" w:type="pct"/>
                  <w:noWrap w:val="0"/>
                  <w:vAlign w:val="center"/>
                </w:tcPr>
                <w:p w14:paraId="7759296B">
                  <w:pPr>
                    <w:ind w:left="-105" w:leftChars="-50" w:right="-105" w:rightChars="-50"/>
                    <w:jc w:val="center"/>
                    <w:rPr>
                      <w:bCs/>
                      <w:szCs w:val="21"/>
                    </w:rPr>
                  </w:pPr>
                  <w:r>
                    <w:rPr>
                      <w:rFonts w:hint="eastAsia"/>
                      <w:bCs/>
                      <w:szCs w:val="21"/>
                    </w:rPr>
                    <w:t>80</w:t>
                  </w:r>
                </w:p>
              </w:tc>
              <w:tc>
                <w:tcPr>
                  <w:tcW w:w="1785" w:type="pct"/>
                  <w:vMerge w:val="continue"/>
                  <w:noWrap w:val="0"/>
                  <w:vAlign w:val="center"/>
                </w:tcPr>
                <w:p w14:paraId="7381CCD3">
                  <w:pPr>
                    <w:pStyle w:val="79"/>
                    <w:ind w:left="-105" w:right="-105"/>
                    <w:rPr>
                      <w:bCs/>
                      <w:szCs w:val="21"/>
                    </w:rPr>
                  </w:pPr>
                </w:p>
              </w:tc>
              <w:tc>
                <w:tcPr>
                  <w:tcW w:w="510" w:type="pct"/>
                  <w:noWrap w:val="0"/>
                  <w:vAlign w:val="center"/>
                </w:tcPr>
                <w:p w14:paraId="067449F9">
                  <w:pPr>
                    <w:widowControl/>
                    <w:jc w:val="center"/>
                    <w:textAlignment w:val="bottom"/>
                    <w:rPr>
                      <w:bCs/>
                      <w:szCs w:val="21"/>
                    </w:rPr>
                  </w:pPr>
                  <w:r>
                    <w:rPr>
                      <w:rFonts w:hint="eastAsia"/>
                      <w:bCs/>
                      <w:szCs w:val="21"/>
                    </w:rPr>
                    <w:t>60</w:t>
                  </w:r>
                </w:p>
              </w:tc>
              <w:tc>
                <w:tcPr>
                  <w:tcW w:w="461" w:type="pct"/>
                  <w:vMerge w:val="continue"/>
                  <w:noWrap w:val="0"/>
                  <w:vAlign w:val="center"/>
                </w:tcPr>
                <w:p w14:paraId="14393A27">
                  <w:pPr>
                    <w:pStyle w:val="79"/>
                    <w:ind w:left="-105" w:right="-105"/>
                    <w:rPr>
                      <w:bCs/>
                      <w:szCs w:val="21"/>
                    </w:rPr>
                  </w:pPr>
                </w:p>
              </w:tc>
            </w:tr>
            <w:tr w14:paraId="63ACC30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14" w:type="pct"/>
                  <w:noWrap w:val="0"/>
                  <w:vAlign w:val="center"/>
                </w:tcPr>
                <w:p w14:paraId="3DA94493">
                  <w:pPr>
                    <w:autoSpaceDE w:val="0"/>
                    <w:autoSpaceDN w:val="0"/>
                    <w:adjustRightInd w:val="0"/>
                    <w:jc w:val="center"/>
                    <w:rPr>
                      <w:szCs w:val="21"/>
                    </w:rPr>
                  </w:pPr>
                  <w:r>
                    <w:rPr>
                      <w:szCs w:val="21"/>
                    </w:rPr>
                    <w:t>3</w:t>
                  </w:r>
                </w:p>
              </w:tc>
              <w:tc>
                <w:tcPr>
                  <w:tcW w:w="953" w:type="pct"/>
                  <w:noWrap w:val="0"/>
                  <w:vAlign w:val="center"/>
                </w:tcPr>
                <w:p w14:paraId="3F106E18">
                  <w:pPr>
                    <w:jc w:val="center"/>
                    <w:rPr>
                      <w:rFonts w:hint="eastAsia"/>
                      <w:kern w:val="0"/>
                      <w:szCs w:val="21"/>
                    </w:rPr>
                  </w:pPr>
                  <w:r>
                    <w:rPr>
                      <w:rFonts w:hint="eastAsia"/>
                      <w:kern w:val="0"/>
                      <w:szCs w:val="21"/>
                    </w:rPr>
                    <w:t>喷砂机</w:t>
                  </w:r>
                </w:p>
              </w:tc>
              <w:tc>
                <w:tcPr>
                  <w:tcW w:w="417" w:type="pct"/>
                  <w:noWrap w:val="0"/>
                  <w:vAlign w:val="center"/>
                </w:tcPr>
                <w:p w14:paraId="4EAC745A">
                  <w:pPr>
                    <w:widowControl/>
                    <w:jc w:val="center"/>
                    <w:textAlignment w:val="bottom"/>
                    <w:rPr>
                      <w:szCs w:val="21"/>
                    </w:rPr>
                  </w:pPr>
                  <w:r>
                    <w:rPr>
                      <w:szCs w:val="21"/>
                    </w:rPr>
                    <w:t>2</w:t>
                  </w:r>
                </w:p>
              </w:tc>
              <w:tc>
                <w:tcPr>
                  <w:tcW w:w="557" w:type="pct"/>
                  <w:noWrap w:val="0"/>
                  <w:vAlign w:val="center"/>
                </w:tcPr>
                <w:p w14:paraId="2BC1F526">
                  <w:pPr>
                    <w:ind w:left="-105" w:leftChars="-50" w:right="-105" w:rightChars="-50"/>
                    <w:jc w:val="center"/>
                    <w:rPr>
                      <w:bCs/>
                      <w:szCs w:val="21"/>
                    </w:rPr>
                  </w:pPr>
                  <w:r>
                    <w:rPr>
                      <w:rFonts w:hint="eastAsia"/>
                      <w:bCs/>
                      <w:szCs w:val="21"/>
                    </w:rPr>
                    <w:t>85</w:t>
                  </w:r>
                </w:p>
              </w:tc>
              <w:tc>
                <w:tcPr>
                  <w:tcW w:w="1785" w:type="pct"/>
                  <w:vMerge w:val="continue"/>
                  <w:noWrap w:val="0"/>
                  <w:vAlign w:val="center"/>
                </w:tcPr>
                <w:p w14:paraId="0D79BADD">
                  <w:pPr>
                    <w:pStyle w:val="79"/>
                    <w:ind w:left="-105" w:right="-105"/>
                    <w:rPr>
                      <w:bCs/>
                      <w:szCs w:val="21"/>
                    </w:rPr>
                  </w:pPr>
                </w:p>
              </w:tc>
              <w:tc>
                <w:tcPr>
                  <w:tcW w:w="510" w:type="pct"/>
                  <w:noWrap w:val="0"/>
                  <w:vAlign w:val="center"/>
                </w:tcPr>
                <w:p w14:paraId="46E7206F">
                  <w:pPr>
                    <w:widowControl/>
                    <w:jc w:val="center"/>
                    <w:textAlignment w:val="bottom"/>
                    <w:rPr>
                      <w:bCs/>
                      <w:szCs w:val="21"/>
                    </w:rPr>
                  </w:pPr>
                  <w:r>
                    <w:rPr>
                      <w:rFonts w:hint="eastAsia"/>
                      <w:bCs/>
                      <w:szCs w:val="21"/>
                    </w:rPr>
                    <w:t>65</w:t>
                  </w:r>
                </w:p>
              </w:tc>
              <w:tc>
                <w:tcPr>
                  <w:tcW w:w="461" w:type="pct"/>
                  <w:vMerge w:val="continue"/>
                  <w:noWrap w:val="0"/>
                  <w:vAlign w:val="center"/>
                </w:tcPr>
                <w:p w14:paraId="50053AC5">
                  <w:pPr>
                    <w:pStyle w:val="79"/>
                    <w:ind w:left="-105" w:right="-105"/>
                    <w:rPr>
                      <w:bCs/>
                      <w:szCs w:val="21"/>
                    </w:rPr>
                  </w:pPr>
                </w:p>
              </w:tc>
            </w:tr>
            <w:tr w14:paraId="41BEFA4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14" w:type="pct"/>
                  <w:noWrap w:val="0"/>
                  <w:vAlign w:val="center"/>
                </w:tcPr>
                <w:p w14:paraId="0FD252E0">
                  <w:pPr>
                    <w:autoSpaceDE w:val="0"/>
                    <w:autoSpaceDN w:val="0"/>
                    <w:adjustRightInd w:val="0"/>
                    <w:jc w:val="center"/>
                    <w:rPr>
                      <w:rFonts w:hint="eastAsia"/>
                      <w:szCs w:val="21"/>
                    </w:rPr>
                  </w:pPr>
                  <w:r>
                    <w:rPr>
                      <w:rFonts w:hint="eastAsia"/>
                      <w:szCs w:val="21"/>
                    </w:rPr>
                    <w:t>4</w:t>
                  </w:r>
                </w:p>
              </w:tc>
              <w:tc>
                <w:tcPr>
                  <w:tcW w:w="953" w:type="pct"/>
                  <w:noWrap w:val="0"/>
                  <w:vAlign w:val="center"/>
                </w:tcPr>
                <w:p w14:paraId="5F9AAC8F">
                  <w:pPr>
                    <w:jc w:val="center"/>
                    <w:rPr>
                      <w:rFonts w:hint="eastAsia"/>
                      <w:kern w:val="0"/>
                      <w:szCs w:val="21"/>
                    </w:rPr>
                  </w:pPr>
                  <w:r>
                    <w:rPr>
                      <w:rFonts w:hint="eastAsia"/>
                      <w:kern w:val="0"/>
                      <w:szCs w:val="21"/>
                    </w:rPr>
                    <w:t>高压气动泵</w:t>
                  </w:r>
                </w:p>
              </w:tc>
              <w:tc>
                <w:tcPr>
                  <w:tcW w:w="417" w:type="pct"/>
                  <w:noWrap w:val="0"/>
                  <w:vAlign w:val="center"/>
                </w:tcPr>
                <w:p w14:paraId="78CD4556">
                  <w:pPr>
                    <w:widowControl/>
                    <w:jc w:val="center"/>
                    <w:textAlignment w:val="bottom"/>
                    <w:rPr>
                      <w:szCs w:val="21"/>
                    </w:rPr>
                  </w:pPr>
                  <w:r>
                    <w:rPr>
                      <w:rFonts w:hint="eastAsia"/>
                      <w:szCs w:val="21"/>
                    </w:rPr>
                    <w:t>1</w:t>
                  </w:r>
                </w:p>
              </w:tc>
              <w:tc>
                <w:tcPr>
                  <w:tcW w:w="557" w:type="pct"/>
                  <w:noWrap w:val="0"/>
                  <w:vAlign w:val="center"/>
                </w:tcPr>
                <w:p w14:paraId="00AEC47F">
                  <w:pPr>
                    <w:ind w:left="-105" w:leftChars="-50" w:right="-105" w:rightChars="-50"/>
                    <w:jc w:val="center"/>
                    <w:rPr>
                      <w:bCs/>
                      <w:szCs w:val="21"/>
                    </w:rPr>
                  </w:pPr>
                  <w:r>
                    <w:rPr>
                      <w:rFonts w:hint="eastAsia"/>
                      <w:bCs/>
                      <w:szCs w:val="21"/>
                    </w:rPr>
                    <w:t>85</w:t>
                  </w:r>
                </w:p>
              </w:tc>
              <w:tc>
                <w:tcPr>
                  <w:tcW w:w="1785" w:type="pct"/>
                  <w:vMerge w:val="continue"/>
                  <w:noWrap w:val="0"/>
                  <w:vAlign w:val="center"/>
                </w:tcPr>
                <w:p w14:paraId="0F13CE87">
                  <w:pPr>
                    <w:pStyle w:val="79"/>
                    <w:ind w:left="-105" w:right="-105"/>
                    <w:rPr>
                      <w:bCs/>
                      <w:szCs w:val="21"/>
                    </w:rPr>
                  </w:pPr>
                </w:p>
              </w:tc>
              <w:tc>
                <w:tcPr>
                  <w:tcW w:w="510" w:type="pct"/>
                  <w:noWrap w:val="0"/>
                  <w:vAlign w:val="center"/>
                </w:tcPr>
                <w:p w14:paraId="4C135450">
                  <w:pPr>
                    <w:widowControl/>
                    <w:jc w:val="center"/>
                    <w:textAlignment w:val="bottom"/>
                    <w:rPr>
                      <w:bCs/>
                      <w:szCs w:val="21"/>
                    </w:rPr>
                  </w:pPr>
                  <w:r>
                    <w:rPr>
                      <w:rFonts w:hint="eastAsia"/>
                      <w:bCs/>
                      <w:szCs w:val="21"/>
                    </w:rPr>
                    <w:t>65</w:t>
                  </w:r>
                </w:p>
              </w:tc>
              <w:tc>
                <w:tcPr>
                  <w:tcW w:w="461" w:type="pct"/>
                  <w:vMerge w:val="continue"/>
                  <w:noWrap w:val="0"/>
                  <w:vAlign w:val="center"/>
                </w:tcPr>
                <w:p w14:paraId="45677A8E">
                  <w:pPr>
                    <w:pStyle w:val="79"/>
                    <w:ind w:left="-105" w:right="-105"/>
                    <w:rPr>
                      <w:bCs/>
                      <w:szCs w:val="21"/>
                    </w:rPr>
                  </w:pPr>
                </w:p>
              </w:tc>
            </w:tr>
            <w:tr w14:paraId="50562D8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14" w:type="pct"/>
                  <w:noWrap w:val="0"/>
                  <w:vAlign w:val="center"/>
                </w:tcPr>
                <w:p w14:paraId="462E0BBF">
                  <w:pPr>
                    <w:autoSpaceDE w:val="0"/>
                    <w:autoSpaceDN w:val="0"/>
                    <w:adjustRightInd w:val="0"/>
                    <w:jc w:val="center"/>
                    <w:rPr>
                      <w:szCs w:val="21"/>
                    </w:rPr>
                  </w:pPr>
                  <w:r>
                    <w:rPr>
                      <w:rFonts w:hint="eastAsia"/>
                      <w:szCs w:val="21"/>
                    </w:rPr>
                    <w:t>5</w:t>
                  </w:r>
                </w:p>
              </w:tc>
              <w:tc>
                <w:tcPr>
                  <w:tcW w:w="953" w:type="pct"/>
                  <w:noWrap w:val="0"/>
                  <w:vAlign w:val="center"/>
                </w:tcPr>
                <w:p w14:paraId="67DF3492">
                  <w:pPr>
                    <w:jc w:val="center"/>
                    <w:rPr>
                      <w:kern w:val="0"/>
                      <w:szCs w:val="21"/>
                    </w:rPr>
                  </w:pPr>
                  <w:r>
                    <w:rPr>
                      <w:rFonts w:hint="eastAsia"/>
                      <w:kern w:val="0"/>
                      <w:szCs w:val="21"/>
                    </w:rPr>
                    <w:t>风机</w:t>
                  </w:r>
                </w:p>
              </w:tc>
              <w:tc>
                <w:tcPr>
                  <w:tcW w:w="417" w:type="pct"/>
                  <w:noWrap w:val="0"/>
                  <w:vAlign w:val="center"/>
                </w:tcPr>
                <w:p w14:paraId="17400CD6">
                  <w:pPr>
                    <w:widowControl/>
                    <w:jc w:val="center"/>
                    <w:textAlignment w:val="bottom"/>
                    <w:rPr>
                      <w:szCs w:val="21"/>
                    </w:rPr>
                  </w:pPr>
                  <w:r>
                    <w:rPr>
                      <w:szCs w:val="21"/>
                    </w:rPr>
                    <w:t>3</w:t>
                  </w:r>
                </w:p>
              </w:tc>
              <w:tc>
                <w:tcPr>
                  <w:tcW w:w="557" w:type="pct"/>
                  <w:noWrap w:val="0"/>
                  <w:vAlign w:val="center"/>
                </w:tcPr>
                <w:p w14:paraId="1B322246">
                  <w:pPr>
                    <w:ind w:left="-105" w:leftChars="-50" w:right="-105" w:rightChars="-50"/>
                    <w:jc w:val="center"/>
                    <w:rPr>
                      <w:bCs/>
                      <w:szCs w:val="21"/>
                    </w:rPr>
                  </w:pPr>
                  <w:r>
                    <w:rPr>
                      <w:rFonts w:hint="eastAsia"/>
                      <w:bCs/>
                      <w:szCs w:val="21"/>
                    </w:rPr>
                    <w:t>90</w:t>
                  </w:r>
                </w:p>
              </w:tc>
              <w:tc>
                <w:tcPr>
                  <w:tcW w:w="1785" w:type="pct"/>
                  <w:vMerge w:val="continue"/>
                  <w:noWrap w:val="0"/>
                  <w:vAlign w:val="center"/>
                </w:tcPr>
                <w:p w14:paraId="3152668D">
                  <w:pPr>
                    <w:pStyle w:val="79"/>
                    <w:ind w:left="-105" w:right="-105"/>
                    <w:rPr>
                      <w:bCs/>
                      <w:szCs w:val="21"/>
                    </w:rPr>
                  </w:pPr>
                </w:p>
              </w:tc>
              <w:tc>
                <w:tcPr>
                  <w:tcW w:w="510" w:type="pct"/>
                  <w:noWrap w:val="0"/>
                  <w:vAlign w:val="center"/>
                </w:tcPr>
                <w:p w14:paraId="500A6BA2">
                  <w:pPr>
                    <w:widowControl/>
                    <w:jc w:val="center"/>
                    <w:textAlignment w:val="bottom"/>
                    <w:rPr>
                      <w:bCs/>
                      <w:szCs w:val="21"/>
                    </w:rPr>
                  </w:pPr>
                  <w:r>
                    <w:rPr>
                      <w:rFonts w:hint="eastAsia"/>
                      <w:bCs/>
                      <w:szCs w:val="21"/>
                    </w:rPr>
                    <w:t>70</w:t>
                  </w:r>
                </w:p>
              </w:tc>
              <w:tc>
                <w:tcPr>
                  <w:tcW w:w="461" w:type="pct"/>
                  <w:vMerge w:val="continue"/>
                  <w:noWrap w:val="0"/>
                  <w:vAlign w:val="center"/>
                </w:tcPr>
                <w:p w14:paraId="71D67751">
                  <w:pPr>
                    <w:pStyle w:val="79"/>
                    <w:ind w:left="-105" w:right="-105"/>
                    <w:rPr>
                      <w:bCs/>
                      <w:szCs w:val="21"/>
                    </w:rPr>
                  </w:pPr>
                </w:p>
              </w:tc>
            </w:tr>
            <w:bookmarkEnd w:id="9"/>
          </w:tbl>
          <w:p w14:paraId="60661D9B">
            <w:pPr>
              <w:spacing w:line="360" w:lineRule="auto"/>
              <w:ind w:firstLine="482" w:firstLineChars="200"/>
              <w:rPr>
                <w:b/>
                <w:bCs/>
                <w:sz w:val="24"/>
                <w:u w:val="single"/>
              </w:rPr>
            </w:pPr>
          </w:p>
          <w:p w14:paraId="56227523">
            <w:pPr>
              <w:spacing w:line="360" w:lineRule="auto"/>
              <w:ind w:firstLine="482" w:firstLineChars="200"/>
              <w:rPr>
                <w:b/>
                <w:bCs/>
                <w:sz w:val="24"/>
              </w:rPr>
            </w:pPr>
            <w:r>
              <w:rPr>
                <w:b/>
                <w:bCs/>
                <w:sz w:val="24"/>
              </w:rPr>
              <w:t>3.2主要噪声控制措施</w:t>
            </w:r>
          </w:p>
          <w:p w14:paraId="1AC344CC">
            <w:pPr>
              <w:adjustRightInd w:val="0"/>
              <w:snapToGrid w:val="0"/>
              <w:spacing w:line="360" w:lineRule="auto"/>
              <w:ind w:firstLine="480" w:firstLineChars="200"/>
              <w:rPr>
                <w:sz w:val="24"/>
              </w:rPr>
            </w:pPr>
            <w:r>
              <w:rPr>
                <w:sz w:val="24"/>
              </w:rPr>
              <w:t>实验室运营期噪声污染治理措施如下。</w:t>
            </w:r>
          </w:p>
          <w:p w14:paraId="40F0105A">
            <w:pPr>
              <w:spacing w:line="360" w:lineRule="auto"/>
              <w:ind w:firstLine="480" w:firstLineChars="200"/>
              <w:rPr>
                <w:sz w:val="24"/>
              </w:rPr>
            </w:pPr>
            <w:r>
              <w:rPr>
                <w:sz w:val="24"/>
              </w:rPr>
              <w:t>①设备选型时尽量选择低噪设备，如：订货时向设备制造部门提出噪声限值，从源头上控制高噪声的产生</w:t>
            </w:r>
            <w:r>
              <w:rPr>
                <w:rFonts w:hint="eastAsia"/>
                <w:sz w:val="24"/>
              </w:rPr>
              <w:t>。</w:t>
            </w:r>
          </w:p>
          <w:p w14:paraId="248273B6">
            <w:pPr>
              <w:spacing w:line="360" w:lineRule="auto"/>
              <w:ind w:firstLine="480" w:firstLineChars="200"/>
              <w:rPr>
                <w:sz w:val="24"/>
              </w:rPr>
            </w:pPr>
            <w:r>
              <w:rPr>
                <w:sz w:val="24"/>
              </w:rPr>
              <w:t>②设备安装中基础应做减振处理，安装减振垫或减振基础</w:t>
            </w:r>
            <w:r>
              <w:rPr>
                <w:rFonts w:hint="eastAsia"/>
                <w:sz w:val="24"/>
              </w:rPr>
              <w:t>，同时通过</w:t>
            </w:r>
            <w:r>
              <w:rPr>
                <w:sz w:val="24"/>
              </w:rPr>
              <w:t>实验室及车间</w:t>
            </w:r>
            <w:r>
              <w:rPr>
                <w:rFonts w:hint="eastAsia"/>
                <w:sz w:val="24"/>
              </w:rPr>
              <w:t>厂房阻隔进行降噪</w:t>
            </w:r>
            <w:r>
              <w:rPr>
                <w:sz w:val="24"/>
              </w:rPr>
              <w:t>。</w:t>
            </w:r>
          </w:p>
          <w:p w14:paraId="06B2D1A6">
            <w:pPr>
              <w:spacing w:line="360" w:lineRule="auto"/>
              <w:ind w:firstLine="480" w:firstLineChars="200"/>
              <w:rPr>
                <w:sz w:val="24"/>
              </w:rPr>
            </w:pPr>
            <w:r>
              <w:rPr>
                <w:sz w:val="24"/>
              </w:rPr>
              <w:t>③加强对高噪声设备的管理和维护，定期检查、监测，发现噪声超标要及时治理和维修</w:t>
            </w:r>
            <w:r>
              <w:rPr>
                <w:rFonts w:hint="eastAsia"/>
                <w:sz w:val="24"/>
              </w:rPr>
              <w:t>。</w:t>
            </w:r>
          </w:p>
          <w:p w14:paraId="542B4E53">
            <w:pPr>
              <w:widowControl/>
              <w:spacing w:line="360" w:lineRule="auto"/>
              <w:ind w:firstLine="482" w:firstLineChars="200"/>
              <w:rPr>
                <w:b/>
                <w:bCs/>
                <w:sz w:val="24"/>
              </w:rPr>
            </w:pPr>
            <w:r>
              <w:rPr>
                <w:b/>
                <w:bCs/>
                <w:sz w:val="24"/>
              </w:rPr>
              <w:t>3.3厂界及敏感目标达标情况分析</w:t>
            </w:r>
          </w:p>
          <w:p w14:paraId="7BD0135E">
            <w:pPr>
              <w:widowControl/>
              <w:spacing w:line="360" w:lineRule="auto"/>
              <w:ind w:firstLine="480" w:firstLineChars="200"/>
              <w:rPr>
                <w:sz w:val="24"/>
                <w:lang w:val="zh-CN"/>
              </w:rPr>
            </w:pPr>
            <w:r>
              <w:rPr>
                <w:sz w:val="24"/>
              </w:rPr>
              <w:t>（1）</w:t>
            </w:r>
            <w:r>
              <w:rPr>
                <w:sz w:val="24"/>
                <w:lang w:val="zh-CN"/>
              </w:rPr>
              <w:t>预测源强</w:t>
            </w:r>
          </w:p>
          <w:p w14:paraId="1CBABBBF">
            <w:pPr>
              <w:widowControl/>
              <w:spacing w:line="360" w:lineRule="auto"/>
              <w:ind w:firstLine="480" w:firstLineChars="200"/>
              <w:rPr>
                <w:sz w:val="24"/>
                <w:lang w:bidi="zh-CN"/>
              </w:rPr>
            </w:pPr>
            <w:r>
              <w:rPr>
                <w:sz w:val="24"/>
                <w:lang w:val="zh-CN"/>
              </w:rPr>
              <w:t>根据工程分析可知，本项目噪声源主要是</w:t>
            </w:r>
            <w:r>
              <w:rPr>
                <w:rFonts w:hint="eastAsia"/>
                <w:sz w:val="24"/>
              </w:rPr>
              <w:t>搅拌器、研磨机、喷砂机、喷枪高压气动泵、</w:t>
            </w:r>
            <w:r>
              <w:rPr>
                <w:sz w:val="24"/>
              </w:rPr>
              <w:t>风机</w:t>
            </w:r>
            <w:r>
              <w:rPr>
                <w:sz w:val="24"/>
                <w:lang w:val="zh-CN"/>
              </w:rPr>
              <w:t>等，噪声值在</w:t>
            </w:r>
            <w:r>
              <w:rPr>
                <w:rFonts w:hint="eastAsia"/>
                <w:sz w:val="24"/>
              </w:rPr>
              <w:t>80</w:t>
            </w:r>
            <w:r>
              <w:rPr>
                <w:sz w:val="24"/>
              </w:rPr>
              <w:t>-90</w:t>
            </w:r>
            <w:r>
              <w:rPr>
                <w:sz w:val="24"/>
                <w:lang w:val="zh-CN"/>
              </w:rPr>
              <w:t>dB（A）之间，设备噪声源强见下表。</w:t>
            </w:r>
          </w:p>
          <w:p w14:paraId="747EC83E">
            <w:pPr>
              <w:pStyle w:val="9"/>
              <w:tabs>
                <w:tab w:val="left" w:pos="789"/>
              </w:tabs>
              <w:spacing w:before="0" w:after="0" w:line="240" w:lineRule="auto"/>
              <w:ind w:right="0"/>
              <w:jc w:val="center"/>
              <w:rPr>
                <w:b/>
                <w:i/>
                <w:iCs/>
                <w:smallCaps/>
                <w:sz w:val="24"/>
                <w:szCs w:val="24"/>
                <w:u w:val="single"/>
                <w:lang w:bidi="zh-CN"/>
              </w:rPr>
            </w:pPr>
            <w:r>
              <w:rPr>
                <w:b/>
                <w:i/>
                <w:iCs/>
                <w:kern w:val="2"/>
                <w:sz w:val="24"/>
                <w:szCs w:val="24"/>
                <w:u w:val="single"/>
              </w:rPr>
              <w:t>表4-</w:t>
            </w:r>
            <w:r>
              <w:rPr>
                <w:rFonts w:hint="eastAsia"/>
                <w:b/>
                <w:i/>
                <w:iCs/>
                <w:kern w:val="2"/>
                <w:sz w:val="24"/>
                <w:szCs w:val="24"/>
                <w:u w:val="single"/>
                <w:lang w:val="en-US" w:eastAsia="zh-CN"/>
              </w:rPr>
              <w:t>8</w:t>
            </w:r>
            <w:r>
              <w:rPr>
                <w:rFonts w:hint="eastAsia"/>
                <w:b/>
                <w:i/>
                <w:iCs/>
                <w:kern w:val="2"/>
                <w:sz w:val="24"/>
                <w:szCs w:val="24"/>
                <w:u w:val="single"/>
              </w:rPr>
              <w:t xml:space="preserve"> </w:t>
            </w:r>
            <w:r>
              <w:rPr>
                <w:b/>
                <w:i/>
                <w:iCs/>
                <w:kern w:val="2"/>
                <w:sz w:val="24"/>
                <w:szCs w:val="24"/>
                <w:u w:val="single"/>
              </w:rPr>
              <w:t xml:space="preserve"> </w:t>
            </w:r>
            <w:r>
              <w:rPr>
                <w:b/>
                <w:i/>
                <w:iCs/>
                <w:smallCaps/>
                <w:sz w:val="24"/>
                <w:szCs w:val="24"/>
                <w:u w:val="single"/>
                <w:lang w:bidi="zh-CN"/>
              </w:rPr>
              <w:t>本项目主要噪声源分布情况一览表</w:t>
            </w:r>
          </w:p>
          <w:tbl>
            <w:tblPr>
              <w:tblStyle w:val="27"/>
              <w:tblW w:w="4994"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75"/>
              <w:gridCol w:w="982"/>
              <w:gridCol w:w="1304"/>
              <w:gridCol w:w="864"/>
              <w:gridCol w:w="879"/>
              <w:gridCol w:w="803"/>
              <w:gridCol w:w="2162"/>
              <w:gridCol w:w="1077"/>
              <w:gridCol w:w="865"/>
            </w:tblGrid>
            <w:tr w14:paraId="3F600F5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2" w:type="pct"/>
                  <w:vMerge w:val="restart"/>
                  <w:noWrap w:val="0"/>
                  <w:vAlign w:val="center"/>
                </w:tcPr>
                <w:p w14:paraId="2573518F">
                  <w:pPr>
                    <w:jc w:val="center"/>
                    <w:rPr>
                      <w:i/>
                      <w:iCs/>
                      <w:u w:val="single"/>
                    </w:rPr>
                  </w:pPr>
                  <w:r>
                    <w:rPr>
                      <w:i/>
                      <w:iCs/>
                      <w:u w:val="single"/>
                    </w:rPr>
                    <w:t>序号</w:t>
                  </w:r>
                </w:p>
              </w:tc>
              <w:tc>
                <w:tcPr>
                  <w:tcW w:w="516" w:type="pct"/>
                  <w:vMerge w:val="restart"/>
                  <w:noWrap w:val="0"/>
                  <w:vAlign w:val="center"/>
                </w:tcPr>
                <w:p w14:paraId="031A624E">
                  <w:pPr>
                    <w:jc w:val="center"/>
                    <w:rPr>
                      <w:i/>
                      <w:iCs/>
                      <w:u w:val="single"/>
                    </w:rPr>
                  </w:pPr>
                  <w:r>
                    <w:rPr>
                      <w:i/>
                      <w:iCs/>
                      <w:u w:val="single"/>
                    </w:rPr>
                    <w:t>建筑物名称</w:t>
                  </w:r>
                </w:p>
              </w:tc>
              <w:tc>
                <w:tcPr>
                  <w:tcW w:w="685" w:type="pct"/>
                  <w:vMerge w:val="restart"/>
                  <w:noWrap w:val="0"/>
                  <w:vAlign w:val="center"/>
                </w:tcPr>
                <w:p w14:paraId="4F08489B">
                  <w:pPr>
                    <w:jc w:val="center"/>
                    <w:rPr>
                      <w:i/>
                      <w:iCs/>
                      <w:u w:val="single"/>
                    </w:rPr>
                  </w:pPr>
                  <w:r>
                    <w:rPr>
                      <w:i/>
                      <w:iCs/>
                      <w:u w:val="single"/>
                    </w:rPr>
                    <w:t>声源名称</w:t>
                  </w:r>
                </w:p>
              </w:tc>
              <w:tc>
                <w:tcPr>
                  <w:tcW w:w="1338" w:type="pct"/>
                  <w:gridSpan w:val="3"/>
                  <w:noWrap w:val="0"/>
                  <w:vAlign w:val="center"/>
                </w:tcPr>
                <w:p w14:paraId="624CD9FE">
                  <w:pPr>
                    <w:jc w:val="center"/>
                    <w:rPr>
                      <w:i/>
                      <w:iCs/>
                      <w:u w:val="single"/>
                    </w:rPr>
                  </w:pPr>
                  <w:r>
                    <w:rPr>
                      <w:i/>
                      <w:iCs/>
                      <w:u w:val="single"/>
                    </w:rPr>
                    <w:t>空间相对位置/m</w:t>
                  </w:r>
                </w:p>
              </w:tc>
              <w:tc>
                <w:tcPr>
                  <w:tcW w:w="1136" w:type="pct"/>
                  <w:noWrap w:val="0"/>
                  <w:vAlign w:val="center"/>
                </w:tcPr>
                <w:p w14:paraId="27E8D337">
                  <w:pPr>
                    <w:jc w:val="center"/>
                    <w:rPr>
                      <w:i/>
                      <w:iCs/>
                      <w:u w:val="single"/>
                    </w:rPr>
                  </w:pPr>
                  <w:r>
                    <w:rPr>
                      <w:i/>
                      <w:iCs/>
                      <w:u w:val="single"/>
                    </w:rPr>
                    <w:t>声源源强</w:t>
                  </w:r>
                </w:p>
              </w:tc>
              <w:tc>
                <w:tcPr>
                  <w:tcW w:w="566" w:type="pct"/>
                  <w:vMerge w:val="restart"/>
                  <w:noWrap w:val="0"/>
                  <w:vAlign w:val="center"/>
                </w:tcPr>
                <w:p w14:paraId="679C9D5A">
                  <w:pPr>
                    <w:jc w:val="center"/>
                    <w:rPr>
                      <w:i/>
                      <w:iCs/>
                      <w:u w:val="single"/>
                    </w:rPr>
                  </w:pPr>
                  <w:r>
                    <w:rPr>
                      <w:i/>
                      <w:iCs/>
                      <w:u w:val="single"/>
                    </w:rPr>
                    <w:t>声源控制措施</w:t>
                  </w:r>
                </w:p>
              </w:tc>
              <w:tc>
                <w:tcPr>
                  <w:tcW w:w="454" w:type="pct"/>
                  <w:vMerge w:val="restart"/>
                  <w:noWrap w:val="0"/>
                  <w:vAlign w:val="center"/>
                </w:tcPr>
                <w:p w14:paraId="403C2E51">
                  <w:pPr>
                    <w:jc w:val="center"/>
                    <w:rPr>
                      <w:i/>
                      <w:iCs/>
                      <w:u w:val="single"/>
                    </w:rPr>
                  </w:pPr>
                  <w:r>
                    <w:rPr>
                      <w:i/>
                      <w:iCs/>
                      <w:u w:val="single"/>
                    </w:rPr>
                    <w:t>运行时段</w:t>
                  </w:r>
                </w:p>
              </w:tc>
            </w:tr>
            <w:tr w14:paraId="07F8DCF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2" w:type="pct"/>
                  <w:vMerge w:val="continue"/>
                  <w:noWrap w:val="0"/>
                  <w:vAlign w:val="center"/>
                </w:tcPr>
                <w:p w14:paraId="1D5DF973">
                  <w:pPr>
                    <w:jc w:val="center"/>
                    <w:rPr>
                      <w:i/>
                      <w:iCs/>
                      <w:u w:val="single"/>
                    </w:rPr>
                  </w:pPr>
                </w:p>
              </w:tc>
              <w:tc>
                <w:tcPr>
                  <w:tcW w:w="516" w:type="pct"/>
                  <w:vMerge w:val="continue"/>
                  <w:noWrap w:val="0"/>
                  <w:vAlign w:val="center"/>
                </w:tcPr>
                <w:p w14:paraId="706B4E35">
                  <w:pPr>
                    <w:jc w:val="center"/>
                    <w:rPr>
                      <w:i/>
                      <w:iCs/>
                      <w:u w:val="single"/>
                    </w:rPr>
                  </w:pPr>
                </w:p>
              </w:tc>
              <w:tc>
                <w:tcPr>
                  <w:tcW w:w="685" w:type="pct"/>
                  <w:vMerge w:val="continue"/>
                  <w:noWrap w:val="0"/>
                  <w:vAlign w:val="center"/>
                </w:tcPr>
                <w:p w14:paraId="3683E97D">
                  <w:pPr>
                    <w:jc w:val="center"/>
                    <w:rPr>
                      <w:i/>
                      <w:iCs/>
                      <w:u w:val="single"/>
                    </w:rPr>
                  </w:pPr>
                </w:p>
              </w:tc>
              <w:tc>
                <w:tcPr>
                  <w:tcW w:w="454" w:type="pct"/>
                  <w:noWrap w:val="0"/>
                  <w:vAlign w:val="center"/>
                </w:tcPr>
                <w:p w14:paraId="64C33D9D">
                  <w:pPr>
                    <w:jc w:val="center"/>
                    <w:rPr>
                      <w:i/>
                      <w:iCs/>
                      <w:u w:val="single"/>
                    </w:rPr>
                  </w:pPr>
                  <w:r>
                    <w:rPr>
                      <w:i/>
                      <w:iCs/>
                      <w:u w:val="single"/>
                    </w:rPr>
                    <w:t>X</w:t>
                  </w:r>
                </w:p>
              </w:tc>
              <w:tc>
                <w:tcPr>
                  <w:tcW w:w="462" w:type="pct"/>
                  <w:noWrap w:val="0"/>
                  <w:vAlign w:val="center"/>
                </w:tcPr>
                <w:p w14:paraId="6B067C88">
                  <w:pPr>
                    <w:jc w:val="center"/>
                    <w:rPr>
                      <w:i/>
                      <w:iCs/>
                      <w:u w:val="single"/>
                    </w:rPr>
                  </w:pPr>
                  <w:r>
                    <w:rPr>
                      <w:i/>
                      <w:iCs/>
                      <w:u w:val="single"/>
                    </w:rPr>
                    <w:t>Y</w:t>
                  </w:r>
                </w:p>
              </w:tc>
              <w:tc>
                <w:tcPr>
                  <w:tcW w:w="422" w:type="pct"/>
                  <w:noWrap w:val="0"/>
                  <w:vAlign w:val="center"/>
                </w:tcPr>
                <w:p w14:paraId="6B721560">
                  <w:pPr>
                    <w:jc w:val="center"/>
                    <w:rPr>
                      <w:i/>
                      <w:iCs/>
                      <w:u w:val="single"/>
                    </w:rPr>
                  </w:pPr>
                  <w:r>
                    <w:rPr>
                      <w:i/>
                      <w:iCs/>
                      <w:u w:val="single"/>
                    </w:rPr>
                    <w:t>Z</w:t>
                  </w:r>
                </w:p>
              </w:tc>
              <w:tc>
                <w:tcPr>
                  <w:tcW w:w="1136" w:type="pct"/>
                  <w:noWrap w:val="0"/>
                  <w:vAlign w:val="center"/>
                </w:tcPr>
                <w:p w14:paraId="73B4742E">
                  <w:pPr>
                    <w:jc w:val="center"/>
                    <w:rPr>
                      <w:i/>
                      <w:iCs/>
                      <w:u w:val="single"/>
                    </w:rPr>
                  </w:pPr>
                  <w:r>
                    <w:rPr>
                      <w:i/>
                      <w:iCs/>
                      <w:u w:val="single"/>
                    </w:rPr>
                    <w:t>声功率计/dB（A）</w:t>
                  </w:r>
                </w:p>
              </w:tc>
              <w:tc>
                <w:tcPr>
                  <w:tcW w:w="566" w:type="pct"/>
                  <w:vMerge w:val="continue"/>
                  <w:noWrap w:val="0"/>
                  <w:vAlign w:val="center"/>
                </w:tcPr>
                <w:p w14:paraId="7143E864">
                  <w:pPr>
                    <w:jc w:val="center"/>
                    <w:rPr>
                      <w:i/>
                      <w:iCs/>
                      <w:u w:val="single"/>
                    </w:rPr>
                  </w:pPr>
                </w:p>
              </w:tc>
              <w:tc>
                <w:tcPr>
                  <w:tcW w:w="454" w:type="pct"/>
                  <w:vMerge w:val="continue"/>
                  <w:noWrap w:val="0"/>
                  <w:vAlign w:val="center"/>
                </w:tcPr>
                <w:p w14:paraId="54314931">
                  <w:pPr>
                    <w:jc w:val="center"/>
                    <w:rPr>
                      <w:i/>
                      <w:iCs/>
                      <w:u w:val="single"/>
                    </w:rPr>
                  </w:pPr>
                </w:p>
              </w:tc>
            </w:tr>
            <w:tr w14:paraId="6FD683D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2" w:type="pct"/>
                  <w:noWrap w:val="0"/>
                  <w:vAlign w:val="center"/>
                </w:tcPr>
                <w:p w14:paraId="56AABCD5">
                  <w:pPr>
                    <w:jc w:val="center"/>
                    <w:rPr>
                      <w:i/>
                      <w:iCs/>
                      <w:u w:val="single"/>
                    </w:rPr>
                  </w:pPr>
                  <w:r>
                    <w:rPr>
                      <w:i/>
                      <w:iCs/>
                      <w:u w:val="single"/>
                    </w:rPr>
                    <w:t>1</w:t>
                  </w:r>
                </w:p>
              </w:tc>
              <w:tc>
                <w:tcPr>
                  <w:tcW w:w="516" w:type="pct"/>
                  <w:vMerge w:val="restart"/>
                  <w:noWrap w:val="0"/>
                  <w:vAlign w:val="center"/>
                </w:tcPr>
                <w:p w14:paraId="2DD310CF">
                  <w:pPr>
                    <w:jc w:val="center"/>
                    <w:rPr>
                      <w:i/>
                      <w:iCs/>
                      <w:kern w:val="0"/>
                      <w:szCs w:val="21"/>
                      <w:u w:val="single"/>
                    </w:rPr>
                  </w:pPr>
                  <w:r>
                    <w:rPr>
                      <w:rFonts w:hint="eastAsia"/>
                      <w:i/>
                      <w:iCs/>
                      <w:kern w:val="0"/>
                      <w:szCs w:val="21"/>
                      <w:u w:val="single"/>
                    </w:rPr>
                    <w:t>实验</w:t>
                  </w:r>
                  <w:r>
                    <w:rPr>
                      <w:i/>
                      <w:iCs/>
                      <w:kern w:val="0"/>
                      <w:szCs w:val="21"/>
                      <w:u w:val="single"/>
                    </w:rPr>
                    <w:t>车间</w:t>
                  </w:r>
                </w:p>
              </w:tc>
              <w:tc>
                <w:tcPr>
                  <w:tcW w:w="685" w:type="pct"/>
                  <w:noWrap w:val="0"/>
                  <w:vAlign w:val="center"/>
                </w:tcPr>
                <w:p w14:paraId="26FBEF7F">
                  <w:pPr>
                    <w:jc w:val="center"/>
                    <w:rPr>
                      <w:rFonts w:hint="eastAsia"/>
                      <w:i/>
                      <w:iCs/>
                      <w:u w:val="single"/>
                    </w:rPr>
                  </w:pPr>
                  <w:r>
                    <w:rPr>
                      <w:rFonts w:hint="eastAsia"/>
                      <w:i/>
                      <w:iCs/>
                      <w:kern w:val="0"/>
                      <w:szCs w:val="21"/>
                      <w:u w:val="single"/>
                    </w:rPr>
                    <w:t>1#搅拌</w:t>
                  </w:r>
                  <w:r>
                    <w:rPr>
                      <w:i/>
                      <w:iCs/>
                      <w:kern w:val="0"/>
                      <w:szCs w:val="21"/>
                      <w:u w:val="single"/>
                    </w:rPr>
                    <w:t>器</w:t>
                  </w:r>
                </w:p>
              </w:tc>
              <w:tc>
                <w:tcPr>
                  <w:tcW w:w="454" w:type="pct"/>
                  <w:noWrap w:val="0"/>
                  <w:vAlign w:val="center"/>
                </w:tcPr>
                <w:p w14:paraId="16E56658">
                  <w:pPr>
                    <w:jc w:val="center"/>
                    <w:rPr>
                      <w:i/>
                      <w:iCs/>
                      <w:u w:val="single"/>
                    </w:rPr>
                  </w:pPr>
                  <w:r>
                    <w:rPr>
                      <w:rFonts w:hint="eastAsia"/>
                      <w:i/>
                      <w:iCs/>
                      <w:u w:val="single"/>
                    </w:rPr>
                    <w:t>-15.56</w:t>
                  </w:r>
                </w:p>
              </w:tc>
              <w:tc>
                <w:tcPr>
                  <w:tcW w:w="462" w:type="pct"/>
                  <w:noWrap w:val="0"/>
                  <w:vAlign w:val="center"/>
                </w:tcPr>
                <w:p w14:paraId="4C4C08F7">
                  <w:pPr>
                    <w:jc w:val="center"/>
                    <w:rPr>
                      <w:i/>
                      <w:iCs/>
                      <w:u w:val="single"/>
                    </w:rPr>
                  </w:pPr>
                  <w:r>
                    <w:rPr>
                      <w:rFonts w:hint="eastAsia"/>
                      <w:i/>
                      <w:iCs/>
                      <w:u w:val="single"/>
                    </w:rPr>
                    <w:t>-35.68</w:t>
                  </w:r>
                </w:p>
              </w:tc>
              <w:tc>
                <w:tcPr>
                  <w:tcW w:w="422" w:type="pct"/>
                  <w:noWrap w:val="0"/>
                  <w:vAlign w:val="center"/>
                </w:tcPr>
                <w:p w14:paraId="27FD972E">
                  <w:pPr>
                    <w:jc w:val="center"/>
                    <w:rPr>
                      <w:i/>
                      <w:iCs/>
                      <w:u w:val="single"/>
                    </w:rPr>
                  </w:pPr>
                  <w:r>
                    <w:rPr>
                      <w:rFonts w:hint="eastAsia"/>
                      <w:i/>
                      <w:iCs/>
                      <w:u w:val="single"/>
                    </w:rPr>
                    <w:t>1</w:t>
                  </w:r>
                </w:p>
              </w:tc>
              <w:tc>
                <w:tcPr>
                  <w:tcW w:w="1136" w:type="pct"/>
                  <w:noWrap w:val="0"/>
                  <w:vAlign w:val="center"/>
                </w:tcPr>
                <w:p w14:paraId="7C1E43D7">
                  <w:pPr>
                    <w:pStyle w:val="79"/>
                    <w:ind w:left="-105" w:right="-105"/>
                    <w:rPr>
                      <w:i/>
                      <w:iCs/>
                      <w:u w:val="single"/>
                    </w:rPr>
                  </w:pPr>
                  <w:r>
                    <w:rPr>
                      <w:rFonts w:hint="eastAsia"/>
                      <w:bCs/>
                      <w:i/>
                      <w:iCs/>
                      <w:szCs w:val="21"/>
                      <w:u w:val="single"/>
                    </w:rPr>
                    <w:t>80</w:t>
                  </w:r>
                </w:p>
              </w:tc>
              <w:tc>
                <w:tcPr>
                  <w:tcW w:w="566" w:type="pct"/>
                  <w:vMerge w:val="restart"/>
                  <w:noWrap w:val="0"/>
                  <w:vAlign w:val="center"/>
                </w:tcPr>
                <w:p w14:paraId="0D50BD9D">
                  <w:pPr>
                    <w:jc w:val="center"/>
                    <w:rPr>
                      <w:i/>
                      <w:iCs/>
                      <w:u w:val="single"/>
                    </w:rPr>
                  </w:pPr>
                  <w:r>
                    <w:rPr>
                      <w:i/>
                      <w:iCs/>
                      <w:u w:val="single"/>
                    </w:rPr>
                    <w:t>选择低噪设备、基础减振</w:t>
                  </w:r>
                </w:p>
              </w:tc>
              <w:tc>
                <w:tcPr>
                  <w:tcW w:w="454" w:type="pct"/>
                  <w:vMerge w:val="restart"/>
                  <w:noWrap w:val="0"/>
                  <w:vAlign w:val="center"/>
                </w:tcPr>
                <w:p w14:paraId="420EE3E5">
                  <w:pPr>
                    <w:jc w:val="center"/>
                    <w:rPr>
                      <w:i/>
                      <w:iCs/>
                      <w:u w:val="single"/>
                    </w:rPr>
                  </w:pPr>
                  <w:r>
                    <w:rPr>
                      <w:i/>
                      <w:iCs/>
                      <w:u w:val="single"/>
                    </w:rPr>
                    <w:t>昼间间断运行</w:t>
                  </w:r>
                </w:p>
              </w:tc>
            </w:tr>
            <w:tr w14:paraId="2DF143B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2" w:type="pct"/>
                  <w:noWrap w:val="0"/>
                  <w:vAlign w:val="center"/>
                </w:tcPr>
                <w:p w14:paraId="586FC577">
                  <w:pPr>
                    <w:jc w:val="center"/>
                    <w:rPr>
                      <w:rFonts w:hint="eastAsia"/>
                      <w:i/>
                      <w:iCs/>
                      <w:u w:val="single"/>
                    </w:rPr>
                  </w:pPr>
                  <w:r>
                    <w:rPr>
                      <w:rFonts w:hint="eastAsia"/>
                      <w:i/>
                      <w:iCs/>
                      <w:u w:val="single"/>
                    </w:rPr>
                    <w:t>2</w:t>
                  </w:r>
                </w:p>
              </w:tc>
              <w:tc>
                <w:tcPr>
                  <w:tcW w:w="516" w:type="pct"/>
                  <w:vMerge w:val="continue"/>
                  <w:noWrap w:val="0"/>
                  <w:vAlign w:val="center"/>
                </w:tcPr>
                <w:p w14:paraId="0EB7C97A">
                  <w:pPr>
                    <w:jc w:val="center"/>
                    <w:rPr>
                      <w:rFonts w:hint="eastAsia"/>
                      <w:i/>
                      <w:iCs/>
                      <w:kern w:val="0"/>
                      <w:szCs w:val="21"/>
                      <w:u w:val="single"/>
                    </w:rPr>
                  </w:pPr>
                </w:p>
              </w:tc>
              <w:tc>
                <w:tcPr>
                  <w:tcW w:w="685" w:type="pct"/>
                  <w:noWrap w:val="0"/>
                  <w:vAlign w:val="center"/>
                </w:tcPr>
                <w:p w14:paraId="59B6FB02">
                  <w:pPr>
                    <w:jc w:val="center"/>
                    <w:rPr>
                      <w:rFonts w:hint="eastAsia"/>
                      <w:i/>
                      <w:iCs/>
                      <w:kern w:val="0"/>
                      <w:szCs w:val="21"/>
                      <w:u w:val="single"/>
                    </w:rPr>
                  </w:pPr>
                  <w:r>
                    <w:rPr>
                      <w:rFonts w:hint="eastAsia"/>
                      <w:i/>
                      <w:iCs/>
                      <w:kern w:val="0"/>
                      <w:szCs w:val="21"/>
                      <w:u w:val="single"/>
                    </w:rPr>
                    <w:t>2#搅拌</w:t>
                  </w:r>
                  <w:r>
                    <w:rPr>
                      <w:i/>
                      <w:iCs/>
                      <w:kern w:val="0"/>
                      <w:szCs w:val="21"/>
                      <w:u w:val="single"/>
                    </w:rPr>
                    <w:t>器</w:t>
                  </w:r>
                </w:p>
              </w:tc>
              <w:tc>
                <w:tcPr>
                  <w:tcW w:w="454" w:type="pct"/>
                  <w:noWrap w:val="0"/>
                  <w:vAlign w:val="center"/>
                </w:tcPr>
                <w:p w14:paraId="14344C85">
                  <w:pPr>
                    <w:jc w:val="center"/>
                    <w:rPr>
                      <w:rFonts w:hint="eastAsia"/>
                      <w:i/>
                      <w:iCs/>
                      <w:u w:val="single"/>
                    </w:rPr>
                  </w:pPr>
                  <w:r>
                    <w:rPr>
                      <w:rFonts w:hint="eastAsia"/>
                      <w:i/>
                      <w:iCs/>
                      <w:u w:val="single"/>
                    </w:rPr>
                    <w:t>-18.56</w:t>
                  </w:r>
                </w:p>
              </w:tc>
              <w:tc>
                <w:tcPr>
                  <w:tcW w:w="462" w:type="pct"/>
                  <w:noWrap w:val="0"/>
                  <w:vAlign w:val="center"/>
                </w:tcPr>
                <w:p w14:paraId="12D248A8">
                  <w:pPr>
                    <w:jc w:val="center"/>
                    <w:rPr>
                      <w:i/>
                      <w:iCs/>
                      <w:u w:val="single"/>
                    </w:rPr>
                  </w:pPr>
                  <w:r>
                    <w:rPr>
                      <w:rFonts w:hint="eastAsia"/>
                      <w:i/>
                      <w:iCs/>
                      <w:u w:val="single"/>
                    </w:rPr>
                    <w:t>-37.56</w:t>
                  </w:r>
                </w:p>
              </w:tc>
              <w:tc>
                <w:tcPr>
                  <w:tcW w:w="422" w:type="pct"/>
                  <w:noWrap w:val="0"/>
                  <w:vAlign w:val="center"/>
                </w:tcPr>
                <w:p w14:paraId="56A99F8F">
                  <w:pPr>
                    <w:jc w:val="center"/>
                    <w:rPr>
                      <w:rFonts w:hint="eastAsia"/>
                      <w:i/>
                      <w:iCs/>
                      <w:u w:val="single"/>
                    </w:rPr>
                  </w:pPr>
                  <w:r>
                    <w:rPr>
                      <w:rFonts w:hint="eastAsia"/>
                      <w:i/>
                      <w:iCs/>
                      <w:u w:val="single"/>
                    </w:rPr>
                    <w:t>1</w:t>
                  </w:r>
                </w:p>
              </w:tc>
              <w:tc>
                <w:tcPr>
                  <w:tcW w:w="1136" w:type="pct"/>
                  <w:noWrap w:val="0"/>
                  <w:vAlign w:val="center"/>
                </w:tcPr>
                <w:p w14:paraId="72367B8B">
                  <w:pPr>
                    <w:ind w:left="-105" w:right="-105"/>
                    <w:jc w:val="center"/>
                    <w:rPr>
                      <w:rFonts w:hint="eastAsia"/>
                      <w:bCs/>
                      <w:i/>
                      <w:iCs/>
                      <w:szCs w:val="21"/>
                      <w:u w:val="single"/>
                    </w:rPr>
                  </w:pPr>
                  <w:r>
                    <w:rPr>
                      <w:rFonts w:hint="eastAsia"/>
                      <w:bCs/>
                      <w:i/>
                      <w:iCs/>
                      <w:szCs w:val="21"/>
                      <w:u w:val="single"/>
                    </w:rPr>
                    <w:t>80</w:t>
                  </w:r>
                </w:p>
              </w:tc>
              <w:tc>
                <w:tcPr>
                  <w:tcW w:w="566" w:type="pct"/>
                  <w:vMerge w:val="continue"/>
                  <w:noWrap w:val="0"/>
                  <w:vAlign w:val="center"/>
                </w:tcPr>
                <w:p w14:paraId="33CB98B3">
                  <w:pPr>
                    <w:jc w:val="center"/>
                    <w:rPr>
                      <w:i/>
                      <w:iCs/>
                      <w:u w:val="single"/>
                    </w:rPr>
                  </w:pPr>
                </w:p>
              </w:tc>
              <w:tc>
                <w:tcPr>
                  <w:tcW w:w="454" w:type="pct"/>
                  <w:vMerge w:val="continue"/>
                  <w:noWrap w:val="0"/>
                  <w:vAlign w:val="center"/>
                </w:tcPr>
                <w:p w14:paraId="2FBD0374">
                  <w:pPr>
                    <w:jc w:val="center"/>
                    <w:rPr>
                      <w:i/>
                      <w:iCs/>
                      <w:u w:val="single"/>
                    </w:rPr>
                  </w:pPr>
                </w:p>
              </w:tc>
            </w:tr>
            <w:tr w14:paraId="637D1E2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2" w:type="pct"/>
                  <w:noWrap w:val="0"/>
                  <w:vAlign w:val="center"/>
                </w:tcPr>
                <w:p w14:paraId="44FA3F40">
                  <w:pPr>
                    <w:jc w:val="center"/>
                    <w:rPr>
                      <w:rFonts w:hint="eastAsia"/>
                      <w:i/>
                      <w:iCs/>
                      <w:u w:val="single"/>
                    </w:rPr>
                  </w:pPr>
                  <w:r>
                    <w:rPr>
                      <w:rFonts w:hint="eastAsia"/>
                      <w:i/>
                      <w:iCs/>
                      <w:u w:val="single"/>
                    </w:rPr>
                    <w:t>3</w:t>
                  </w:r>
                </w:p>
              </w:tc>
              <w:tc>
                <w:tcPr>
                  <w:tcW w:w="516" w:type="pct"/>
                  <w:vMerge w:val="continue"/>
                  <w:noWrap w:val="0"/>
                  <w:vAlign w:val="center"/>
                </w:tcPr>
                <w:p w14:paraId="7647FDC7">
                  <w:pPr>
                    <w:jc w:val="center"/>
                    <w:rPr>
                      <w:rFonts w:hint="eastAsia"/>
                      <w:i/>
                      <w:iCs/>
                      <w:kern w:val="0"/>
                      <w:szCs w:val="21"/>
                      <w:u w:val="single"/>
                    </w:rPr>
                  </w:pPr>
                </w:p>
              </w:tc>
              <w:tc>
                <w:tcPr>
                  <w:tcW w:w="685" w:type="pct"/>
                  <w:noWrap w:val="0"/>
                  <w:vAlign w:val="center"/>
                </w:tcPr>
                <w:p w14:paraId="2C2C6493">
                  <w:pPr>
                    <w:jc w:val="center"/>
                    <w:rPr>
                      <w:rFonts w:hint="eastAsia"/>
                      <w:i/>
                      <w:iCs/>
                      <w:kern w:val="0"/>
                      <w:szCs w:val="21"/>
                      <w:u w:val="single"/>
                    </w:rPr>
                  </w:pPr>
                  <w:r>
                    <w:rPr>
                      <w:rFonts w:hint="eastAsia"/>
                      <w:i/>
                      <w:iCs/>
                      <w:kern w:val="0"/>
                      <w:szCs w:val="21"/>
                      <w:u w:val="single"/>
                    </w:rPr>
                    <w:t>3#搅拌</w:t>
                  </w:r>
                  <w:r>
                    <w:rPr>
                      <w:i/>
                      <w:iCs/>
                      <w:kern w:val="0"/>
                      <w:szCs w:val="21"/>
                      <w:u w:val="single"/>
                    </w:rPr>
                    <w:t>器</w:t>
                  </w:r>
                </w:p>
              </w:tc>
              <w:tc>
                <w:tcPr>
                  <w:tcW w:w="454" w:type="pct"/>
                  <w:noWrap w:val="0"/>
                  <w:vAlign w:val="center"/>
                </w:tcPr>
                <w:p w14:paraId="7CBEAC93">
                  <w:pPr>
                    <w:jc w:val="center"/>
                    <w:rPr>
                      <w:i/>
                      <w:iCs/>
                      <w:u w:val="single"/>
                    </w:rPr>
                  </w:pPr>
                  <w:r>
                    <w:rPr>
                      <w:rFonts w:hint="eastAsia"/>
                      <w:i/>
                      <w:iCs/>
                      <w:u w:val="single"/>
                    </w:rPr>
                    <w:t>-19.68</w:t>
                  </w:r>
                </w:p>
              </w:tc>
              <w:tc>
                <w:tcPr>
                  <w:tcW w:w="462" w:type="pct"/>
                  <w:noWrap w:val="0"/>
                  <w:vAlign w:val="center"/>
                </w:tcPr>
                <w:p w14:paraId="3072E6D3">
                  <w:pPr>
                    <w:jc w:val="center"/>
                    <w:rPr>
                      <w:i/>
                      <w:iCs/>
                      <w:u w:val="single"/>
                    </w:rPr>
                  </w:pPr>
                  <w:r>
                    <w:rPr>
                      <w:rFonts w:hint="eastAsia"/>
                      <w:i/>
                      <w:iCs/>
                      <w:u w:val="single"/>
                    </w:rPr>
                    <w:t>-39.71</w:t>
                  </w:r>
                </w:p>
              </w:tc>
              <w:tc>
                <w:tcPr>
                  <w:tcW w:w="422" w:type="pct"/>
                  <w:noWrap w:val="0"/>
                  <w:vAlign w:val="center"/>
                </w:tcPr>
                <w:p w14:paraId="62BD0C8C">
                  <w:pPr>
                    <w:jc w:val="center"/>
                    <w:rPr>
                      <w:rFonts w:hint="eastAsia"/>
                      <w:i/>
                      <w:iCs/>
                      <w:u w:val="single"/>
                    </w:rPr>
                  </w:pPr>
                  <w:r>
                    <w:rPr>
                      <w:rFonts w:hint="eastAsia"/>
                      <w:i/>
                      <w:iCs/>
                      <w:u w:val="single"/>
                    </w:rPr>
                    <w:t>1</w:t>
                  </w:r>
                </w:p>
              </w:tc>
              <w:tc>
                <w:tcPr>
                  <w:tcW w:w="1136" w:type="pct"/>
                  <w:noWrap w:val="0"/>
                  <w:vAlign w:val="center"/>
                </w:tcPr>
                <w:p w14:paraId="01497839">
                  <w:pPr>
                    <w:ind w:left="-105" w:right="-105"/>
                    <w:jc w:val="center"/>
                    <w:rPr>
                      <w:rFonts w:hint="eastAsia"/>
                      <w:bCs/>
                      <w:i/>
                      <w:iCs/>
                      <w:szCs w:val="21"/>
                      <w:u w:val="single"/>
                    </w:rPr>
                  </w:pPr>
                  <w:r>
                    <w:rPr>
                      <w:rFonts w:hint="eastAsia"/>
                      <w:bCs/>
                      <w:i/>
                      <w:iCs/>
                      <w:szCs w:val="21"/>
                      <w:u w:val="single"/>
                    </w:rPr>
                    <w:t>80</w:t>
                  </w:r>
                </w:p>
              </w:tc>
              <w:tc>
                <w:tcPr>
                  <w:tcW w:w="566" w:type="pct"/>
                  <w:vMerge w:val="continue"/>
                  <w:noWrap w:val="0"/>
                  <w:vAlign w:val="center"/>
                </w:tcPr>
                <w:p w14:paraId="0996CAC2">
                  <w:pPr>
                    <w:jc w:val="center"/>
                    <w:rPr>
                      <w:i/>
                      <w:iCs/>
                      <w:u w:val="single"/>
                    </w:rPr>
                  </w:pPr>
                </w:p>
              </w:tc>
              <w:tc>
                <w:tcPr>
                  <w:tcW w:w="454" w:type="pct"/>
                  <w:vMerge w:val="continue"/>
                  <w:noWrap w:val="0"/>
                  <w:vAlign w:val="center"/>
                </w:tcPr>
                <w:p w14:paraId="7A32F1E6">
                  <w:pPr>
                    <w:jc w:val="center"/>
                    <w:rPr>
                      <w:i/>
                      <w:iCs/>
                      <w:u w:val="single"/>
                    </w:rPr>
                  </w:pPr>
                </w:p>
              </w:tc>
            </w:tr>
            <w:tr w14:paraId="7C2FA5C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2" w:type="pct"/>
                  <w:noWrap w:val="0"/>
                  <w:vAlign w:val="center"/>
                </w:tcPr>
                <w:p w14:paraId="32E14DCE">
                  <w:pPr>
                    <w:jc w:val="center"/>
                    <w:rPr>
                      <w:rFonts w:hint="eastAsia"/>
                      <w:i/>
                      <w:iCs/>
                      <w:u w:val="single"/>
                    </w:rPr>
                  </w:pPr>
                  <w:r>
                    <w:rPr>
                      <w:rFonts w:hint="eastAsia"/>
                      <w:i/>
                      <w:iCs/>
                      <w:u w:val="single"/>
                    </w:rPr>
                    <w:t>4</w:t>
                  </w:r>
                </w:p>
              </w:tc>
              <w:tc>
                <w:tcPr>
                  <w:tcW w:w="516" w:type="pct"/>
                  <w:vMerge w:val="continue"/>
                  <w:noWrap w:val="0"/>
                  <w:vAlign w:val="center"/>
                </w:tcPr>
                <w:p w14:paraId="3C532FEC">
                  <w:pPr>
                    <w:jc w:val="center"/>
                    <w:rPr>
                      <w:rFonts w:hint="eastAsia"/>
                      <w:i/>
                      <w:iCs/>
                      <w:kern w:val="0"/>
                      <w:szCs w:val="21"/>
                      <w:u w:val="single"/>
                    </w:rPr>
                  </w:pPr>
                </w:p>
              </w:tc>
              <w:tc>
                <w:tcPr>
                  <w:tcW w:w="685" w:type="pct"/>
                  <w:noWrap w:val="0"/>
                  <w:vAlign w:val="center"/>
                </w:tcPr>
                <w:p w14:paraId="44F8706E">
                  <w:pPr>
                    <w:jc w:val="center"/>
                    <w:rPr>
                      <w:rFonts w:hint="eastAsia"/>
                      <w:i/>
                      <w:iCs/>
                      <w:kern w:val="0"/>
                      <w:szCs w:val="21"/>
                      <w:u w:val="single"/>
                    </w:rPr>
                  </w:pPr>
                  <w:r>
                    <w:rPr>
                      <w:rFonts w:hint="eastAsia"/>
                      <w:i/>
                      <w:iCs/>
                      <w:kern w:val="0"/>
                      <w:szCs w:val="21"/>
                      <w:u w:val="single"/>
                    </w:rPr>
                    <w:t>4#搅拌</w:t>
                  </w:r>
                  <w:r>
                    <w:rPr>
                      <w:i/>
                      <w:iCs/>
                      <w:kern w:val="0"/>
                      <w:szCs w:val="21"/>
                      <w:u w:val="single"/>
                    </w:rPr>
                    <w:t>器</w:t>
                  </w:r>
                </w:p>
              </w:tc>
              <w:tc>
                <w:tcPr>
                  <w:tcW w:w="454" w:type="pct"/>
                  <w:noWrap w:val="0"/>
                  <w:vAlign w:val="center"/>
                </w:tcPr>
                <w:p w14:paraId="477C0AFF">
                  <w:pPr>
                    <w:jc w:val="center"/>
                    <w:rPr>
                      <w:i/>
                      <w:iCs/>
                      <w:u w:val="single"/>
                    </w:rPr>
                  </w:pPr>
                  <w:r>
                    <w:rPr>
                      <w:rFonts w:hint="eastAsia"/>
                      <w:i/>
                      <w:iCs/>
                      <w:u w:val="single"/>
                    </w:rPr>
                    <w:t>-20.12</w:t>
                  </w:r>
                </w:p>
              </w:tc>
              <w:tc>
                <w:tcPr>
                  <w:tcW w:w="462" w:type="pct"/>
                  <w:noWrap w:val="0"/>
                  <w:vAlign w:val="center"/>
                </w:tcPr>
                <w:p w14:paraId="73513A11">
                  <w:pPr>
                    <w:jc w:val="center"/>
                    <w:rPr>
                      <w:rFonts w:hint="eastAsia"/>
                      <w:i/>
                      <w:iCs/>
                      <w:u w:val="single"/>
                    </w:rPr>
                  </w:pPr>
                  <w:r>
                    <w:rPr>
                      <w:rFonts w:hint="eastAsia"/>
                      <w:i/>
                      <w:iCs/>
                      <w:u w:val="single"/>
                    </w:rPr>
                    <w:t>-38.98</w:t>
                  </w:r>
                </w:p>
              </w:tc>
              <w:tc>
                <w:tcPr>
                  <w:tcW w:w="422" w:type="pct"/>
                  <w:noWrap w:val="0"/>
                  <w:vAlign w:val="center"/>
                </w:tcPr>
                <w:p w14:paraId="339B7664">
                  <w:pPr>
                    <w:jc w:val="center"/>
                    <w:rPr>
                      <w:rFonts w:hint="eastAsia"/>
                      <w:i/>
                      <w:iCs/>
                      <w:u w:val="single"/>
                    </w:rPr>
                  </w:pPr>
                  <w:r>
                    <w:rPr>
                      <w:rFonts w:hint="eastAsia"/>
                      <w:i/>
                      <w:iCs/>
                      <w:u w:val="single"/>
                    </w:rPr>
                    <w:t>1</w:t>
                  </w:r>
                </w:p>
              </w:tc>
              <w:tc>
                <w:tcPr>
                  <w:tcW w:w="1136" w:type="pct"/>
                  <w:noWrap w:val="0"/>
                  <w:vAlign w:val="center"/>
                </w:tcPr>
                <w:p w14:paraId="3C437369">
                  <w:pPr>
                    <w:ind w:left="-105" w:right="-105"/>
                    <w:jc w:val="center"/>
                    <w:rPr>
                      <w:rFonts w:hint="eastAsia"/>
                      <w:bCs/>
                      <w:i/>
                      <w:iCs/>
                      <w:szCs w:val="21"/>
                      <w:u w:val="single"/>
                    </w:rPr>
                  </w:pPr>
                  <w:r>
                    <w:rPr>
                      <w:rFonts w:hint="eastAsia"/>
                      <w:bCs/>
                      <w:i/>
                      <w:iCs/>
                      <w:szCs w:val="21"/>
                      <w:u w:val="single"/>
                    </w:rPr>
                    <w:t>80</w:t>
                  </w:r>
                </w:p>
              </w:tc>
              <w:tc>
                <w:tcPr>
                  <w:tcW w:w="566" w:type="pct"/>
                  <w:vMerge w:val="continue"/>
                  <w:noWrap w:val="0"/>
                  <w:vAlign w:val="center"/>
                </w:tcPr>
                <w:p w14:paraId="01A97BB0">
                  <w:pPr>
                    <w:jc w:val="center"/>
                    <w:rPr>
                      <w:i/>
                      <w:iCs/>
                      <w:u w:val="single"/>
                    </w:rPr>
                  </w:pPr>
                </w:p>
              </w:tc>
              <w:tc>
                <w:tcPr>
                  <w:tcW w:w="454" w:type="pct"/>
                  <w:vMerge w:val="continue"/>
                  <w:noWrap w:val="0"/>
                  <w:vAlign w:val="center"/>
                </w:tcPr>
                <w:p w14:paraId="684E656F">
                  <w:pPr>
                    <w:jc w:val="center"/>
                    <w:rPr>
                      <w:i/>
                      <w:iCs/>
                      <w:u w:val="single"/>
                    </w:rPr>
                  </w:pPr>
                </w:p>
              </w:tc>
            </w:tr>
            <w:tr w14:paraId="6C01953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2" w:type="pct"/>
                  <w:noWrap w:val="0"/>
                  <w:vAlign w:val="center"/>
                </w:tcPr>
                <w:p w14:paraId="7DE32280">
                  <w:pPr>
                    <w:jc w:val="center"/>
                    <w:rPr>
                      <w:rFonts w:hint="eastAsia"/>
                      <w:i/>
                      <w:iCs/>
                      <w:u w:val="single"/>
                    </w:rPr>
                  </w:pPr>
                  <w:r>
                    <w:rPr>
                      <w:rFonts w:hint="eastAsia"/>
                      <w:i/>
                      <w:iCs/>
                      <w:u w:val="single"/>
                    </w:rPr>
                    <w:t>5</w:t>
                  </w:r>
                </w:p>
              </w:tc>
              <w:tc>
                <w:tcPr>
                  <w:tcW w:w="516" w:type="pct"/>
                  <w:vMerge w:val="continue"/>
                  <w:noWrap w:val="0"/>
                  <w:vAlign w:val="center"/>
                </w:tcPr>
                <w:p w14:paraId="797AAEE6">
                  <w:pPr>
                    <w:jc w:val="center"/>
                    <w:rPr>
                      <w:rFonts w:hint="eastAsia"/>
                      <w:i/>
                      <w:iCs/>
                      <w:kern w:val="0"/>
                      <w:szCs w:val="21"/>
                      <w:u w:val="single"/>
                    </w:rPr>
                  </w:pPr>
                </w:p>
              </w:tc>
              <w:tc>
                <w:tcPr>
                  <w:tcW w:w="685" w:type="pct"/>
                  <w:noWrap w:val="0"/>
                  <w:vAlign w:val="center"/>
                </w:tcPr>
                <w:p w14:paraId="74BA2789">
                  <w:pPr>
                    <w:jc w:val="center"/>
                    <w:rPr>
                      <w:rFonts w:hint="eastAsia"/>
                      <w:i/>
                      <w:iCs/>
                      <w:kern w:val="0"/>
                      <w:szCs w:val="21"/>
                      <w:u w:val="single"/>
                    </w:rPr>
                  </w:pPr>
                  <w:r>
                    <w:rPr>
                      <w:rFonts w:hint="eastAsia"/>
                      <w:i/>
                      <w:iCs/>
                      <w:kern w:val="0"/>
                      <w:szCs w:val="21"/>
                      <w:u w:val="single"/>
                    </w:rPr>
                    <w:t>1#</w:t>
                  </w:r>
                  <w:r>
                    <w:rPr>
                      <w:rFonts w:hint="eastAsia"/>
                      <w:bCs/>
                      <w:i/>
                      <w:iCs/>
                      <w:kern w:val="0"/>
                      <w:szCs w:val="21"/>
                      <w:u w:val="single"/>
                    </w:rPr>
                    <w:t>研磨机</w:t>
                  </w:r>
                </w:p>
              </w:tc>
              <w:tc>
                <w:tcPr>
                  <w:tcW w:w="454" w:type="pct"/>
                  <w:noWrap w:val="0"/>
                  <w:vAlign w:val="center"/>
                </w:tcPr>
                <w:p w14:paraId="775304D9">
                  <w:pPr>
                    <w:jc w:val="center"/>
                    <w:rPr>
                      <w:rFonts w:hint="eastAsia"/>
                      <w:i/>
                      <w:iCs/>
                      <w:u w:val="single"/>
                    </w:rPr>
                  </w:pPr>
                  <w:r>
                    <w:rPr>
                      <w:rFonts w:hint="eastAsia"/>
                      <w:i/>
                      <w:iCs/>
                      <w:u w:val="single"/>
                    </w:rPr>
                    <w:t>-31.42</w:t>
                  </w:r>
                </w:p>
              </w:tc>
              <w:tc>
                <w:tcPr>
                  <w:tcW w:w="462" w:type="pct"/>
                  <w:noWrap w:val="0"/>
                  <w:vAlign w:val="center"/>
                </w:tcPr>
                <w:p w14:paraId="5CC932F6">
                  <w:pPr>
                    <w:jc w:val="center"/>
                    <w:rPr>
                      <w:rFonts w:hint="eastAsia"/>
                      <w:i/>
                      <w:iCs/>
                      <w:u w:val="single"/>
                    </w:rPr>
                  </w:pPr>
                  <w:r>
                    <w:rPr>
                      <w:rFonts w:hint="eastAsia"/>
                      <w:i/>
                      <w:iCs/>
                      <w:u w:val="single"/>
                    </w:rPr>
                    <w:t>-27.14</w:t>
                  </w:r>
                </w:p>
              </w:tc>
              <w:tc>
                <w:tcPr>
                  <w:tcW w:w="422" w:type="pct"/>
                  <w:noWrap w:val="0"/>
                  <w:vAlign w:val="center"/>
                </w:tcPr>
                <w:p w14:paraId="2677D0E7">
                  <w:pPr>
                    <w:jc w:val="center"/>
                    <w:rPr>
                      <w:rFonts w:hint="eastAsia"/>
                      <w:i/>
                      <w:iCs/>
                      <w:u w:val="single"/>
                    </w:rPr>
                  </w:pPr>
                  <w:r>
                    <w:rPr>
                      <w:rFonts w:hint="eastAsia"/>
                      <w:i/>
                      <w:iCs/>
                      <w:u w:val="single"/>
                    </w:rPr>
                    <w:t>1</w:t>
                  </w:r>
                </w:p>
              </w:tc>
              <w:tc>
                <w:tcPr>
                  <w:tcW w:w="1136" w:type="pct"/>
                  <w:noWrap w:val="0"/>
                  <w:vAlign w:val="center"/>
                </w:tcPr>
                <w:p w14:paraId="697C8528">
                  <w:pPr>
                    <w:ind w:left="-105" w:right="-105"/>
                    <w:jc w:val="center"/>
                    <w:rPr>
                      <w:rFonts w:hint="eastAsia"/>
                      <w:bCs/>
                      <w:i/>
                      <w:iCs/>
                      <w:szCs w:val="21"/>
                      <w:u w:val="single"/>
                    </w:rPr>
                  </w:pPr>
                  <w:r>
                    <w:rPr>
                      <w:rFonts w:hint="eastAsia"/>
                      <w:bCs/>
                      <w:i/>
                      <w:iCs/>
                      <w:szCs w:val="21"/>
                      <w:u w:val="single"/>
                    </w:rPr>
                    <w:t>80</w:t>
                  </w:r>
                </w:p>
              </w:tc>
              <w:tc>
                <w:tcPr>
                  <w:tcW w:w="566" w:type="pct"/>
                  <w:vMerge w:val="continue"/>
                  <w:noWrap w:val="0"/>
                  <w:vAlign w:val="center"/>
                </w:tcPr>
                <w:p w14:paraId="30425321">
                  <w:pPr>
                    <w:jc w:val="center"/>
                    <w:rPr>
                      <w:i/>
                      <w:iCs/>
                      <w:u w:val="single"/>
                    </w:rPr>
                  </w:pPr>
                </w:p>
              </w:tc>
              <w:tc>
                <w:tcPr>
                  <w:tcW w:w="454" w:type="pct"/>
                  <w:vMerge w:val="continue"/>
                  <w:noWrap w:val="0"/>
                  <w:vAlign w:val="center"/>
                </w:tcPr>
                <w:p w14:paraId="30C3FA91">
                  <w:pPr>
                    <w:jc w:val="center"/>
                    <w:rPr>
                      <w:i/>
                      <w:iCs/>
                      <w:u w:val="single"/>
                    </w:rPr>
                  </w:pPr>
                </w:p>
              </w:tc>
            </w:tr>
            <w:tr w14:paraId="6C66982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2" w:type="pct"/>
                  <w:noWrap w:val="0"/>
                  <w:vAlign w:val="center"/>
                </w:tcPr>
                <w:p w14:paraId="105A0B0A">
                  <w:pPr>
                    <w:jc w:val="center"/>
                    <w:rPr>
                      <w:rFonts w:hint="eastAsia"/>
                      <w:i/>
                      <w:iCs/>
                      <w:u w:val="single"/>
                    </w:rPr>
                  </w:pPr>
                  <w:r>
                    <w:rPr>
                      <w:rFonts w:hint="eastAsia"/>
                      <w:i/>
                      <w:iCs/>
                      <w:u w:val="single"/>
                    </w:rPr>
                    <w:t>6</w:t>
                  </w:r>
                </w:p>
              </w:tc>
              <w:tc>
                <w:tcPr>
                  <w:tcW w:w="516" w:type="pct"/>
                  <w:vMerge w:val="continue"/>
                  <w:noWrap w:val="0"/>
                  <w:vAlign w:val="center"/>
                </w:tcPr>
                <w:p w14:paraId="22E89382">
                  <w:pPr>
                    <w:jc w:val="center"/>
                    <w:rPr>
                      <w:i/>
                      <w:iCs/>
                      <w:kern w:val="0"/>
                      <w:szCs w:val="21"/>
                      <w:u w:val="single"/>
                    </w:rPr>
                  </w:pPr>
                </w:p>
              </w:tc>
              <w:tc>
                <w:tcPr>
                  <w:tcW w:w="685" w:type="pct"/>
                  <w:noWrap w:val="0"/>
                  <w:vAlign w:val="center"/>
                </w:tcPr>
                <w:p w14:paraId="3CAE5A1C">
                  <w:pPr>
                    <w:jc w:val="center"/>
                    <w:rPr>
                      <w:i/>
                      <w:iCs/>
                      <w:kern w:val="0"/>
                      <w:szCs w:val="21"/>
                      <w:u w:val="single"/>
                    </w:rPr>
                  </w:pPr>
                  <w:r>
                    <w:rPr>
                      <w:rFonts w:hint="eastAsia"/>
                      <w:i/>
                      <w:iCs/>
                      <w:kern w:val="0"/>
                      <w:szCs w:val="21"/>
                      <w:u w:val="single"/>
                    </w:rPr>
                    <w:t>2#</w:t>
                  </w:r>
                  <w:r>
                    <w:rPr>
                      <w:rFonts w:hint="eastAsia"/>
                      <w:bCs/>
                      <w:i/>
                      <w:iCs/>
                      <w:kern w:val="0"/>
                      <w:szCs w:val="21"/>
                      <w:u w:val="single"/>
                    </w:rPr>
                    <w:t>研磨机</w:t>
                  </w:r>
                </w:p>
              </w:tc>
              <w:tc>
                <w:tcPr>
                  <w:tcW w:w="454" w:type="pct"/>
                  <w:noWrap w:val="0"/>
                  <w:vAlign w:val="center"/>
                </w:tcPr>
                <w:p w14:paraId="54CA7DCC">
                  <w:pPr>
                    <w:jc w:val="center"/>
                    <w:rPr>
                      <w:i/>
                      <w:iCs/>
                      <w:u w:val="single"/>
                    </w:rPr>
                  </w:pPr>
                  <w:r>
                    <w:rPr>
                      <w:rFonts w:hint="eastAsia"/>
                      <w:i/>
                      <w:iCs/>
                      <w:u w:val="single"/>
                    </w:rPr>
                    <w:t>-31.42</w:t>
                  </w:r>
                </w:p>
              </w:tc>
              <w:tc>
                <w:tcPr>
                  <w:tcW w:w="462" w:type="pct"/>
                  <w:noWrap w:val="0"/>
                  <w:vAlign w:val="center"/>
                </w:tcPr>
                <w:p w14:paraId="2E18CC64">
                  <w:pPr>
                    <w:jc w:val="center"/>
                    <w:rPr>
                      <w:i/>
                      <w:iCs/>
                      <w:u w:val="single"/>
                    </w:rPr>
                  </w:pPr>
                  <w:r>
                    <w:rPr>
                      <w:rFonts w:hint="eastAsia"/>
                      <w:i/>
                      <w:iCs/>
                      <w:u w:val="single"/>
                    </w:rPr>
                    <w:t>-27.14</w:t>
                  </w:r>
                </w:p>
              </w:tc>
              <w:tc>
                <w:tcPr>
                  <w:tcW w:w="422" w:type="pct"/>
                  <w:noWrap w:val="0"/>
                  <w:vAlign w:val="center"/>
                </w:tcPr>
                <w:p w14:paraId="4F14D0DA">
                  <w:pPr>
                    <w:jc w:val="center"/>
                    <w:rPr>
                      <w:i/>
                      <w:iCs/>
                      <w:u w:val="single"/>
                    </w:rPr>
                  </w:pPr>
                  <w:r>
                    <w:rPr>
                      <w:i/>
                      <w:iCs/>
                      <w:u w:val="single"/>
                    </w:rPr>
                    <w:t>1</w:t>
                  </w:r>
                </w:p>
              </w:tc>
              <w:tc>
                <w:tcPr>
                  <w:tcW w:w="1136" w:type="pct"/>
                  <w:noWrap w:val="0"/>
                  <w:vAlign w:val="center"/>
                </w:tcPr>
                <w:p w14:paraId="609F4344">
                  <w:pPr>
                    <w:ind w:left="-105" w:leftChars="-50" w:right="-105" w:rightChars="-50"/>
                    <w:jc w:val="center"/>
                    <w:rPr>
                      <w:bCs/>
                      <w:i/>
                      <w:iCs/>
                      <w:szCs w:val="21"/>
                      <w:u w:val="single"/>
                    </w:rPr>
                  </w:pPr>
                  <w:r>
                    <w:rPr>
                      <w:rFonts w:hint="eastAsia"/>
                      <w:bCs/>
                      <w:i/>
                      <w:iCs/>
                      <w:szCs w:val="21"/>
                      <w:u w:val="single"/>
                    </w:rPr>
                    <w:t>80</w:t>
                  </w:r>
                </w:p>
              </w:tc>
              <w:tc>
                <w:tcPr>
                  <w:tcW w:w="566" w:type="pct"/>
                  <w:vMerge w:val="continue"/>
                  <w:noWrap w:val="0"/>
                  <w:vAlign w:val="center"/>
                </w:tcPr>
                <w:p w14:paraId="18F17601">
                  <w:pPr>
                    <w:jc w:val="center"/>
                    <w:rPr>
                      <w:i/>
                      <w:iCs/>
                      <w:u w:val="single"/>
                    </w:rPr>
                  </w:pPr>
                </w:p>
              </w:tc>
              <w:tc>
                <w:tcPr>
                  <w:tcW w:w="454" w:type="pct"/>
                  <w:vMerge w:val="continue"/>
                  <w:noWrap w:val="0"/>
                  <w:vAlign w:val="center"/>
                </w:tcPr>
                <w:p w14:paraId="415620BE">
                  <w:pPr>
                    <w:jc w:val="center"/>
                    <w:rPr>
                      <w:i/>
                      <w:iCs/>
                      <w:u w:val="single"/>
                    </w:rPr>
                  </w:pPr>
                </w:p>
              </w:tc>
            </w:tr>
            <w:tr w14:paraId="1BE4357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2" w:type="pct"/>
                  <w:noWrap w:val="0"/>
                  <w:vAlign w:val="center"/>
                </w:tcPr>
                <w:p w14:paraId="630ADC70">
                  <w:pPr>
                    <w:jc w:val="center"/>
                    <w:rPr>
                      <w:rFonts w:hint="eastAsia"/>
                      <w:i/>
                      <w:iCs/>
                      <w:u w:val="single"/>
                    </w:rPr>
                  </w:pPr>
                  <w:r>
                    <w:rPr>
                      <w:rFonts w:hint="eastAsia"/>
                      <w:i/>
                      <w:iCs/>
                      <w:u w:val="single"/>
                    </w:rPr>
                    <w:t>7</w:t>
                  </w:r>
                </w:p>
              </w:tc>
              <w:tc>
                <w:tcPr>
                  <w:tcW w:w="516" w:type="pct"/>
                  <w:vMerge w:val="continue"/>
                  <w:noWrap w:val="0"/>
                  <w:vAlign w:val="center"/>
                </w:tcPr>
                <w:p w14:paraId="194B980B">
                  <w:pPr>
                    <w:jc w:val="center"/>
                    <w:rPr>
                      <w:i/>
                      <w:iCs/>
                      <w:kern w:val="0"/>
                      <w:szCs w:val="21"/>
                      <w:u w:val="single"/>
                    </w:rPr>
                  </w:pPr>
                </w:p>
              </w:tc>
              <w:tc>
                <w:tcPr>
                  <w:tcW w:w="685" w:type="pct"/>
                  <w:noWrap w:val="0"/>
                  <w:vAlign w:val="center"/>
                </w:tcPr>
                <w:p w14:paraId="2D8058D9">
                  <w:pPr>
                    <w:jc w:val="center"/>
                    <w:rPr>
                      <w:rFonts w:hint="eastAsia"/>
                      <w:i/>
                      <w:iCs/>
                      <w:kern w:val="0"/>
                      <w:szCs w:val="21"/>
                      <w:u w:val="single"/>
                    </w:rPr>
                  </w:pPr>
                  <w:r>
                    <w:rPr>
                      <w:rFonts w:hint="eastAsia"/>
                      <w:i/>
                      <w:iCs/>
                      <w:kern w:val="0"/>
                      <w:szCs w:val="21"/>
                      <w:u w:val="single"/>
                    </w:rPr>
                    <w:t>3#</w:t>
                  </w:r>
                  <w:r>
                    <w:rPr>
                      <w:rFonts w:hint="eastAsia"/>
                      <w:bCs/>
                      <w:i/>
                      <w:iCs/>
                      <w:kern w:val="0"/>
                      <w:szCs w:val="21"/>
                      <w:u w:val="single"/>
                    </w:rPr>
                    <w:t>研磨机</w:t>
                  </w:r>
                </w:p>
              </w:tc>
              <w:tc>
                <w:tcPr>
                  <w:tcW w:w="454" w:type="pct"/>
                  <w:noWrap w:val="0"/>
                  <w:vAlign w:val="center"/>
                </w:tcPr>
                <w:p w14:paraId="550DF1C8">
                  <w:pPr>
                    <w:jc w:val="center"/>
                    <w:rPr>
                      <w:rFonts w:hint="eastAsia"/>
                      <w:i/>
                      <w:iCs/>
                      <w:u w:val="single"/>
                    </w:rPr>
                  </w:pPr>
                  <w:r>
                    <w:rPr>
                      <w:rFonts w:hint="eastAsia"/>
                      <w:i/>
                      <w:iCs/>
                      <w:u w:val="single"/>
                    </w:rPr>
                    <w:t>-30.37</w:t>
                  </w:r>
                </w:p>
              </w:tc>
              <w:tc>
                <w:tcPr>
                  <w:tcW w:w="462" w:type="pct"/>
                  <w:noWrap w:val="0"/>
                  <w:vAlign w:val="center"/>
                </w:tcPr>
                <w:p w14:paraId="1AF4C164">
                  <w:pPr>
                    <w:jc w:val="center"/>
                    <w:rPr>
                      <w:rFonts w:hint="eastAsia"/>
                      <w:i/>
                      <w:iCs/>
                      <w:u w:val="single"/>
                    </w:rPr>
                  </w:pPr>
                  <w:r>
                    <w:rPr>
                      <w:rFonts w:hint="eastAsia"/>
                      <w:i/>
                      <w:iCs/>
                      <w:u w:val="single"/>
                    </w:rPr>
                    <w:t>-26.01</w:t>
                  </w:r>
                </w:p>
              </w:tc>
              <w:tc>
                <w:tcPr>
                  <w:tcW w:w="422" w:type="pct"/>
                  <w:noWrap w:val="0"/>
                  <w:vAlign w:val="center"/>
                </w:tcPr>
                <w:p w14:paraId="533D9187">
                  <w:pPr>
                    <w:jc w:val="center"/>
                    <w:rPr>
                      <w:i/>
                      <w:iCs/>
                      <w:u w:val="single"/>
                    </w:rPr>
                  </w:pPr>
                  <w:r>
                    <w:rPr>
                      <w:rFonts w:hint="eastAsia"/>
                      <w:i/>
                      <w:iCs/>
                      <w:u w:val="single"/>
                    </w:rPr>
                    <w:t>1</w:t>
                  </w:r>
                </w:p>
              </w:tc>
              <w:tc>
                <w:tcPr>
                  <w:tcW w:w="1136" w:type="pct"/>
                  <w:noWrap w:val="0"/>
                  <w:vAlign w:val="center"/>
                </w:tcPr>
                <w:p w14:paraId="3D61282F">
                  <w:pPr>
                    <w:ind w:left="-105" w:leftChars="-50" w:right="-105" w:rightChars="-50"/>
                    <w:jc w:val="center"/>
                    <w:rPr>
                      <w:rFonts w:hint="eastAsia"/>
                      <w:bCs/>
                      <w:i/>
                      <w:iCs/>
                      <w:szCs w:val="21"/>
                      <w:u w:val="single"/>
                    </w:rPr>
                  </w:pPr>
                  <w:r>
                    <w:rPr>
                      <w:rFonts w:hint="eastAsia"/>
                      <w:bCs/>
                      <w:i/>
                      <w:iCs/>
                      <w:szCs w:val="21"/>
                      <w:u w:val="single"/>
                    </w:rPr>
                    <w:t>80</w:t>
                  </w:r>
                </w:p>
              </w:tc>
              <w:tc>
                <w:tcPr>
                  <w:tcW w:w="566" w:type="pct"/>
                  <w:vMerge w:val="continue"/>
                  <w:noWrap w:val="0"/>
                  <w:vAlign w:val="center"/>
                </w:tcPr>
                <w:p w14:paraId="29D9000E">
                  <w:pPr>
                    <w:jc w:val="center"/>
                    <w:rPr>
                      <w:i/>
                      <w:iCs/>
                      <w:u w:val="single"/>
                    </w:rPr>
                  </w:pPr>
                </w:p>
              </w:tc>
              <w:tc>
                <w:tcPr>
                  <w:tcW w:w="454" w:type="pct"/>
                  <w:vMerge w:val="continue"/>
                  <w:noWrap w:val="0"/>
                  <w:vAlign w:val="center"/>
                </w:tcPr>
                <w:p w14:paraId="2D87B56F">
                  <w:pPr>
                    <w:jc w:val="center"/>
                    <w:rPr>
                      <w:i/>
                      <w:iCs/>
                      <w:u w:val="single"/>
                    </w:rPr>
                  </w:pPr>
                </w:p>
              </w:tc>
            </w:tr>
            <w:tr w14:paraId="4FDDD5D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2" w:type="pct"/>
                  <w:noWrap w:val="0"/>
                  <w:vAlign w:val="center"/>
                </w:tcPr>
                <w:p w14:paraId="481B23EA">
                  <w:pPr>
                    <w:jc w:val="center"/>
                    <w:rPr>
                      <w:rFonts w:hint="eastAsia"/>
                      <w:i/>
                      <w:iCs/>
                      <w:u w:val="single"/>
                    </w:rPr>
                  </w:pPr>
                  <w:r>
                    <w:rPr>
                      <w:rFonts w:hint="eastAsia"/>
                      <w:i/>
                      <w:iCs/>
                      <w:u w:val="single"/>
                    </w:rPr>
                    <w:t>8</w:t>
                  </w:r>
                </w:p>
              </w:tc>
              <w:tc>
                <w:tcPr>
                  <w:tcW w:w="516" w:type="pct"/>
                  <w:vMerge w:val="continue"/>
                  <w:noWrap w:val="0"/>
                  <w:vAlign w:val="center"/>
                </w:tcPr>
                <w:p w14:paraId="3B15FC70">
                  <w:pPr>
                    <w:jc w:val="center"/>
                    <w:rPr>
                      <w:i/>
                      <w:iCs/>
                      <w:kern w:val="0"/>
                      <w:szCs w:val="21"/>
                      <w:u w:val="single"/>
                    </w:rPr>
                  </w:pPr>
                </w:p>
              </w:tc>
              <w:tc>
                <w:tcPr>
                  <w:tcW w:w="685" w:type="pct"/>
                  <w:noWrap w:val="0"/>
                  <w:vAlign w:val="center"/>
                </w:tcPr>
                <w:p w14:paraId="5EAD805A">
                  <w:pPr>
                    <w:jc w:val="center"/>
                    <w:rPr>
                      <w:rFonts w:hint="eastAsia"/>
                      <w:i/>
                      <w:iCs/>
                      <w:kern w:val="0"/>
                      <w:szCs w:val="21"/>
                      <w:u w:val="single"/>
                    </w:rPr>
                  </w:pPr>
                  <w:r>
                    <w:rPr>
                      <w:rFonts w:hint="eastAsia"/>
                      <w:i/>
                      <w:iCs/>
                      <w:kern w:val="0"/>
                      <w:szCs w:val="21"/>
                      <w:u w:val="single"/>
                    </w:rPr>
                    <w:t>4#</w:t>
                  </w:r>
                  <w:r>
                    <w:rPr>
                      <w:rFonts w:hint="eastAsia"/>
                      <w:bCs/>
                      <w:i/>
                      <w:iCs/>
                      <w:kern w:val="0"/>
                      <w:szCs w:val="21"/>
                      <w:u w:val="single"/>
                    </w:rPr>
                    <w:t>研磨机</w:t>
                  </w:r>
                </w:p>
              </w:tc>
              <w:tc>
                <w:tcPr>
                  <w:tcW w:w="454" w:type="pct"/>
                  <w:noWrap w:val="0"/>
                  <w:vAlign w:val="center"/>
                </w:tcPr>
                <w:p w14:paraId="61E0DC22">
                  <w:pPr>
                    <w:jc w:val="center"/>
                    <w:rPr>
                      <w:i/>
                      <w:iCs/>
                      <w:u w:val="single"/>
                    </w:rPr>
                  </w:pPr>
                  <w:r>
                    <w:rPr>
                      <w:rFonts w:hint="eastAsia"/>
                      <w:i/>
                      <w:iCs/>
                      <w:u w:val="single"/>
                    </w:rPr>
                    <w:t>-19.31</w:t>
                  </w:r>
                </w:p>
              </w:tc>
              <w:tc>
                <w:tcPr>
                  <w:tcW w:w="462" w:type="pct"/>
                  <w:noWrap w:val="0"/>
                  <w:vAlign w:val="center"/>
                </w:tcPr>
                <w:p w14:paraId="429CAAEF">
                  <w:pPr>
                    <w:jc w:val="center"/>
                    <w:rPr>
                      <w:rFonts w:hint="eastAsia"/>
                      <w:i/>
                      <w:iCs/>
                      <w:u w:val="single"/>
                    </w:rPr>
                  </w:pPr>
                  <w:r>
                    <w:rPr>
                      <w:rFonts w:hint="eastAsia"/>
                      <w:i/>
                      <w:iCs/>
                      <w:u w:val="single"/>
                    </w:rPr>
                    <w:t>-32.89</w:t>
                  </w:r>
                </w:p>
              </w:tc>
              <w:tc>
                <w:tcPr>
                  <w:tcW w:w="422" w:type="pct"/>
                  <w:noWrap w:val="0"/>
                  <w:vAlign w:val="center"/>
                </w:tcPr>
                <w:p w14:paraId="34A8F546">
                  <w:pPr>
                    <w:jc w:val="center"/>
                    <w:rPr>
                      <w:i/>
                      <w:iCs/>
                      <w:u w:val="single"/>
                    </w:rPr>
                  </w:pPr>
                  <w:r>
                    <w:rPr>
                      <w:rFonts w:hint="eastAsia"/>
                      <w:i/>
                      <w:iCs/>
                      <w:u w:val="single"/>
                    </w:rPr>
                    <w:t>1</w:t>
                  </w:r>
                </w:p>
              </w:tc>
              <w:tc>
                <w:tcPr>
                  <w:tcW w:w="1136" w:type="pct"/>
                  <w:noWrap w:val="0"/>
                  <w:vAlign w:val="center"/>
                </w:tcPr>
                <w:p w14:paraId="59DAC725">
                  <w:pPr>
                    <w:ind w:left="-105" w:leftChars="-50" w:right="-105" w:rightChars="-50"/>
                    <w:jc w:val="center"/>
                    <w:rPr>
                      <w:rFonts w:hint="eastAsia"/>
                      <w:bCs/>
                      <w:i/>
                      <w:iCs/>
                      <w:szCs w:val="21"/>
                      <w:u w:val="single"/>
                    </w:rPr>
                  </w:pPr>
                  <w:r>
                    <w:rPr>
                      <w:rFonts w:hint="eastAsia"/>
                      <w:bCs/>
                      <w:i/>
                      <w:iCs/>
                      <w:szCs w:val="21"/>
                      <w:u w:val="single"/>
                    </w:rPr>
                    <w:t>80</w:t>
                  </w:r>
                </w:p>
              </w:tc>
              <w:tc>
                <w:tcPr>
                  <w:tcW w:w="566" w:type="pct"/>
                  <w:vMerge w:val="continue"/>
                  <w:noWrap w:val="0"/>
                  <w:vAlign w:val="center"/>
                </w:tcPr>
                <w:p w14:paraId="62EF4FC6">
                  <w:pPr>
                    <w:jc w:val="center"/>
                    <w:rPr>
                      <w:i/>
                      <w:iCs/>
                      <w:u w:val="single"/>
                    </w:rPr>
                  </w:pPr>
                </w:p>
              </w:tc>
              <w:tc>
                <w:tcPr>
                  <w:tcW w:w="454" w:type="pct"/>
                  <w:vMerge w:val="continue"/>
                  <w:noWrap w:val="0"/>
                  <w:vAlign w:val="center"/>
                </w:tcPr>
                <w:p w14:paraId="24818B83">
                  <w:pPr>
                    <w:jc w:val="center"/>
                    <w:rPr>
                      <w:i/>
                      <w:iCs/>
                      <w:u w:val="single"/>
                    </w:rPr>
                  </w:pPr>
                </w:p>
              </w:tc>
            </w:tr>
            <w:tr w14:paraId="7C9EA5D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2" w:type="pct"/>
                  <w:noWrap w:val="0"/>
                  <w:vAlign w:val="center"/>
                </w:tcPr>
                <w:p w14:paraId="4FDE0AF0">
                  <w:pPr>
                    <w:jc w:val="center"/>
                    <w:rPr>
                      <w:rFonts w:hint="eastAsia"/>
                      <w:i/>
                      <w:iCs/>
                      <w:u w:val="single"/>
                    </w:rPr>
                  </w:pPr>
                  <w:r>
                    <w:rPr>
                      <w:rFonts w:hint="eastAsia"/>
                      <w:i/>
                      <w:iCs/>
                      <w:u w:val="single"/>
                    </w:rPr>
                    <w:t>9</w:t>
                  </w:r>
                </w:p>
              </w:tc>
              <w:tc>
                <w:tcPr>
                  <w:tcW w:w="516" w:type="pct"/>
                  <w:vMerge w:val="continue"/>
                  <w:noWrap w:val="0"/>
                  <w:vAlign w:val="center"/>
                </w:tcPr>
                <w:p w14:paraId="2DC19738">
                  <w:pPr>
                    <w:jc w:val="center"/>
                    <w:rPr>
                      <w:i/>
                      <w:iCs/>
                      <w:kern w:val="0"/>
                      <w:szCs w:val="21"/>
                      <w:u w:val="single"/>
                    </w:rPr>
                  </w:pPr>
                </w:p>
              </w:tc>
              <w:tc>
                <w:tcPr>
                  <w:tcW w:w="685" w:type="pct"/>
                  <w:noWrap w:val="0"/>
                  <w:vAlign w:val="center"/>
                </w:tcPr>
                <w:p w14:paraId="1DD882E9">
                  <w:pPr>
                    <w:jc w:val="center"/>
                    <w:rPr>
                      <w:rFonts w:hint="eastAsia"/>
                      <w:i/>
                      <w:iCs/>
                      <w:kern w:val="0"/>
                      <w:szCs w:val="21"/>
                      <w:u w:val="single"/>
                    </w:rPr>
                  </w:pPr>
                  <w:r>
                    <w:rPr>
                      <w:rFonts w:hint="eastAsia"/>
                      <w:i/>
                      <w:iCs/>
                      <w:kern w:val="0"/>
                      <w:szCs w:val="21"/>
                      <w:u w:val="single"/>
                    </w:rPr>
                    <w:t>1#喷砂机</w:t>
                  </w:r>
                </w:p>
              </w:tc>
              <w:tc>
                <w:tcPr>
                  <w:tcW w:w="454" w:type="pct"/>
                  <w:noWrap w:val="0"/>
                  <w:vAlign w:val="center"/>
                </w:tcPr>
                <w:p w14:paraId="21F76375">
                  <w:pPr>
                    <w:jc w:val="center"/>
                    <w:rPr>
                      <w:i/>
                      <w:iCs/>
                      <w:u w:val="single"/>
                    </w:rPr>
                  </w:pPr>
                  <w:r>
                    <w:rPr>
                      <w:rFonts w:hint="eastAsia"/>
                      <w:i/>
                      <w:iCs/>
                      <w:u w:val="single"/>
                    </w:rPr>
                    <w:t>-21.24</w:t>
                  </w:r>
                </w:p>
              </w:tc>
              <w:tc>
                <w:tcPr>
                  <w:tcW w:w="462" w:type="pct"/>
                  <w:noWrap w:val="0"/>
                  <w:vAlign w:val="center"/>
                </w:tcPr>
                <w:p w14:paraId="11F729BF">
                  <w:pPr>
                    <w:jc w:val="center"/>
                    <w:rPr>
                      <w:i/>
                      <w:iCs/>
                      <w:u w:val="single"/>
                    </w:rPr>
                  </w:pPr>
                  <w:r>
                    <w:rPr>
                      <w:rFonts w:hint="eastAsia"/>
                      <w:i/>
                      <w:iCs/>
                      <w:u w:val="single"/>
                    </w:rPr>
                    <w:t>-30.82</w:t>
                  </w:r>
                </w:p>
              </w:tc>
              <w:tc>
                <w:tcPr>
                  <w:tcW w:w="422" w:type="pct"/>
                  <w:noWrap w:val="0"/>
                  <w:vAlign w:val="center"/>
                </w:tcPr>
                <w:p w14:paraId="725D5D03">
                  <w:pPr>
                    <w:jc w:val="center"/>
                    <w:rPr>
                      <w:i/>
                      <w:iCs/>
                      <w:u w:val="single"/>
                    </w:rPr>
                  </w:pPr>
                  <w:r>
                    <w:rPr>
                      <w:rFonts w:hint="eastAsia"/>
                      <w:i/>
                      <w:iCs/>
                      <w:u w:val="single"/>
                    </w:rPr>
                    <w:t>1</w:t>
                  </w:r>
                </w:p>
              </w:tc>
              <w:tc>
                <w:tcPr>
                  <w:tcW w:w="1136" w:type="pct"/>
                  <w:noWrap w:val="0"/>
                  <w:vAlign w:val="center"/>
                </w:tcPr>
                <w:p w14:paraId="57F1672B">
                  <w:pPr>
                    <w:ind w:left="-105" w:leftChars="-50" w:right="-105" w:rightChars="-50"/>
                    <w:jc w:val="center"/>
                    <w:rPr>
                      <w:bCs/>
                      <w:i/>
                      <w:iCs/>
                      <w:szCs w:val="21"/>
                      <w:u w:val="single"/>
                    </w:rPr>
                  </w:pPr>
                  <w:r>
                    <w:rPr>
                      <w:rFonts w:hint="eastAsia"/>
                      <w:bCs/>
                      <w:i/>
                      <w:iCs/>
                      <w:szCs w:val="21"/>
                      <w:u w:val="single"/>
                    </w:rPr>
                    <w:t>85</w:t>
                  </w:r>
                </w:p>
              </w:tc>
              <w:tc>
                <w:tcPr>
                  <w:tcW w:w="566" w:type="pct"/>
                  <w:vMerge w:val="continue"/>
                  <w:noWrap w:val="0"/>
                  <w:vAlign w:val="center"/>
                </w:tcPr>
                <w:p w14:paraId="32A7BBB9">
                  <w:pPr>
                    <w:jc w:val="center"/>
                    <w:rPr>
                      <w:i/>
                      <w:iCs/>
                      <w:u w:val="single"/>
                    </w:rPr>
                  </w:pPr>
                </w:p>
              </w:tc>
              <w:tc>
                <w:tcPr>
                  <w:tcW w:w="454" w:type="pct"/>
                  <w:vMerge w:val="continue"/>
                  <w:noWrap w:val="0"/>
                  <w:vAlign w:val="center"/>
                </w:tcPr>
                <w:p w14:paraId="782AF1F6">
                  <w:pPr>
                    <w:ind w:firstLine="420" w:firstLineChars="200"/>
                    <w:rPr>
                      <w:i/>
                      <w:iCs/>
                      <w:u w:val="single"/>
                    </w:rPr>
                  </w:pPr>
                </w:p>
              </w:tc>
            </w:tr>
            <w:tr w14:paraId="6F82EE5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2" w:type="pct"/>
                  <w:noWrap w:val="0"/>
                  <w:vAlign w:val="center"/>
                </w:tcPr>
                <w:p w14:paraId="7B98F4DF">
                  <w:pPr>
                    <w:jc w:val="center"/>
                    <w:rPr>
                      <w:i/>
                      <w:iCs/>
                      <w:u w:val="single"/>
                    </w:rPr>
                  </w:pPr>
                  <w:r>
                    <w:rPr>
                      <w:rFonts w:hint="eastAsia"/>
                      <w:i/>
                      <w:iCs/>
                      <w:u w:val="single"/>
                    </w:rPr>
                    <w:t>10</w:t>
                  </w:r>
                </w:p>
              </w:tc>
              <w:tc>
                <w:tcPr>
                  <w:tcW w:w="516" w:type="pct"/>
                  <w:vMerge w:val="continue"/>
                  <w:noWrap w:val="0"/>
                  <w:vAlign w:val="center"/>
                </w:tcPr>
                <w:p w14:paraId="72619CCD">
                  <w:pPr>
                    <w:jc w:val="center"/>
                    <w:rPr>
                      <w:i/>
                      <w:iCs/>
                      <w:kern w:val="0"/>
                      <w:szCs w:val="21"/>
                      <w:u w:val="single"/>
                    </w:rPr>
                  </w:pPr>
                </w:p>
              </w:tc>
              <w:tc>
                <w:tcPr>
                  <w:tcW w:w="685" w:type="pct"/>
                  <w:noWrap w:val="0"/>
                  <w:vAlign w:val="center"/>
                </w:tcPr>
                <w:p w14:paraId="5538C9F5">
                  <w:pPr>
                    <w:jc w:val="center"/>
                    <w:rPr>
                      <w:rFonts w:hint="eastAsia"/>
                      <w:i/>
                      <w:iCs/>
                      <w:kern w:val="0"/>
                      <w:szCs w:val="21"/>
                      <w:u w:val="single"/>
                    </w:rPr>
                  </w:pPr>
                  <w:r>
                    <w:rPr>
                      <w:rFonts w:hint="eastAsia"/>
                      <w:i/>
                      <w:iCs/>
                      <w:kern w:val="0"/>
                      <w:szCs w:val="21"/>
                      <w:u w:val="single"/>
                    </w:rPr>
                    <w:t>2#喷砂机</w:t>
                  </w:r>
                </w:p>
              </w:tc>
              <w:tc>
                <w:tcPr>
                  <w:tcW w:w="454" w:type="pct"/>
                  <w:noWrap w:val="0"/>
                  <w:vAlign w:val="center"/>
                </w:tcPr>
                <w:p w14:paraId="11A8EF78">
                  <w:pPr>
                    <w:jc w:val="center"/>
                    <w:rPr>
                      <w:i/>
                      <w:iCs/>
                      <w:u w:val="single"/>
                    </w:rPr>
                  </w:pPr>
                  <w:r>
                    <w:rPr>
                      <w:rFonts w:hint="eastAsia"/>
                      <w:i/>
                      <w:iCs/>
                      <w:u w:val="single"/>
                    </w:rPr>
                    <w:t>-16.08</w:t>
                  </w:r>
                </w:p>
              </w:tc>
              <w:tc>
                <w:tcPr>
                  <w:tcW w:w="462" w:type="pct"/>
                  <w:noWrap w:val="0"/>
                  <w:vAlign w:val="center"/>
                </w:tcPr>
                <w:p w14:paraId="3B8FC7B9">
                  <w:pPr>
                    <w:jc w:val="center"/>
                    <w:rPr>
                      <w:rFonts w:hint="eastAsia"/>
                      <w:i/>
                      <w:iCs/>
                      <w:u w:val="single"/>
                    </w:rPr>
                  </w:pPr>
                  <w:r>
                    <w:rPr>
                      <w:rFonts w:hint="eastAsia"/>
                      <w:i/>
                      <w:iCs/>
                      <w:u w:val="single"/>
                    </w:rPr>
                    <w:t>-35.86</w:t>
                  </w:r>
                </w:p>
              </w:tc>
              <w:tc>
                <w:tcPr>
                  <w:tcW w:w="422" w:type="pct"/>
                  <w:noWrap w:val="0"/>
                  <w:vAlign w:val="center"/>
                </w:tcPr>
                <w:p w14:paraId="398E5F3A">
                  <w:pPr>
                    <w:jc w:val="center"/>
                    <w:rPr>
                      <w:i/>
                      <w:iCs/>
                      <w:u w:val="single"/>
                    </w:rPr>
                  </w:pPr>
                  <w:r>
                    <w:rPr>
                      <w:rFonts w:hint="eastAsia"/>
                      <w:i/>
                      <w:iCs/>
                      <w:u w:val="single"/>
                    </w:rPr>
                    <w:t>1</w:t>
                  </w:r>
                </w:p>
              </w:tc>
              <w:tc>
                <w:tcPr>
                  <w:tcW w:w="1136" w:type="pct"/>
                  <w:noWrap w:val="0"/>
                  <w:vAlign w:val="center"/>
                </w:tcPr>
                <w:p w14:paraId="5842B49A">
                  <w:pPr>
                    <w:ind w:left="-105" w:leftChars="-50" w:right="-105" w:rightChars="-50"/>
                    <w:jc w:val="center"/>
                    <w:rPr>
                      <w:rFonts w:hint="eastAsia"/>
                      <w:bCs/>
                      <w:i/>
                      <w:iCs/>
                      <w:szCs w:val="21"/>
                      <w:u w:val="single"/>
                    </w:rPr>
                  </w:pPr>
                  <w:r>
                    <w:rPr>
                      <w:rFonts w:hint="eastAsia"/>
                      <w:bCs/>
                      <w:i/>
                      <w:iCs/>
                      <w:szCs w:val="21"/>
                      <w:u w:val="single"/>
                    </w:rPr>
                    <w:t>85</w:t>
                  </w:r>
                </w:p>
              </w:tc>
              <w:tc>
                <w:tcPr>
                  <w:tcW w:w="566" w:type="pct"/>
                  <w:vMerge w:val="continue"/>
                  <w:noWrap w:val="0"/>
                  <w:vAlign w:val="center"/>
                </w:tcPr>
                <w:p w14:paraId="7098722B">
                  <w:pPr>
                    <w:jc w:val="center"/>
                    <w:rPr>
                      <w:i/>
                      <w:iCs/>
                      <w:u w:val="single"/>
                    </w:rPr>
                  </w:pPr>
                </w:p>
              </w:tc>
              <w:tc>
                <w:tcPr>
                  <w:tcW w:w="454" w:type="pct"/>
                  <w:vMerge w:val="continue"/>
                  <w:noWrap w:val="0"/>
                  <w:vAlign w:val="center"/>
                </w:tcPr>
                <w:p w14:paraId="75C71909">
                  <w:pPr>
                    <w:ind w:firstLine="420" w:firstLineChars="200"/>
                    <w:rPr>
                      <w:i/>
                      <w:iCs/>
                      <w:u w:val="single"/>
                    </w:rPr>
                  </w:pPr>
                </w:p>
              </w:tc>
            </w:tr>
            <w:tr w14:paraId="1AFBBC4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2" w:type="pct"/>
                  <w:noWrap w:val="0"/>
                  <w:vAlign w:val="center"/>
                </w:tcPr>
                <w:p w14:paraId="2340A433">
                  <w:pPr>
                    <w:jc w:val="center"/>
                    <w:rPr>
                      <w:i/>
                      <w:iCs/>
                      <w:u w:val="single"/>
                    </w:rPr>
                  </w:pPr>
                  <w:r>
                    <w:rPr>
                      <w:rFonts w:hint="eastAsia"/>
                      <w:i/>
                      <w:iCs/>
                      <w:u w:val="single"/>
                    </w:rPr>
                    <w:t>11</w:t>
                  </w:r>
                </w:p>
              </w:tc>
              <w:tc>
                <w:tcPr>
                  <w:tcW w:w="516" w:type="pct"/>
                  <w:vMerge w:val="continue"/>
                  <w:noWrap w:val="0"/>
                  <w:vAlign w:val="center"/>
                </w:tcPr>
                <w:p w14:paraId="54327741">
                  <w:pPr>
                    <w:jc w:val="center"/>
                    <w:rPr>
                      <w:i/>
                      <w:iCs/>
                      <w:kern w:val="0"/>
                      <w:szCs w:val="21"/>
                      <w:u w:val="single"/>
                    </w:rPr>
                  </w:pPr>
                </w:p>
              </w:tc>
              <w:tc>
                <w:tcPr>
                  <w:tcW w:w="685" w:type="pct"/>
                  <w:noWrap w:val="0"/>
                  <w:vAlign w:val="center"/>
                </w:tcPr>
                <w:p w14:paraId="6571CA4B">
                  <w:pPr>
                    <w:jc w:val="center"/>
                    <w:rPr>
                      <w:rFonts w:hint="eastAsia"/>
                      <w:i/>
                      <w:iCs/>
                      <w:u w:val="single"/>
                    </w:rPr>
                  </w:pPr>
                  <w:r>
                    <w:rPr>
                      <w:rFonts w:hint="eastAsia"/>
                      <w:i/>
                      <w:iCs/>
                      <w:kern w:val="0"/>
                      <w:szCs w:val="21"/>
                      <w:u w:val="single"/>
                    </w:rPr>
                    <w:t>高压气动泵</w:t>
                  </w:r>
                </w:p>
              </w:tc>
              <w:tc>
                <w:tcPr>
                  <w:tcW w:w="454" w:type="pct"/>
                  <w:noWrap w:val="0"/>
                  <w:vAlign w:val="center"/>
                </w:tcPr>
                <w:p w14:paraId="64C5ED4E">
                  <w:pPr>
                    <w:jc w:val="center"/>
                    <w:rPr>
                      <w:i/>
                      <w:iCs/>
                      <w:u w:val="single"/>
                    </w:rPr>
                  </w:pPr>
                  <w:r>
                    <w:rPr>
                      <w:rFonts w:hint="eastAsia"/>
                      <w:i/>
                      <w:iCs/>
                      <w:u w:val="single"/>
                    </w:rPr>
                    <w:t>-46.27</w:t>
                  </w:r>
                </w:p>
              </w:tc>
              <w:tc>
                <w:tcPr>
                  <w:tcW w:w="462" w:type="pct"/>
                  <w:noWrap w:val="0"/>
                  <w:vAlign w:val="center"/>
                </w:tcPr>
                <w:p w14:paraId="3CB8FA69">
                  <w:pPr>
                    <w:jc w:val="center"/>
                    <w:rPr>
                      <w:i/>
                      <w:iCs/>
                      <w:u w:val="single"/>
                    </w:rPr>
                  </w:pPr>
                  <w:r>
                    <w:rPr>
                      <w:rFonts w:hint="eastAsia"/>
                      <w:i/>
                      <w:iCs/>
                      <w:u w:val="single"/>
                    </w:rPr>
                    <w:t>-17.4</w:t>
                  </w:r>
                </w:p>
              </w:tc>
              <w:tc>
                <w:tcPr>
                  <w:tcW w:w="422" w:type="pct"/>
                  <w:noWrap w:val="0"/>
                  <w:vAlign w:val="center"/>
                </w:tcPr>
                <w:p w14:paraId="4E875592">
                  <w:pPr>
                    <w:jc w:val="center"/>
                    <w:rPr>
                      <w:i/>
                      <w:iCs/>
                      <w:u w:val="single"/>
                    </w:rPr>
                  </w:pPr>
                  <w:r>
                    <w:rPr>
                      <w:rFonts w:hint="eastAsia"/>
                      <w:i/>
                      <w:iCs/>
                      <w:u w:val="single"/>
                    </w:rPr>
                    <w:t>1</w:t>
                  </w:r>
                </w:p>
              </w:tc>
              <w:tc>
                <w:tcPr>
                  <w:tcW w:w="1136" w:type="pct"/>
                  <w:noWrap w:val="0"/>
                  <w:vAlign w:val="center"/>
                </w:tcPr>
                <w:p w14:paraId="3B3BDC17">
                  <w:pPr>
                    <w:ind w:left="-105" w:leftChars="-50" w:right="-105" w:rightChars="-50"/>
                    <w:jc w:val="center"/>
                    <w:rPr>
                      <w:i/>
                      <w:iCs/>
                      <w:u w:val="single"/>
                    </w:rPr>
                  </w:pPr>
                  <w:r>
                    <w:rPr>
                      <w:rFonts w:hint="eastAsia"/>
                      <w:bCs/>
                      <w:i/>
                      <w:iCs/>
                      <w:szCs w:val="21"/>
                      <w:u w:val="single"/>
                    </w:rPr>
                    <w:t>85</w:t>
                  </w:r>
                </w:p>
              </w:tc>
              <w:tc>
                <w:tcPr>
                  <w:tcW w:w="566" w:type="pct"/>
                  <w:vMerge w:val="continue"/>
                  <w:noWrap w:val="0"/>
                  <w:vAlign w:val="center"/>
                </w:tcPr>
                <w:p w14:paraId="50AE91A5">
                  <w:pPr>
                    <w:jc w:val="center"/>
                    <w:rPr>
                      <w:i/>
                      <w:iCs/>
                      <w:u w:val="single"/>
                    </w:rPr>
                  </w:pPr>
                </w:p>
              </w:tc>
              <w:tc>
                <w:tcPr>
                  <w:tcW w:w="454" w:type="pct"/>
                  <w:vMerge w:val="continue"/>
                  <w:noWrap w:val="0"/>
                  <w:vAlign w:val="center"/>
                </w:tcPr>
                <w:p w14:paraId="6CB1B10E">
                  <w:pPr>
                    <w:jc w:val="center"/>
                    <w:rPr>
                      <w:i/>
                      <w:iCs/>
                      <w:u w:val="single"/>
                    </w:rPr>
                  </w:pPr>
                </w:p>
              </w:tc>
            </w:tr>
            <w:tr w14:paraId="595D467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302" w:type="pct"/>
                  <w:noWrap w:val="0"/>
                  <w:vAlign w:val="center"/>
                </w:tcPr>
                <w:p w14:paraId="155454F2">
                  <w:pPr>
                    <w:jc w:val="center"/>
                    <w:rPr>
                      <w:i/>
                      <w:iCs/>
                      <w:u w:val="single"/>
                    </w:rPr>
                  </w:pPr>
                  <w:r>
                    <w:rPr>
                      <w:rFonts w:hint="eastAsia"/>
                      <w:i/>
                      <w:iCs/>
                      <w:u w:val="single"/>
                    </w:rPr>
                    <w:t>12</w:t>
                  </w:r>
                </w:p>
              </w:tc>
              <w:tc>
                <w:tcPr>
                  <w:tcW w:w="516" w:type="pct"/>
                  <w:vMerge w:val="continue"/>
                  <w:noWrap w:val="0"/>
                  <w:vAlign w:val="center"/>
                </w:tcPr>
                <w:p w14:paraId="6796A4EC">
                  <w:pPr>
                    <w:jc w:val="center"/>
                    <w:rPr>
                      <w:i/>
                      <w:iCs/>
                      <w:kern w:val="0"/>
                      <w:szCs w:val="21"/>
                      <w:u w:val="single"/>
                    </w:rPr>
                  </w:pPr>
                </w:p>
              </w:tc>
              <w:tc>
                <w:tcPr>
                  <w:tcW w:w="685" w:type="pct"/>
                  <w:noWrap w:val="0"/>
                  <w:vAlign w:val="center"/>
                </w:tcPr>
                <w:p w14:paraId="14A5F5A4">
                  <w:pPr>
                    <w:jc w:val="center"/>
                    <w:rPr>
                      <w:i/>
                      <w:iCs/>
                      <w:kern w:val="0"/>
                      <w:szCs w:val="21"/>
                      <w:u w:val="single"/>
                    </w:rPr>
                  </w:pPr>
                  <w:r>
                    <w:rPr>
                      <w:rFonts w:hint="eastAsia"/>
                      <w:i/>
                      <w:iCs/>
                      <w:kern w:val="0"/>
                      <w:szCs w:val="21"/>
                      <w:u w:val="single"/>
                    </w:rPr>
                    <w:t>1#风机</w:t>
                  </w:r>
                </w:p>
              </w:tc>
              <w:tc>
                <w:tcPr>
                  <w:tcW w:w="454" w:type="pct"/>
                  <w:noWrap w:val="0"/>
                  <w:vAlign w:val="center"/>
                </w:tcPr>
                <w:p w14:paraId="450441F8">
                  <w:pPr>
                    <w:jc w:val="center"/>
                    <w:rPr>
                      <w:i/>
                      <w:iCs/>
                      <w:u w:val="single"/>
                    </w:rPr>
                  </w:pPr>
                  <w:r>
                    <w:rPr>
                      <w:rFonts w:hint="eastAsia"/>
                      <w:i/>
                      <w:iCs/>
                      <w:u w:val="single"/>
                    </w:rPr>
                    <w:t>-24.24</w:t>
                  </w:r>
                </w:p>
              </w:tc>
              <w:tc>
                <w:tcPr>
                  <w:tcW w:w="462" w:type="pct"/>
                  <w:noWrap w:val="0"/>
                  <w:vAlign w:val="center"/>
                </w:tcPr>
                <w:p w14:paraId="4A4771E9">
                  <w:pPr>
                    <w:jc w:val="center"/>
                    <w:rPr>
                      <w:i/>
                      <w:iCs/>
                      <w:u w:val="single"/>
                    </w:rPr>
                  </w:pPr>
                  <w:r>
                    <w:rPr>
                      <w:rFonts w:hint="eastAsia"/>
                      <w:i/>
                      <w:iCs/>
                      <w:u w:val="single"/>
                    </w:rPr>
                    <w:t>-51.05</w:t>
                  </w:r>
                </w:p>
              </w:tc>
              <w:tc>
                <w:tcPr>
                  <w:tcW w:w="422" w:type="pct"/>
                  <w:noWrap w:val="0"/>
                  <w:vAlign w:val="center"/>
                </w:tcPr>
                <w:p w14:paraId="7637645B">
                  <w:pPr>
                    <w:jc w:val="center"/>
                    <w:rPr>
                      <w:rFonts w:hint="eastAsia"/>
                      <w:i/>
                      <w:iCs/>
                      <w:u w:val="single"/>
                    </w:rPr>
                  </w:pPr>
                  <w:r>
                    <w:rPr>
                      <w:rFonts w:hint="eastAsia"/>
                      <w:i/>
                      <w:iCs/>
                      <w:u w:val="single"/>
                    </w:rPr>
                    <w:t>1</w:t>
                  </w:r>
                </w:p>
              </w:tc>
              <w:tc>
                <w:tcPr>
                  <w:tcW w:w="1136" w:type="pct"/>
                  <w:noWrap w:val="0"/>
                  <w:vAlign w:val="center"/>
                </w:tcPr>
                <w:p w14:paraId="7718A8AB">
                  <w:pPr>
                    <w:ind w:left="-105" w:leftChars="-50" w:right="-105" w:rightChars="-50"/>
                    <w:jc w:val="center"/>
                    <w:rPr>
                      <w:bCs/>
                      <w:i/>
                      <w:iCs/>
                      <w:szCs w:val="21"/>
                      <w:u w:val="single"/>
                    </w:rPr>
                  </w:pPr>
                  <w:r>
                    <w:rPr>
                      <w:rFonts w:hint="eastAsia"/>
                      <w:bCs/>
                      <w:i/>
                      <w:iCs/>
                      <w:szCs w:val="21"/>
                      <w:u w:val="single"/>
                    </w:rPr>
                    <w:t>90</w:t>
                  </w:r>
                </w:p>
              </w:tc>
              <w:tc>
                <w:tcPr>
                  <w:tcW w:w="566" w:type="pct"/>
                  <w:vMerge w:val="continue"/>
                  <w:noWrap w:val="0"/>
                  <w:vAlign w:val="center"/>
                </w:tcPr>
                <w:p w14:paraId="05022764">
                  <w:pPr>
                    <w:jc w:val="center"/>
                    <w:rPr>
                      <w:i/>
                      <w:iCs/>
                      <w:u w:val="single"/>
                    </w:rPr>
                  </w:pPr>
                </w:p>
              </w:tc>
              <w:tc>
                <w:tcPr>
                  <w:tcW w:w="454" w:type="pct"/>
                  <w:vMerge w:val="continue"/>
                  <w:noWrap w:val="0"/>
                  <w:vAlign w:val="center"/>
                </w:tcPr>
                <w:p w14:paraId="6EDDD044">
                  <w:pPr>
                    <w:jc w:val="center"/>
                    <w:rPr>
                      <w:i/>
                      <w:iCs/>
                      <w:u w:val="single"/>
                    </w:rPr>
                  </w:pPr>
                </w:p>
              </w:tc>
            </w:tr>
            <w:tr w14:paraId="6E37CDC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302" w:type="pct"/>
                  <w:noWrap w:val="0"/>
                  <w:vAlign w:val="center"/>
                </w:tcPr>
                <w:p w14:paraId="040C00C9">
                  <w:pPr>
                    <w:jc w:val="center"/>
                    <w:rPr>
                      <w:i/>
                      <w:iCs/>
                      <w:u w:val="single"/>
                    </w:rPr>
                  </w:pPr>
                  <w:r>
                    <w:rPr>
                      <w:rFonts w:hint="eastAsia"/>
                      <w:i/>
                      <w:iCs/>
                      <w:u w:val="single"/>
                    </w:rPr>
                    <w:t>13</w:t>
                  </w:r>
                </w:p>
              </w:tc>
              <w:tc>
                <w:tcPr>
                  <w:tcW w:w="516" w:type="pct"/>
                  <w:vMerge w:val="continue"/>
                  <w:noWrap w:val="0"/>
                  <w:vAlign w:val="center"/>
                </w:tcPr>
                <w:p w14:paraId="7AC74353">
                  <w:pPr>
                    <w:jc w:val="center"/>
                    <w:rPr>
                      <w:i/>
                      <w:iCs/>
                      <w:kern w:val="0"/>
                      <w:szCs w:val="21"/>
                      <w:u w:val="single"/>
                    </w:rPr>
                  </w:pPr>
                </w:p>
              </w:tc>
              <w:tc>
                <w:tcPr>
                  <w:tcW w:w="685" w:type="pct"/>
                  <w:noWrap w:val="0"/>
                  <w:vAlign w:val="center"/>
                </w:tcPr>
                <w:p w14:paraId="69E3560D">
                  <w:pPr>
                    <w:jc w:val="center"/>
                    <w:rPr>
                      <w:rFonts w:hint="eastAsia"/>
                      <w:i/>
                      <w:iCs/>
                      <w:kern w:val="0"/>
                      <w:szCs w:val="21"/>
                      <w:u w:val="single"/>
                    </w:rPr>
                  </w:pPr>
                  <w:r>
                    <w:rPr>
                      <w:rFonts w:hint="eastAsia"/>
                      <w:i/>
                      <w:iCs/>
                      <w:kern w:val="0"/>
                      <w:szCs w:val="21"/>
                      <w:u w:val="single"/>
                    </w:rPr>
                    <w:t>2#风机</w:t>
                  </w:r>
                </w:p>
              </w:tc>
              <w:tc>
                <w:tcPr>
                  <w:tcW w:w="454" w:type="pct"/>
                  <w:noWrap w:val="0"/>
                  <w:vAlign w:val="center"/>
                </w:tcPr>
                <w:p w14:paraId="0B8D511D">
                  <w:pPr>
                    <w:jc w:val="center"/>
                    <w:rPr>
                      <w:rFonts w:hint="eastAsia"/>
                      <w:i/>
                      <w:iCs/>
                      <w:u w:val="single"/>
                    </w:rPr>
                  </w:pPr>
                  <w:r>
                    <w:rPr>
                      <w:rFonts w:hint="eastAsia"/>
                      <w:i/>
                      <w:iCs/>
                      <w:u w:val="single"/>
                    </w:rPr>
                    <w:t>-21.24</w:t>
                  </w:r>
                </w:p>
              </w:tc>
              <w:tc>
                <w:tcPr>
                  <w:tcW w:w="462" w:type="pct"/>
                  <w:noWrap w:val="0"/>
                  <w:vAlign w:val="center"/>
                </w:tcPr>
                <w:p w14:paraId="2A270CAD">
                  <w:pPr>
                    <w:jc w:val="center"/>
                    <w:rPr>
                      <w:rFonts w:hint="eastAsia"/>
                      <w:i/>
                      <w:iCs/>
                      <w:u w:val="single"/>
                    </w:rPr>
                  </w:pPr>
                  <w:r>
                    <w:rPr>
                      <w:rFonts w:hint="eastAsia"/>
                      <w:i/>
                      <w:iCs/>
                      <w:u w:val="single"/>
                    </w:rPr>
                    <w:t>-35.09</w:t>
                  </w:r>
                </w:p>
              </w:tc>
              <w:tc>
                <w:tcPr>
                  <w:tcW w:w="422" w:type="pct"/>
                  <w:noWrap w:val="0"/>
                  <w:vAlign w:val="center"/>
                </w:tcPr>
                <w:p w14:paraId="0C7D1B9A">
                  <w:pPr>
                    <w:jc w:val="center"/>
                    <w:rPr>
                      <w:rFonts w:hint="eastAsia"/>
                      <w:i/>
                      <w:iCs/>
                      <w:u w:val="single"/>
                    </w:rPr>
                  </w:pPr>
                  <w:r>
                    <w:rPr>
                      <w:rFonts w:hint="eastAsia"/>
                      <w:i/>
                      <w:iCs/>
                      <w:u w:val="single"/>
                    </w:rPr>
                    <w:t>1</w:t>
                  </w:r>
                </w:p>
              </w:tc>
              <w:tc>
                <w:tcPr>
                  <w:tcW w:w="1136" w:type="pct"/>
                  <w:noWrap w:val="0"/>
                  <w:vAlign w:val="center"/>
                </w:tcPr>
                <w:p w14:paraId="74D60EA3">
                  <w:pPr>
                    <w:ind w:left="-105" w:leftChars="-50" w:right="-105" w:rightChars="-50"/>
                    <w:jc w:val="center"/>
                    <w:rPr>
                      <w:rFonts w:hint="eastAsia"/>
                      <w:bCs/>
                      <w:i/>
                      <w:iCs/>
                      <w:szCs w:val="21"/>
                      <w:u w:val="single"/>
                    </w:rPr>
                  </w:pPr>
                  <w:r>
                    <w:rPr>
                      <w:rFonts w:hint="eastAsia"/>
                      <w:bCs/>
                      <w:i/>
                      <w:iCs/>
                      <w:szCs w:val="21"/>
                      <w:u w:val="single"/>
                    </w:rPr>
                    <w:t>90</w:t>
                  </w:r>
                </w:p>
              </w:tc>
              <w:tc>
                <w:tcPr>
                  <w:tcW w:w="566" w:type="pct"/>
                  <w:vMerge w:val="continue"/>
                  <w:noWrap w:val="0"/>
                  <w:vAlign w:val="center"/>
                </w:tcPr>
                <w:p w14:paraId="3BBF564A">
                  <w:pPr>
                    <w:jc w:val="center"/>
                    <w:rPr>
                      <w:i/>
                      <w:iCs/>
                      <w:u w:val="single"/>
                    </w:rPr>
                  </w:pPr>
                </w:p>
              </w:tc>
              <w:tc>
                <w:tcPr>
                  <w:tcW w:w="454" w:type="pct"/>
                  <w:vMerge w:val="continue"/>
                  <w:noWrap w:val="0"/>
                  <w:vAlign w:val="center"/>
                </w:tcPr>
                <w:p w14:paraId="34A4CBFD">
                  <w:pPr>
                    <w:jc w:val="center"/>
                    <w:rPr>
                      <w:i/>
                      <w:iCs/>
                      <w:u w:val="single"/>
                    </w:rPr>
                  </w:pPr>
                </w:p>
              </w:tc>
            </w:tr>
            <w:tr w14:paraId="645822B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302" w:type="pct"/>
                  <w:noWrap w:val="0"/>
                  <w:vAlign w:val="center"/>
                </w:tcPr>
                <w:p w14:paraId="3D875072">
                  <w:pPr>
                    <w:jc w:val="center"/>
                    <w:rPr>
                      <w:i/>
                      <w:iCs/>
                      <w:u w:val="single"/>
                    </w:rPr>
                  </w:pPr>
                  <w:r>
                    <w:rPr>
                      <w:rFonts w:hint="eastAsia"/>
                      <w:i/>
                      <w:iCs/>
                      <w:u w:val="single"/>
                    </w:rPr>
                    <w:t>14</w:t>
                  </w:r>
                </w:p>
              </w:tc>
              <w:tc>
                <w:tcPr>
                  <w:tcW w:w="516" w:type="pct"/>
                  <w:vMerge w:val="continue"/>
                  <w:noWrap w:val="0"/>
                  <w:vAlign w:val="center"/>
                </w:tcPr>
                <w:p w14:paraId="24530F03">
                  <w:pPr>
                    <w:jc w:val="center"/>
                    <w:rPr>
                      <w:i/>
                      <w:iCs/>
                      <w:kern w:val="0"/>
                      <w:szCs w:val="21"/>
                      <w:u w:val="single"/>
                    </w:rPr>
                  </w:pPr>
                </w:p>
              </w:tc>
              <w:tc>
                <w:tcPr>
                  <w:tcW w:w="685" w:type="pct"/>
                  <w:noWrap w:val="0"/>
                  <w:vAlign w:val="center"/>
                </w:tcPr>
                <w:p w14:paraId="4E65401B">
                  <w:pPr>
                    <w:jc w:val="center"/>
                    <w:rPr>
                      <w:rFonts w:hint="eastAsia"/>
                      <w:i/>
                      <w:iCs/>
                      <w:kern w:val="0"/>
                      <w:szCs w:val="21"/>
                      <w:u w:val="single"/>
                    </w:rPr>
                  </w:pPr>
                  <w:r>
                    <w:rPr>
                      <w:rFonts w:hint="eastAsia"/>
                      <w:i/>
                      <w:iCs/>
                      <w:kern w:val="0"/>
                      <w:szCs w:val="21"/>
                      <w:u w:val="single"/>
                    </w:rPr>
                    <w:t>3#风机</w:t>
                  </w:r>
                </w:p>
              </w:tc>
              <w:tc>
                <w:tcPr>
                  <w:tcW w:w="454" w:type="pct"/>
                  <w:noWrap w:val="0"/>
                  <w:vAlign w:val="center"/>
                </w:tcPr>
                <w:p w14:paraId="1F642C98">
                  <w:pPr>
                    <w:jc w:val="center"/>
                    <w:rPr>
                      <w:rFonts w:hint="eastAsia"/>
                      <w:i/>
                      <w:iCs/>
                      <w:u w:val="single"/>
                    </w:rPr>
                  </w:pPr>
                  <w:r>
                    <w:rPr>
                      <w:rFonts w:hint="eastAsia"/>
                      <w:i/>
                      <w:iCs/>
                      <w:u w:val="single"/>
                    </w:rPr>
                    <w:t>-48.25</w:t>
                  </w:r>
                </w:p>
              </w:tc>
              <w:tc>
                <w:tcPr>
                  <w:tcW w:w="462" w:type="pct"/>
                  <w:noWrap w:val="0"/>
                  <w:vAlign w:val="center"/>
                </w:tcPr>
                <w:p w14:paraId="2232FB91">
                  <w:pPr>
                    <w:jc w:val="center"/>
                    <w:rPr>
                      <w:rFonts w:hint="eastAsia"/>
                      <w:i/>
                      <w:iCs/>
                      <w:u w:val="single"/>
                    </w:rPr>
                  </w:pPr>
                  <w:r>
                    <w:rPr>
                      <w:rFonts w:hint="eastAsia"/>
                      <w:i/>
                      <w:iCs/>
                      <w:u w:val="single"/>
                    </w:rPr>
                    <w:t>-16.16</w:t>
                  </w:r>
                </w:p>
              </w:tc>
              <w:tc>
                <w:tcPr>
                  <w:tcW w:w="422" w:type="pct"/>
                  <w:noWrap w:val="0"/>
                  <w:vAlign w:val="center"/>
                </w:tcPr>
                <w:p w14:paraId="44FB6FE1">
                  <w:pPr>
                    <w:jc w:val="center"/>
                    <w:rPr>
                      <w:rFonts w:hint="eastAsia"/>
                      <w:i/>
                      <w:iCs/>
                      <w:u w:val="single"/>
                    </w:rPr>
                  </w:pPr>
                  <w:r>
                    <w:rPr>
                      <w:rFonts w:hint="eastAsia"/>
                      <w:i/>
                      <w:iCs/>
                      <w:u w:val="single"/>
                    </w:rPr>
                    <w:t>1</w:t>
                  </w:r>
                </w:p>
              </w:tc>
              <w:tc>
                <w:tcPr>
                  <w:tcW w:w="1136" w:type="pct"/>
                  <w:noWrap w:val="0"/>
                  <w:vAlign w:val="center"/>
                </w:tcPr>
                <w:p w14:paraId="771F7260">
                  <w:pPr>
                    <w:ind w:left="-105" w:leftChars="-50" w:right="-105" w:rightChars="-50"/>
                    <w:jc w:val="center"/>
                    <w:rPr>
                      <w:rFonts w:hint="eastAsia"/>
                      <w:bCs/>
                      <w:i/>
                      <w:iCs/>
                      <w:szCs w:val="21"/>
                      <w:u w:val="single"/>
                    </w:rPr>
                  </w:pPr>
                  <w:r>
                    <w:rPr>
                      <w:rFonts w:hint="eastAsia"/>
                      <w:bCs/>
                      <w:i/>
                      <w:iCs/>
                      <w:szCs w:val="21"/>
                      <w:u w:val="single"/>
                    </w:rPr>
                    <w:t>90</w:t>
                  </w:r>
                </w:p>
              </w:tc>
              <w:tc>
                <w:tcPr>
                  <w:tcW w:w="566" w:type="pct"/>
                  <w:vMerge w:val="continue"/>
                  <w:noWrap w:val="0"/>
                  <w:vAlign w:val="center"/>
                </w:tcPr>
                <w:p w14:paraId="504543DD">
                  <w:pPr>
                    <w:jc w:val="center"/>
                    <w:rPr>
                      <w:i/>
                      <w:iCs/>
                      <w:u w:val="single"/>
                    </w:rPr>
                  </w:pPr>
                </w:p>
              </w:tc>
              <w:tc>
                <w:tcPr>
                  <w:tcW w:w="454" w:type="pct"/>
                  <w:vMerge w:val="continue"/>
                  <w:noWrap w:val="0"/>
                  <w:vAlign w:val="center"/>
                </w:tcPr>
                <w:p w14:paraId="75AE19D0">
                  <w:pPr>
                    <w:jc w:val="center"/>
                    <w:rPr>
                      <w:i/>
                      <w:iCs/>
                      <w:u w:val="single"/>
                    </w:rPr>
                  </w:pPr>
                </w:p>
              </w:tc>
            </w:tr>
          </w:tbl>
          <w:p w14:paraId="5AFDA0CF">
            <w:pPr>
              <w:snapToGrid w:val="0"/>
            </w:pPr>
            <w:r>
              <w:t>注：坐标原点为</w:t>
            </w:r>
            <w:r>
              <w:rPr>
                <w:rFonts w:hint="eastAsia"/>
              </w:rPr>
              <w:t>实验室西北角</w:t>
            </w:r>
          </w:p>
          <w:p w14:paraId="6947D7CB">
            <w:pPr>
              <w:snapToGrid w:val="0"/>
              <w:jc w:val="center"/>
            </w:pPr>
          </w:p>
          <w:p w14:paraId="0D9D03D9">
            <w:pPr>
              <w:snapToGrid w:val="0"/>
              <w:spacing w:line="360" w:lineRule="auto"/>
              <w:ind w:firstLine="480" w:firstLineChars="200"/>
              <w:rPr>
                <w:bCs/>
                <w:iCs/>
                <w:sz w:val="24"/>
              </w:rPr>
            </w:pPr>
            <w:r>
              <w:rPr>
                <w:rFonts w:hint="eastAsia"/>
                <w:bCs/>
                <w:iCs/>
                <w:sz w:val="24"/>
                <w:lang w:val="zh-CN"/>
              </w:rPr>
              <w:t>（</w:t>
            </w:r>
            <w:r>
              <w:rPr>
                <w:rFonts w:hint="eastAsia"/>
                <w:bCs/>
                <w:iCs/>
                <w:sz w:val="24"/>
              </w:rPr>
              <w:t>2</w:t>
            </w:r>
            <w:r>
              <w:rPr>
                <w:rFonts w:hint="eastAsia"/>
                <w:bCs/>
                <w:iCs/>
                <w:sz w:val="24"/>
                <w:lang w:val="zh-CN"/>
              </w:rPr>
              <w:t>）</w:t>
            </w:r>
            <w:r>
              <w:rPr>
                <w:bCs/>
                <w:iCs/>
                <w:sz w:val="24"/>
                <w:lang w:val="zh-CN"/>
              </w:rPr>
              <w:t>预测</w:t>
            </w:r>
            <w:r>
              <w:rPr>
                <w:bCs/>
                <w:iCs/>
                <w:sz w:val="24"/>
              </w:rPr>
              <w:t>模式</w:t>
            </w:r>
          </w:p>
          <w:p w14:paraId="2560D1AB">
            <w:pPr>
              <w:snapToGrid w:val="0"/>
              <w:spacing w:line="360" w:lineRule="auto"/>
              <w:ind w:firstLine="480" w:firstLineChars="200"/>
            </w:pPr>
            <w:r>
              <w:rPr>
                <w:sz w:val="24"/>
              </w:rPr>
              <w:t>根据项目建设内容及《环境影响评价技术导则 声环境》（HJ2.4-2021）的要求，项目环评釆用石家庄环安科技有限公司研发的环安噪声环境影响评价系统。该系统计算工业噪声时采用的模型为《环境影响评价技术导则 声环境》（HJ2.4-2021）附录B（规范性附录）中“B.1工业噪声预测计算模型”。预测项目运营期厂界噪声</w:t>
            </w:r>
            <w:r>
              <w:rPr>
                <w:rFonts w:hint="eastAsia"/>
                <w:sz w:val="24"/>
              </w:rPr>
              <w:t>预测值及环境保护目标预测值</w:t>
            </w:r>
            <w:r>
              <w:rPr>
                <w:sz w:val="24"/>
              </w:rPr>
              <w:t>，评价其超标和达标情况。</w:t>
            </w:r>
          </w:p>
          <w:p w14:paraId="7C77F72E">
            <w:pPr>
              <w:pStyle w:val="10"/>
            </w:pPr>
            <w:r>
              <w:t>厂界噪声预测结果详见下表。</w:t>
            </w:r>
          </w:p>
          <w:p w14:paraId="06B31C48">
            <w:pPr>
              <w:adjustRightInd w:val="0"/>
              <w:snapToGrid w:val="0"/>
              <w:jc w:val="center"/>
              <w:rPr>
                <w:b/>
                <w:bCs/>
                <w:i/>
                <w:iCs/>
                <w:sz w:val="24"/>
                <w:u w:val="single"/>
              </w:rPr>
            </w:pPr>
            <w:r>
              <w:rPr>
                <w:rFonts w:hint="eastAsia"/>
                <w:b/>
                <w:bCs/>
                <w:i/>
                <w:iCs/>
                <w:sz w:val="24"/>
                <w:u w:val="single"/>
              </w:rPr>
              <w:t>表</w:t>
            </w:r>
            <w:r>
              <w:rPr>
                <w:b/>
                <w:bCs/>
                <w:i/>
                <w:iCs/>
                <w:sz w:val="24"/>
                <w:u w:val="single"/>
              </w:rPr>
              <w:t>4-</w:t>
            </w:r>
            <w:r>
              <w:rPr>
                <w:rFonts w:hint="eastAsia"/>
                <w:b/>
                <w:bCs/>
                <w:i/>
                <w:iCs/>
                <w:sz w:val="24"/>
                <w:u w:val="single"/>
                <w:lang w:val="en-US" w:eastAsia="zh-CN"/>
              </w:rPr>
              <w:t>9</w:t>
            </w:r>
            <w:r>
              <w:rPr>
                <w:b/>
                <w:bCs/>
                <w:i/>
                <w:iCs/>
                <w:sz w:val="24"/>
                <w:u w:val="single"/>
              </w:rPr>
              <w:t xml:space="preserve">  厂界噪声预测结果与达标分析表 单位：dB（A）</w:t>
            </w:r>
          </w:p>
          <w:tbl>
            <w:tblPr>
              <w:tblStyle w:val="27"/>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821"/>
              <w:gridCol w:w="2075"/>
              <w:gridCol w:w="2075"/>
              <w:gridCol w:w="2075"/>
              <w:gridCol w:w="1470"/>
            </w:tblGrid>
            <w:tr w14:paraId="63F9625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19" w:hRule="atLeast"/>
                <w:jc w:val="center"/>
              </w:trPr>
              <w:tc>
                <w:tcPr>
                  <w:tcW w:w="957" w:type="pct"/>
                  <w:noWrap w:val="0"/>
                  <w:tcMar>
                    <w:top w:w="15" w:type="dxa"/>
                    <w:left w:w="15" w:type="dxa"/>
                    <w:right w:w="15" w:type="dxa"/>
                  </w:tcMar>
                  <w:vAlign w:val="center"/>
                </w:tcPr>
                <w:p w14:paraId="0C0C7C9B">
                  <w:pPr>
                    <w:widowControl/>
                    <w:jc w:val="center"/>
                    <w:textAlignment w:val="center"/>
                    <w:rPr>
                      <w:i/>
                      <w:iCs/>
                      <w:szCs w:val="21"/>
                      <w:u w:val="single"/>
                    </w:rPr>
                  </w:pPr>
                  <w:r>
                    <w:rPr>
                      <w:rFonts w:hint="eastAsia"/>
                      <w:i/>
                      <w:iCs/>
                      <w:kern w:val="0"/>
                      <w:szCs w:val="21"/>
                      <w:u w:val="single"/>
                      <w:lang w:bidi="ar"/>
                    </w:rPr>
                    <w:t>实验室边</w:t>
                  </w:r>
                  <w:r>
                    <w:rPr>
                      <w:i/>
                      <w:iCs/>
                      <w:kern w:val="0"/>
                      <w:szCs w:val="21"/>
                      <w:u w:val="single"/>
                      <w:lang w:bidi="ar"/>
                    </w:rPr>
                    <w:t>界</w:t>
                  </w:r>
                </w:p>
              </w:tc>
              <w:tc>
                <w:tcPr>
                  <w:tcW w:w="1090" w:type="pct"/>
                  <w:noWrap w:val="0"/>
                  <w:tcMar>
                    <w:top w:w="15" w:type="dxa"/>
                    <w:left w:w="15" w:type="dxa"/>
                    <w:right w:w="15" w:type="dxa"/>
                  </w:tcMar>
                  <w:vAlign w:val="center"/>
                </w:tcPr>
                <w:p w14:paraId="21C85999">
                  <w:pPr>
                    <w:widowControl/>
                    <w:jc w:val="center"/>
                    <w:textAlignment w:val="center"/>
                    <w:rPr>
                      <w:i/>
                      <w:iCs/>
                      <w:szCs w:val="21"/>
                      <w:u w:val="single"/>
                    </w:rPr>
                  </w:pPr>
                  <w:r>
                    <w:rPr>
                      <w:i/>
                      <w:iCs/>
                      <w:kern w:val="0"/>
                      <w:szCs w:val="21"/>
                      <w:u w:val="single"/>
                      <w:lang w:bidi="ar"/>
                    </w:rPr>
                    <w:t>时段</w:t>
                  </w:r>
                </w:p>
              </w:tc>
              <w:tc>
                <w:tcPr>
                  <w:tcW w:w="1090" w:type="pct"/>
                  <w:noWrap w:val="0"/>
                  <w:tcMar>
                    <w:top w:w="15" w:type="dxa"/>
                    <w:left w:w="15" w:type="dxa"/>
                    <w:right w:w="15" w:type="dxa"/>
                  </w:tcMar>
                  <w:vAlign w:val="center"/>
                </w:tcPr>
                <w:p w14:paraId="063FB325">
                  <w:pPr>
                    <w:widowControl/>
                    <w:jc w:val="center"/>
                    <w:textAlignment w:val="center"/>
                    <w:rPr>
                      <w:i/>
                      <w:iCs/>
                      <w:szCs w:val="21"/>
                      <w:u w:val="single"/>
                    </w:rPr>
                  </w:pPr>
                  <w:r>
                    <w:rPr>
                      <w:i/>
                      <w:iCs/>
                      <w:kern w:val="0"/>
                      <w:szCs w:val="21"/>
                      <w:u w:val="single"/>
                      <w:lang w:bidi="ar"/>
                    </w:rPr>
                    <w:t>贡献值</w:t>
                  </w:r>
                </w:p>
              </w:tc>
              <w:tc>
                <w:tcPr>
                  <w:tcW w:w="1090" w:type="pct"/>
                  <w:noWrap w:val="0"/>
                  <w:tcMar>
                    <w:top w:w="15" w:type="dxa"/>
                    <w:left w:w="15" w:type="dxa"/>
                    <w:right w:w="15" w:type="dxa"/>
                  </w:tcMar>
                  <w:vAlign w:val="center"/>
                </w:tcPr>
                <w:p w14:paraId="686FA4E8">
                  <w:pPr>
                    <w:widowControl/>
                    <w:jc w:val="center"/>
                    <w:textAlignment w:val="center"/>
                    <w:rPr>
                      <w:i/>
                      <w:iCs/>
                      <w:szCs w:val="21"/>
                      <w:u w:val="single"/>
                    </w:rPr>
                  </w:pPr>
                  <w:r>
                    <w:rPr>
                      <w:i/>
                      <w:iCs/>
                      <w:kern w:val="0"/>
                      <w:szCs w:val="21"/>
                      <w:u w:val="single"/>
                      <w:lang w:bidi="ar"/>
                    </w:rPr>
                    <w:t>标准值</w:t>
                  </w:r>
                </w:p>
              </w:tc>
              <w:tc>
                <w:tcPr>
                  <w:tcW w:w="772" w:type="pct"/>
                  <w:noWrap w:val="0"/>
                  <w:tcMar>
                    <w:top w:w="15" w:type="dxa"/>
                    <w:left w:w="15" w:type="dxa"/>
                    <w:right w:w="15" w:type="dxa"/>
                  </w:tcMar>
                  <w:vAlign w:val="center"/>
                </w:tcPr>
                <w:p w14:paraId="6206961C">
                  <w:pPr>
                    <w:widowControl/>
                    <w:jc w:val="center"/>
                    <w:textAlignment w:val="center"/>
                    <w:rPr>
                      <w:i/>
                      <w:iCs/>
                      <w:szCs w:val="21"/>
                      <w:u w:val="single"/>
                    </w:rPr>
                  </w:pPr>
                  <w:r>
                    <w:rPr>
                      <w:i/>
                      <w:iCs/>
                      <w:kern w:val="0"/>
                      <w:szCs w:val="21"/>
                      <w:u w:val="single"/>
                      <w:lang w:bidi="ar"/>
                    </w:rPr>
                    <w:t>结论</w:t>
                  </w:r>
                </w:p>
              </w:tc>
            </w:tr>
            <w:tr w14:paraId="70B945B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94" w:hRule="atLeast"/>
                <w:jc w:val="center"/>
              </w:trPr>
              <w:tc>
                <w:tcPr>
                  <w:tcW w:w="957" w:type="pct"/>
                  <w:noWrap w:val="0"/>
                  <w:tcMar>
                    <w:top w:w="15" w:type="dxa"/>
                    <w:left w:w="15" w:type="dxa"/>
                    <w:right w:w="15" w:type="dxa"/>
                  </w:tcMar>
                  <w:vAlign w:val="center"/>
                </w:tcPr>
                <w:p w14:paraId="097F9750">
                  <w:pPr>
                    <w:widowControl/>
                    <w:jc w:val="center"/>
                    <w:textAlignment w:val="center"/>
                    <w:rPr>
                      <w:i/>
                      <w:iCs/>
                      <w:szCs w:val="21"/>
                      <w:u w:val="single"/>
                    </w:rPr>
                  </w:pPr>
                  <w:r>
                    <w:rPr>
                      <w:rFonts w:hint="eastAsia"/>
                      <w:i/>
                      <w:iCs/>
                      <w:kern w:val="0"/>
                      <w:szCs w:val="21"/>
                      <w:u w:val="single"/>
                      <w:lang w:bidi="ar"/>
                    </w:rPr>
                    <w:t>东侧边</w:t>
                  </w:r>
                  <w:r>
                    <w:rPr>
                      <w:i/>
                      <w:iCs/>
                      <w:kern w:val="0"/>
                      <w:szCs w:val="21"/>
                      <w:u w:val="single"/>
                      <w:lang w:bidi="ar"/>
                    </w:rPr>
                    <w:t>界</w:t>
                  </w:r>
                </w:p>
              </w:tc>
              <w:tc>
                <w:tcPr>
                  <w:tcW w:w="1090" w:type="pct"/>
                  <w:noWrap w:val="0"/>
                  <w:tcMar>
                    <w:top w:w="15" w:type="dxa"/>
                    <w:left w:w="15" w:type="dxa"/>
                    <w:right w:w="15" w:type="dxa"/>
                  </w:tcMar>
                  <w:vAlign w:val="center"/>
                </w:tcPr>
                <w:p w14:paraId="17687BEA">
                  <w:pPr>
                    <w:widowControl/>
                    <w:jc w:val="center"/>
                    <w:textAlignment w:val="center"/>
                    <w:rPr>
                      <w:i/>
                      <w:iCs/>
                      <w:szCs w:val="21"/>
                      <w:u w:val="single"/>
                    </w:rPr>
                  </w:pPr>
                  <w:r>
                    <w:rPr>
                      <w:i/>
                      <w:iCs/>
                      <w:kern w:val="0"/>
                      <w:szCs w:val="21"/>
                      <w:u w:val="single"/>
                      <w:lang w:bidi="ar"/>
                    </w:rPr>
                    <w:t>昼间</w:t>
                  </w:r>
                </w:p>
              </w:tc>
              <w:tc>
                <w:tcPr>
                  <w:tcW w:w="1090" w:type="pct"/>
                  <w:noWrap w:val="0"/>
                  <w:tcMar>
                    <w:top w:w="15" w:type="dxa"/>
                    <w:left w:w="15" w:type="dxa"/>
                    <w:right w:w="15" w:type="dxa"/>
                  </w:tcMar>
                  <w:vAlign w:val="center"/>
                </w:tcPr>
                <w:p w14:paraId="38AE6F21">
                  <w:pPr>
                    <w:widowControl/>
                    <w:jc w:val="center"/>
                    <w:textAlignment w:val="center"/>
                    <w:rPr>
                      <w:i/>
                      <w:iCs/>
                      <w:u w:val="single"/>
                    </w:rPr>
                  </w:pPr>
                  <w:r>
                    <w:rPr>
                      <w:rFonts w:hint="eastAsia"/>
                      <w:i/>
                      <w:iCs/>
                      <w:u w:val="single"/>
                    </w:rPr>
                    <w:t>16.5-45.24</w:t>
                  </w:r>
                </w:p>
              </w:tc>
              <w:tc>
                <w:tcPr>
                  <w:tcW w:w="1090" w:type="pct"/>
                  <w:noWrap w:val="0"/>
                  <w:tcMar>
                    <w:top w:w="15" w:type="dxa"/>
                    <w:left w:w="15" w:type="dxa"/>
                    <w:right w:w="15" w:type="dxa"/>
                  </w:tcMar>
                  <w:vAlign w:val="center"/>
                </w:tcPr>
                <w:p w14:paraId="76888DA2">
                  <w:pPr>
                    <w:widowControl/>
                    <w:jc w:val="center"/>
                    <w:textAlignment w:val="center"/>
                    <w:rPr>
                      <w:i/>
                      <w:iCs/>
                      <w:szCs w:val="21"/>
                      <w:u w:val="single"/>
                    </w:rPr>
                  </w:pPr>
                  <w:r>
                    <w:rPr>
                      <w:rFonts w:hint="eastAsia"/>
                      <w:i/>
                      <w:iCs/>
                      <w:kern w:val="0"/>
                      <w:szCs w:val="21"/>
                      <w:u w:val="single"/>
                      <w:lang w:bidi="ar"/>
                    </w:rPr>
                    <w:t>65</w:t>
                  </w:r>
                </w:p>
              </w:tc>
              <w:tc>
                <w:tcPr>
                  <w:tcW w:w="772" w:type="pct"/>
                  <w:noWrap w:val="0"/>
                  <w:tcMar>
                    <w:top w:w="15" w:type="dxa"/>
                    <w:left w:w="15" w:type="dxa"/>
                    <w:right w:w="15" w:type="dxa"/>
                  </w:tcMar>
                  <w:vAlign w:val="center"/>
                </w:tcPr>
                <w:p w14:paraId="62E77E49">
                  <w:pPr>
                    <w:widowControl/>
                    <w:jc w:val="center"/>
                    <w:textAlignment w:val="center"/>
                    <w:rPr>
                      <w:i/>
                      <w:iCs/>
                      <w:szCs w:val="21"/>
                      <w:u w:val="single"/>
                    </w:rPr>
                  </w:pPr>
                  <w:r>
                    <w:rPr>
                      <w:i/>
                      <w:iCs/>
                      <w:kern w:val="0"/>
                      <w:szCs w:val="21"/>
                      <w:u w:val="single"/>
                      <w:lang w:bidi="ar"/>
                    </w:rPr>
                    <w:t>达标</w:t>
                  </w:r>
                </w:p>
              </w:tc>
            </w:tr>
            <w:tr w14:paraId="5DA19C2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94" w:hRule="atLeast"/>
                <w:jc w:val="center"/>
              </w:trPr>
              <w:tc>
                <w:tcPr>
                  <w:tcW w:w="957" w:type="pct"/>
                  <w:noWrap w:val="0"/>
                  <w:tcMar>
                    <w:top w:w="15" w:type="dxa"/>
                    <w:left w:w="15" w:type="dxa"/>
                    <w:right w:w="15" w:type="dxa"/>
                  </w:tcMar>
                  <w:vAlign w:val="center"/>
                </w:tcPr>
                <w:p w14:paraId="226C0E4D">
                  <w:pPr>
                    <w:widowControl/>
                    <w:jc w:val="center"/>
                    <w:textAlignment w:val="center"/>
                    <w:rPr>
                      <w:i/>
                      <w:iCs/>
                      <w:szCs w:val="21"/>
                      <w:u w:val="single"/>
                    </w:rPr>
                  </w:pPr>
                  <w:r>
                    <w:rPr>
                      <w:rFonts w:hint="eastAsia"/>
                      <w:i/>
                      <w:iCs/>
                      <w:szCs w:val="21"/>
                      <w:u w:val="single"/>
                    </w:rPr>
                    <w:t>南侧</w:t>
                  </w:r>
                  <w:r>
                    <w:rPr>
                      <w:rFonts w:hint="eastAsia"/>
                      <w:i/>
                      <w:iCs/>
                      <w:kern w:val="0"/>
                      <w:szCs w:val="21"/>
                      <w:u w:val="single"/>
                      <w:lang w:bidi="ar"/>
                    </w:rPr>
                    <w:t>边</w:t>
                  </w:r>
                  <w:r>
                    <w:rPr>
                      <w:i/>
                      <w:iCs/>
                      <w:kern w:val="0"/>
                      <w:szCs w:val="21"/>
                      <w:u w:val="single"/>
                      <w:lang w:bidi="ar"/>
                    </w:rPr>
                    <w:t>界</w:t>
                  </w:r>
                </w:p>
              </w:tc>
              <w:tc>
                <w:tcPr>
                  <w:tcW w:w="1090" w:type="pct"/>
                  <w:noWrap w:val="0"/>
                  <w:tcMar>
                    <w:top w:w="15" w:type="dxa"/>
                    <w:left w:w="15" w:type="dxa"/>
                    <w:right w:w="15" w:type="dxa"/>
                  </w:tcMar>
                  <w:vAlign w:val="center"/>
                </w:tcPr>
                <w:p w14:paraId="17B07746">
                  <w:pPr>
                    <w:widowControl/>
                    <w:jc w:val="center"/>
                    <w:textAlignment w:val="center"/>
                    <w:rPr>
                      <w:i/>
                      <w:iCs/>
                      <w:szCs w:val="21"/>
                      <w:u w:val="single"/>
                    </w:rPr>
                  </w:pPr>
                  <w:r>
                    <w:rPr>
                      <w:i/>
                      <w:iCs/>
                      <w:kern w:val="0"/>
                      <w:szCs w:val="21"/>
                      <w:u w:val="single"/>
                      <w:lang w:bidi="ar"/>
                    </w:rPr>
                    <w:t>昼间</w:t>
                  </w:r>
                </w:p>
              </w:tc>
              <w:tc>
                <w:tcPr>
                  <w:tcW w:w="1090" w:type="pct"/>
                  <w:noWrap w:val="0"/>
                  <w:tcMar>
                    <w:top w:w="15" w:type="dxa"/>
                    <w:left w:w="15" w:type="dxa"/>
                    <w:right w:w="15" w:type="dxa"/>
                  </w:tcMar>
                  <w:vAlign w:val="center"/>
                </w:tcPr>
                <w:p w14:paraId="0721BEBE">
                  <w:pPr>
                    <w:widowControl/>
                    <w:jc w:val="center"/>
                    <w:textAlignment w:val="center"/>
                    <w:rPr>
                      <w:i/>
                      <w:iCs/>
                      <w:highlight w:val="none"/>
                      <w:u w:val="single"/>
                    </w:rPr>
                  </w:pPr>
                  <w:r>
                    <w:rPr>
                      <w:rFonts w:hint="eastAsia"/>
                      <w:i/>
                      <w:iCs/>
                      <w:highlight w:val="none"/>
                      <w:u w:val="single"/>
                    </w:rPr>
                    <w:t>45.23-60.29</w:t>
                  </w:r>
                </w:p>
              </w:tc>
              <w:tc>
                <w:tcPr>
                  <w:tcW w:w="1090" w:type="pct"/>
                  <w:noWrap w:val="0"/>
                  <w:tcMar>
                    <w:top w:w="15" w:type="dxa"/>
                    <w:left w:w="15" w:type="dxa"/>
                    <w:right w:w="15" w:type="dxa"/>
                  </w:tcMar>
                  <w:vAlign w:val="center"/>
                </w:tcPr>
                <w:p w14:paraId="72A47AA3">
                  <w:pPr>
                    <w:widowControl/>
                    <w:jc w:val="center"/>
                    <w:textAlignment w:val="center"/>
                    <w:rPr>
                      <w:i/>
                      <w:iCs/>
                      <w:szCs w:val="21"/>
                      <w:u w:val="single"/>
                    </w:rPr>
                  </w:pPr>
                  <w:r>
                    <w:rPr>
                      <w:rFonts w:hint="eastAsia"/>
                      <w:i/>
                      <w:iCs/>
                      <w:kern w:val="0"/>
                      <w:szCs w:val="21"/>
                      <w:u w:val="single"/>
                      <w:lang w:bidi="ar"/>
                    </w:rPr>
                    <w:t>65</w:t>
                  </w:r>
                </w:p>
              </w:tc>
              <w:tc>
                <w:tcPr>
                  <w:tcW w:w="772" w:type="pct"/>
                  <w:noWrap w:val="0"/>
                  <w:tcMar>
                    <w:top w:w="15" w:type="dxa"/>
                    <w:left w:w="15" w:type="dxa"/>
                    <w:right w:w="15" w:type="dxa"/>
                  </w:tcMar>
                  <w:vAlign w:val="center"/>
                </w:tcPr>
                <w:p w14:paraId="297A20CB">
                  <w:pPr>
                    <w:widowControl/>
                    <w:jc w:val="center"/>
                    <w:textAlignment w:val="center"/>
                    <w:rPr>
                      <w:i/>
                      <w:iCs/>
                      <w:szCs w:val="21"/>
                      <w:u w:val="single"/>
                    </w:rPr>
                  </w:pPr>
                  <w:r>
                    <w:rPr>
                      <w:i/>
                      <w:iCs/>
                      <w:kern w:val="0"/>
                      <w:szCs w:val="21"/>
                      <w:u w:val="single"/>
                      <w:lang w:bidi="ar"/>
                    </w:rPr>
                    <w:t>达标</w:t>
                  </w:r>
                </w:p>
              </w:tc>
            </w:tr>
            <w:tr w14:paraId="59FBB27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957" w:type="pct"/>
                  <w:noWrap w:val="0"/>
                  <w:tcMar>
                    <w:top w:w="15" w:type="dxa"/>
                    <w:left w:w="15" w:type="dxa"/>
                    <w:right w:w="15" w:type="dxa"/>
                  </w:tcMar>
                  <w:vAlign w:val="center"/>
                </w:tcPr>
                <w:p w14:paraId="0DC822DD">
                  <w:pPr>
                    <w:widowControl/>
                    <w:jc w:val="center"/>
                    <w:textAlignment w:val="center"/>
                    <w:rPr>
                      <w:i/>
                      <w:iCs/>
                      <w:szCs w:val="21"/>
                      <w:u w:val="single"/>
                    </w:rPr>
                  </w:pPr>
                  <w:r>
                    <w:rPr>
                      <w:rFonts w:hint="eastAsia"/>
                      <w:i/>
                      <w:iCs/>
                      <w:kern w:val="0"/>
                      <w:szCs w:val="21"/>
                      <w:u w:val="single"/>
                      <w:lang w:bidi="ar"/>
                    </w:rPr>
                    <w:t>西侧边</w:t>
                  </w:r>
                  <w:r>
                    <w:rPr>
                      <w:i/>
                      <w:iCs/>
                      <w:kern w:val="0"/>
                      <w:szCs w:val="21"/>
                      <w:u w:val="single"/>
                      <w:lang w:bidi="ar"/>
                    </w:rPr>
                    <w:t>界</w:t>
                  </w:r>
                </w:p>
              </w:tc>
              <w:tc>
                <w:tcPr>
                  <w:tcW w:w="1090" w:type="pct"/>
                  <w:noWrap w:val="0"/>
                  <w:tcMar>
                    <w:top w:w="15" w:type="dxa"/>
                    <w:left w:w="15" w:type="dxa"/>
                    <w:right w:w="15" w:type="dxa"/>
                  </w:tcMar>
                  <w:vAlign w:val="center"/>
                </w:tcPr>
                <w:p w14:paraId="45D7C740">
                  <w:pPr>
                    <w:widowControl/>
                    <w:jc w:val="center"/>
                    <w:textAlignment w:val="center"/>
                    <w:rPr>
                      <w:i/>
                      <w:iCs/>
                      <w:szCs w:val="21"/>
                      <w:u w:val="single"/>
                    </w:rPr>
                  </w:pPr>
                  <w:r>
                    <w:rPr>
                      <w:i/>
                      <w:iCs/>
                      <w:kern w:val="0"/>
                      <w:szCs w:val="21"/>
                      <w:u w:val="single"/>
                      <w:lang w:bidi="ar"/>
                    </w:rPr>
                    <w:t>昼间</w:t>
                  </w:r>
                </w:p>
              </w:tc>
              <w:tc>
                <w:tcPr>
                  <w:tcW w:w="1090" w:type="pct"/>
                  <w:noWrap w:val="0"/>
                  <w:tcMar>
                    <w:top w:w="15" w:type="dxa"/>
                    <w:left w:w="15" w:type="dxa"/>
                    <w:right w:w="15" w:type="dxa"/>
                  </w:tcMar>
                  <w:vAlign w:val="center"/>
                </w:tcPr>
                <w:p w14:paraId="0F2A732D">
                  <w:pPr>
                    <w:widowControl/>
                    <w:jc w:val="center"/>
                    <w:textAlignment w:val="center"/>
                    <w:rPr>
                      <w:i/>
                      <w:iCs/>
                      <w:highlight w:val="none"/>
                      <w:u w:val="single"/>
                    </w:rPr>
                  </w:pPr>
                  <w:r>
                    <w:rPr>
                      <w:rFonts w:hint="eastAsia"/>
                      <w:i/>
                      <w:iCs/>
                      <w:highlight w:val="none"/>
                      <w:u w:val="single"/>
                    </w:rPr>
                    <w:t>36.11-58.99</w:t>
                  </w:r>
                </w:p>
              </w:tc>
              <w:tc>
                <w:tcPr>
                  <w:tcW w:w="1090" w:type="pct"/>
                  <w:noWrap w:val="0"/>
                  <w:tcMar>
                    <w:top w:w="15" w:type="dxa"/>
                    <w:left w:w="15" w:type="dxa"/>
                    <w:right w:w="15" w:type="dxa"/>
                  </w:tcMar>
                  <w:vAlign w:val="center"/>
                </w:tcPr>
                <w:p w14:paraId="3FFE222E">
                  <w:pPr>
                    <w:widowControl/>
                    <w:jc w:val="center"/>
                    <w:textAlignment w:val="center"/>
                    <w:rPr>
                      <w:i/>
                      <w:iCs/>
                      <w:szCs w:val="21"/>
                      <w:u w:val="single"/>
                    </w:rPr>
                  </w:pPr>
                  <w:r>
                    <w:rPr>
                      <w:rFonts w:hint="eastAsia"/>
                      <w:i/>
                      <w:iCs/>
                      <w:kern w:val="0"/>
                      <w:szCs w:val="21"/>
                      <w:u w:val="single"/>
                      <w:lang w:bidi="ar"/>
                    </w:rPr>
                    <w:t>65</w:t>
                  </w:r>
                </w:p>
              </w:tc>
              <w:tc>
                <w:tcPr>
                  <w:tcW w:w="772" w:type="pct"/>
                  <w:noWrap w:val="0"/>
                  <w:tcMar>
                    <w:top w:w="15" w:type="dxa"/>
                    <w:left w:w="15" w:type="dxa"/>
                    <w:right w:w="15" w:type="dxa"/>
                  </w:tcMar>
                  <w:vAlign w:val="center"/>
                </w:tcPr>
                <w:p w14:paraId="2F53E954">
                  <w:pPr>
                    <w:widowControl/>
                    <w:jc w:val="center"/>
                    <w:textAlignment w:val="center"/>
                    <w:rPr>
                      <w:i/>
                      <w:iCs/>
                      <w:szCs w:val="21"/>
                      <w:u w:val="single"/>
                    </w:rPr>
                  </w:pPr>
                  <w:r>
                    <w:rPr>
                      <w:i/>
                      <w:iCs/>
                      <w:kern w:val="0"/>
                      <w:szCs w:val="21"/>
                      <w:u w:val="single"/>
                      <w:lang w:bidi="ar"/>
                    </w:rPr>
                    <w:t>达标</w:t>
                  </w:r>
                </w:p>
              </w:tc>
            </w:tr>
            <w:tr w14:paraId="2647C77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94" w:hRule="atLeast"/>
                <w:jc w:val="center"/>
              </w:trPr>
              <w:tc>
                <w:tcPr>
                  <w:tcW w:w="957" w:type="pct"/>
                  <w:noWrap w:val="0"/>
                  <w:tcMar>
                    <w:top w:w="15" w:type="dxa"/>
                    <w:left w:w="15" w:type="dxa"/>
                    <w:right w:w="15" w:type="dxa"/>
                  </w:tcMar>
                  <w:vAlign w:val="center"/>
                </w:tcPr>
                <w:p w14:paraId="573D196C">
                  <w:pPr>
                    <w:widowControl/>
                    <w:jc w:val="center"/>
                    <w:textAlignment w:val="center"/>
                    <w:rPr>
                      <w:i/>
                      <w:iCs/>
                      <w:szCs w:val="21"/>
                      <w:u w:val="single"/>
                    </w:rPr>
                  </w:pPr>
                  <w:r>
                    <w:rPr>
                      <w:rFonts w:hint="eastAsia"/>
                      <w:i/>
                      <w:iCs/>
                      <w:kern w:val="0"/>
                      <w:szCs w:val="21"/>
                      <w:u w:val="single"/>
                      <w:lang w:bidi="ar"/>
                    </w:rPr>
                    <w:t>北侧边</w:t>
                  </w:r>
                  <w:r>
                    <w:rPr>
                      <w:i/>
                      <w:iCs/>
                      <w:kern w:val="0"/>
                      <w:szCs w:val="21"/>
                      <w:u w:val="single"/>
                      <w:lang w:bidi="ar"/>
                    </w:rPr>
                    <w:t>界</w:t>
                  </w:r>
                </w:p>
              </w:tc>
              <w:tc>
                <w:tcPr>
                  <w:tcW w:w="1090" w:type="pct"/>
                  <w:noWrap w:val="0"/>
                  <w:tcMar>
                    <w:top w:w="15" w:type="dxa"/>
                    <w:left w:w="15" w:type="dxa"/>
                    <w:right w:w="15" w:type="dxa"/>
                  </w:tcMar>
                  <w:vAlign w:val="center"/>
                </w:tcPr>
                <w:p w14:paraId="3E418F4E">
                  <w:pPr>
                    <w:widowControl/>
                    <w:jc w:val="center"/>
                    <w:textAlignment w:val="center"/>
                    <w:rPr>
                      <w:i/>
                      <w:iCs/>
                      <w:szCs w:val="21"/>
                      <w:u w:val="single"/>
                    </w:rPr>
                  </w:pPr>
                  <w:r>
                    <w:rPr>
                      <w:i/>
                      <w:iCs/>
                      <w:kern w:val="0"/>
                      <w:szCs w:val="21"/>
                      <w:u w:val="single"/>
                      <w:lang w:bidi="ar"/>
                    </w:rPr>
                    <w:t>昼间</w:t>
                  </w:r>
                </w:p>
              </w:tc>
              <w:tc>
                <w:tcPr>
                  <w:tcW w:w="1090" w:type="pct"/>
                  <w:noWrap w:val="0"/>
                  <w:tcMar>
                    <w:top w:w="15" w:type="dxa"/>
                    <w:left w:w="15" w:type="dxa"/>
                    <w:right w:w="15" w:type="dxa"/>
                  </w:tcMar>
                  <w:vAlign w:val="center"/>
                </w:tcPr>
                <w:p w14:paraId="4A7196D6">
                  <w:pPr>
                    <w:widowControl/>
                    <w:jc w:val="center"/>
                    <w:textAlignment w:val="center"/>
                    <w:rPr>
                      <w:i/>
                      <w:iCs/>
                      <w:u w:val="single"/>
                    </w:rPr>
                  </w:pPr>
                  <w:r>
                    <w:rPr>
                      <w:rFonts w:hint="eastAsia"/>
                      <w:i/>
                      <w:iCs/>
                      <w:u w:val="single"/>
                    </w:rPr>
                    <w:t>16.51-36.12</w:t>
                  </w:r>
                </w:p>
              </w:tc>
              <w:tc>
                <w:tcPr>
                  <w:tcW w:w="1090" w:type="pct"/>
                  <w:noWrap w:val="0"/>
                  <w:tcMar>
                    <w:top w:w="15" w:type="dxa"/>
                    <w:left w:w="15" w:type="dxa"/>
                    <w:right w:w="15" w:type="dxa"/>
                  </w:tcMar>
                  <w:vAlign w:val="center"/>
                </w:tcPr>
                <w:p w14:paraId="6A9FB96B">
                  <w:pPr>
                    <w:widowControl/>
                    <w:jc w:val="center"/>
                    <w:textAlignment w:val="center"/>
                    <w:rPr>
                      <w:i/>
                      <w:iCs/>
                      <w:szCs w:val="21"/>
                      <w:u w:val="single"/>
                    </w:rPr>
                  </w:pPr>
                  <w:r>
                    <w:rPr>
                      <w:rFonts w:hint="eastAsia"/>
                      <w:i/>
                      <w:iCs/>
                      <w:kern w:val="0"/>
                      <w:szCs w:val="21"/>
                      <w:u w:val="single"/>
                      <w:lang w:bidi="ar"/>
                    </w:rPr>
                    <w:t>65</w:t>
                  </w:r>
                </w:p>
              </w:tc>
              <w:tc>
                <w:tcPr>
                  <w:tcW w:w="772" w:type="pct"/>
                  <w:noWrap w:val="0"/>
                  <w:tcMar>
                    <w:top w:w="15" w:type="dxa"/>
                    <w:left w:w="15" w:type="dxa"/>
                    <w:right w:w="15" w:type="dxa"/>
                  </w:tcMar>
                  <w:vAlign w:val="center"/>
                </w:tcPr>
                <w:p w14:paraId="540DBB65">
                  <w:pPr>
                    <w:widowControl/>
                    <w:jc w:val="center"/>
                    <w:textAlignment w:val="center"/>
                    <w:rPr>
                      <w:i/>
                      <w:iCs/>
                      <w:szCs w:val="21"/>
                      <w:u w:val="single"/>
                    </w:rPr>
                  </w:pPr>
                  <w:r>
                    <w:rPr>
                      <w:i/>
                      <w:iCs/>
                      <w:kern w:val="0"/>
                      <w:szCs w:val="21"/>
                      <w:u w:val="single"/>
                      <w:lang w:bidi="ar"/>
                    </w:rPr>
                    <w:t>达标</w:t>
                  </w:r>
                </w:p>
              </w:tc>
            </w:tr>
          </w:tbl>
          <w:p w14:paraId="70CC3B87">
            <w:pPr>
              <w:adjustRightInd w:val="0"/>
              <w:snapToGrid w:val="0"/>
              <w:spacing w:line="360" w:lineRule="auto"/>
              <w:ind w:firstLine="480" w:firstLineChars="200"/>
              <w:rPr>
                <w:sz w:val="24"/>
              </w:rPr>
            </w:pPr>
          </w:p>
          <w:p w14:paraId="15EDBF96">
            <w:pPr>
              <w:adjustRightInd w:val="0"/>
              <w:snapToGrid w:val="0"/>
              <w:spacing w:line="360" w:lineRule="auto"/>
              <w:ind w:firstLine="480" w:firstLineChars="200"/>
              <w:rPr>
                <w:sz w:val="24"/>
              </w:rPr>
            </w:pPr>
            <w:r>
              <w:rPr>
                <w:sz w:val="24"/>
              </w:rPr>
              <w:t>根据预测</w:t>
            </w:r>
            <w:r>
              <w:rPr>
                <w:rFonts w:hint="eastAsia"/>
                <w:sz w:val="24"/>
              </w:rPr>
              <w:t>结果</w:t>
            </w:r>
            <w:r>
              <w:rPr>
                <w:sz w:val="24"/>
              </w:rPr>
              <w:t>可知，运行期厂界四周昼间</w:t>
            </w:r>
            <w:r>
              <w:rPr>
                <w:rFonts w:hint="eastAsia"/>
                <w:sz w:val="24"/>
              </w:rPr>
              <w:t>、夜间</w:t>
            </w:r>
            <w:r>
              <w:rPr>
                <w:sz w:val="24"/>
              </w:rPr>
              <w:t>噪声贡献值满足《工业企业厂界环境噪声排放标准》（GB12348-2008）中</w:t>
            </w:r>
            <w:r>
              <w:rPr>
                <w:rFonts w:hint="eastAsia"/>
                <w:sz w:val="24"/>
              </w:rPr>
              <w:t>3</w:t>
            </w:r>
            <w:r>
              <w:rPr>
                <w:sz w:val="24"/>
              </w:rPr>
              <w:t>类标准限值。</w:t>
            </w:r>
          </w:p>
          <w:p w14:paraId="41429C74">
            <w:pPr>
              <w:adjustRightInd w:val="0"/>
              <w:snapToGrid w:val="0"/>
              <w:spacing w:line="360" w:lineRule="auto"/>
              <w:ind w:firstLine="482" w:firstLineChars="200"/>
              <w:rPr>
                <w:b/>
                <w:sz w:val="24"/>
              </w:rPr>
            </w:pPr>
            <w:r>
              <w:rPr>
                <w:b/>
                <w:sz w:val="24"/>
              </w:rPr>
              <w:t>3.4监测计划</w:t>
            </w:r>
          </w:p>
          <w:p w14:paraId="40833172">
            <w:pPr>
              <w:spacing w:line="360" w:lineRule="auto"/>
              <w:ind w:firstLine="480" w:firstLineChars="200"/>
            </w:pPr>
            <w:r>
              <w:rPr>
                <w:rFonts w:hint="eastAsia"/>
                <w:sz w:val="24"/>
                <w:szCs w:val="32"/>
              </w:rPr>
              <w:t>根据《固定污染源排污许可分类管理名录(2019年版)》(生态环境部第11号)》，本项目无需办理排污许可，原则不开展监测计划，若后期生态环境部门提出要求，按其要求进行监测。</w:t>
            </w:r>
          </w:p>
          <w:p w14:paraId="18FB009A">
            <w:pPr>
              <w:pStyle w:val="98"/>
              <w:snapToGrid w:val="0"/>
              <w:spacing w:beforeLines="0" w:afterLines="0" w:line="360" w:lineRule="auto"/>
              <w:ind w:firstLine="482" w:firstLineChars="200"/>
              <w:jc w:val="both"/>
              <w:rPr>
                <w:rFonts w:eastAsia="宋体"/>
                <w:b/>
                <w:bCs/>
              </w:rPr>
            </w:pPr>
            <w:r>
              <w:rPr>
                <w:rFonts w:eastAsia="宋体"/>
                <w:b/>
                <w:bCs/>
              </w:rPr>
              <w:t>4、固体废物</w:t>
            </w:r>
          </w:p>
          <w:p w14:paraId="6145D544">
            <w:pPr>
              <w:pStyle w:val="98"/>
              <w:snapToGrid w:val="0"/>
              <w:spacing w:beforeLines="0" w:afterLines="0" w:line="360" w:lineRule="auto"/>
              <w:ind w:firstLine="482" w:firstLineChars="200"/>
              <w:jc w:val="both"/>
              <w:rPr>
                <w:rFonts w:eastAsia="宋体"/>
                <w:b/>
                <w:bCs/>
              </w:rPr>
            </w:pPr>
            <w:bookmarkStart w:id="10" w:name="_Hlk77175712"/>
            <w:r>
              <w:rPr>
                <w:rFonts w:eastAsia="宋体"/>
                <w:b/>
                <w:bCs/>
              </w:rPr>
              <w:t>4.1 固体废物产生及处置情况</w:t>
            </w:r>
          </w:p>
          <w:p w14:paraId="56A78E16">
            <w:pPr>
              <w:pStyle w:val="98"/>
              <w:snapToGrid w:val="0"/>
              <w:spacing w:beforeLines="0" w:afterLines="0" w:line="360" w:lineRule="auto"/>
              <w:ind w:firstLine="480" w:firstLineChars="200"/>
              <w:jc w:val="both"/>
              <w:rPr>
                <w:rFonts w:eastAsia="宋体"/>
              </w:rPr>
            </w:pPr>
            <w:r>
              <w:rPr>
                <w:rFonts w:eastAsia="宋体"/>
              </w:rPr>
              <w:t>本项目生产过程中会产生职工生活垃圾、</w:t>
            </w:r>
            <w:r>
              <w:rPr>
                <w:rFonts w:hint="eastAsia" w:eastAsia="宋体"/>
              </w:rPr>
              <w:t>废磨料、漆渣、废滤筒、滤筒收集粉尘、</w:t>
            </w:r>
            <w:r>
              <w:rPr>
                <w:rFonts w:hint="eastAsia" w:eastAsia="宋体"/>
                <w:lang w:eastAsia="zh-CN"/>
              </w:rPr>
              <w:t>过滤杂质、</w:t>
            </w:r>
            <w:r>
              <w:rPr>
                <w:rFonts w:hint="eastAsia" w:eastAsia="宋体"/>
                <w:lang w:val="zh-CN"/>
              </w:rPr>
              <w:t>废活性炭及废过滤棉、</w:t>
            </w:r>
            <w:r>
              <w:rPr>
                <w:rFonts w:hint="eastAsia" w:eastAsia="宋体"/>
              </w:rPr>
              <w:t>实验设备</w:t>
            </w:r>
            <w:r>
              <w:rPr>
                <w:rFonts w:hint="eastAsia" w:eastAsia="宋体"/>
                <w:lang w:eastAsia="zh-CN"/>
              </w:rPr>
              <w:t>及实验室地面清洗废水</w:t>
            </w:r>
            <w:r>
              <w:rPr>
                <w:rFonts w:eastAsia="宋体"/>
              </w:rPr>
              <w:t>。</w:t>
            </w:r>
          </w:p>
          <w:p w14:paraId="0D2F4B2A">
            <w:pPr>
              <w:spacing w:line="360" w:lineRule="auto"/>
              <w:ind w:firstLine="480" w:firstLineChars="200"/>
              <w:rPr>
                <w:sz w:val="24"/>
              </w:rPr>
            </w:pPr>
            <w:r>
              <w:rPr>
                <w:rFonts w:hint="eastAsia"/>
                <w:sz w:val="24"/>
              </w:rPr>
              <w:t>（1）</w:t>
            </w:r>
            <w:r>
              <w:rPr>
                <w:sz w:val="24"/>
              </w:rPr>
              <w:t>生活垃圾：运营期共有</w:t>
            </w:r>
            <w:r>
              <w:rPr>
                <w:rFonts w:hint="eastAsia"/>
                <w:sz w:val="24"/>
              </w:rPr>
              <w:t>实验人员7</w:t>
            </w:r>
            <w:r>
              <w:rPr>
                <w:sz w:val="24"/>
              </w:rPr>
              <w:t>人，生活垃圾量按0.5kg/（人·d）计算，年</w:t>
            </w:r>
            <w:r>
              <w:rPr>
                <w:rFonts w:hint="eastAsia"/>
                <w:sz w:val="24"/>
              </w:rPr>
              <w:t>实验</w:t>
            </w:r>
            <w:r>
              <w:rPr>
                <w:sz w:val="24"/>
              </w:rPr>
              <w:t>300d，则本项目生活垃圾的产生量为</w:t>
            </w:r>
            <w:r>
              <w:rPr>
                <w:rFonts w:hint="eastAsia"/>
                <w:sz w:val="24"/>
              </w:rPr>
              <w:t>1.05</w:t>
            </w:r>
            <w:r>
              <w:rPr>
                <w:sz w:val="24"/>
              </w:rPr>
              <w:t>t/a。</w:t>
            </w:r>
            <w:r>
              <w:rPr>
                <w:rFonts w:hint="eastAsia"/>
                <w:sz w:val="24"/>
              </w:rPr>
              <w:t>集中收集后委托环卫部门清运。</w:t>
            </w:r>
          </w:p>
          <w:p w14:paraId="31AB9506">
            <w:pPr>
              <w:spacing w:line="360" w:lineRule="auto"/>
              <w:ind w:firstLine="480" w:firstLineChars="200"/>
              <w:rPr>
                <w:rFonts w:hint="eastAsia"/>
                <w:sz w:val="24"/>
              </w:rPr>
            </w:pPr>
            <w:r>
              <w:rPr>
                <w:sz w:val="24"/>
              </w:rPr>
              <w:t>（2）</w:t>
            </w:r>
            <w:r>
              <w:rPr>
                <w:rFonts w:hint="eastAsia"/>
                <w:sz w:val="24"/>
                <w:highlight w:val="none"/>
              </w:rPr>
              <w:t>废磨料</w:t>
            </w:r>
          </w:p>
          <w:p w14:paraId="56589350">
            <w:pPr>
              <w:spacing w:line="360" w:lineRule="auto"/>
              <w:ind w:firstLine="480" w:firstLineChars="200"/>
              <w:rPr>
                <w:sz w:val="24"/>
              </w:rPr>
            </w:pPr>
            <w:r>
              <w:rPr>
                <w:rFonts w:hint="eastAsia"/>
                <w:sz w:val="24"/>
              </w:rPr>
              <w:t>废磨料主要为喷砂机废钢砂，产生量与使用量基本相同，废磨料产量约为0.2</w:t>
            </w:r>
            <w:r>
              <w:rPr>
                <w:sz w:val="24"/>
              </w:rPr>
              <w:t>t/a。</w:t>
            </w:r>
            <w:r>
              <w:rPr>
                <w:rFonts w:hint="eastAsia"/>
                <w:sz w:val="24"/>
              </w:rPr>
              <w:t>集中收集后外卖废品收购站</w:t>
            </w:r>
            <w:r>
              <w:rPr>
                <w:sz w:val="24"/>
              </w:rPr>
              <w:t>。</w:t>
            </w:r>
          </w:p>
          <w:p w14:paraId="686378DB">
            <w:pPr>
              <w:spacing w:line="360" w:lineRule="auto"/>
              <w:ind w:firstLine="480" w:firstLineChars="200"/>
              <w:rPr>
                <w:rFonts w:hint="eastAsia"/>
                <w:sz w:val="24"/>
              </w:rPr>
            </w:pPr>
            <w:r>
              <w:rPr>
                <w:sz w:val="24"/>
              </w:rPr>
              <w:t>（</w:t>
            </w:r>
            <w:r>
              <w:rPr>
                <w:rFonts w:hint="eastAsia"/>
                <w:sz w:val="24"/>
              </w:rPr>
              <w:t>3</w:t>
            </w:r>
            <w:r>
              <w:rPr>
                <w:sz w:val="24"/>
              </w:rPr>
              <w:t>）</w:t>
            </w:r>
            <w:r>
              <w:rPr>
                <w:rFonts w:hint="eastAsia"/>
                <w:sz w:val="24"/>
              </w:rPr>
              <w:t>漆渣</w:t>
            </w:r>
          </w:p>
          <w:p w14:paraId="352E961F">
            <w:pPr>
              <w:spacing w:line="360" w:lineRule="auto"/>
              <w:ind w:firstLine="480" w:firstLineChars="200"/>
              <w:rPr>
                <w:sz w:val="24"/>
              </w:rPr>
            </w:pPr>
            <w:r>
              <w:rPr>
                <w:rFonts w:hint="eastAsia"/>
                <w:sz w:val="24"/>
              </w:rPr>
              <w:t>根据前文核算，漆渣产量约为0.008</w:t>
            </w:r>
            <w:r>
              <w:rPr>
                <w:sz w:val="24"/>
              </w:rPr>
              <w:t>t/a。</w:t>
            </w:r>
            <w:r>
              <w:rPr>
                <w:rFonts w:hint="eastAsia"/>
                <w:sz w:val="24"/>
              </w:rPr>
              <w:t>集中收集后，暂存于</w:t>
            </w:r>
            <w:r>
              <w:rPr>
                <w:rFonts w:hint="eastAsia"/>
                <w:sz w:val="24"/>
                <w:lang w:eastAsia="zh-CN"/>
              </w:rPr>
              <w:t>危废贮存库</w:t>
            </w:r>
            <w:r>
              <w:rPr>
                <w:rFonts w:hint="eastAsia"/>
                <w:sz w:val="24"/>
              </w:rPr>
              <w:t>，委托有资质单位处理</w:t>
            </w:r>
            <w:r>
              <w:rPr>
                <w:sz w:val="24"/>
              </w:rPr>
              <w:t>。</w:t>
            </w:r>
          </w:p>
          <w:p w14:paraId="6048F8FF">
            <w:pPr>
              <w:spacing w:line="360" w:lineRule="auto"/>
              <w:ind w:firstLine="480" w:firstLineChars="200"/>
              <w:rPr>
                <w:rFonts w:hint="eastAsia"/>
                <w:sz w:val="24"/>
              </w:rPr>
            </w:pPr>
            <w:r>
              <w:rPr>
                <w:sz w:val="24"/>
              </w:rPr>
              <w:t>（</w:t>
            </w:r>
            <w:r>
              <w:rPr>
                <w:rFonts w:hint="eastAsia"/>
                <w:sz w:val="24"/>
              </w:rPr>
              <w:t>4</w:t>
            </w:r>
            <w:r>
              <w:rPr>
                <w:sz w:val="24"/>
              </w:rPr>
              <w:t>）</w:t>
            </w:r>
            <w:r>
              <w:rPr>
                <w:rFonts w:hint="eastAsia"/>
                <w:sz w:val="24"/>
              </w:rPr>
              <w:t>不合格实验品</w:t>
            </w:r>
          </w:p>
          <w:p w14:paraId="72C43796">
            <w:pPr>
              <w:spacing w:line="360" w:lineRule="auto"/>
              <w:ind w:firstLine="480" w:firstLineChars="200"/>
              <w:rPr>
                <w:sz w:val="24"/>
              </w:rPr>
            </w:pPr>
            <w:r>
              <w:rPr>
                <w:rFonts w:hint="eastAsia"/>
                <w:sz w:val="24"/>
              </w:rPr>
              <w:t>不</w:t>
            </w:r>
            <w:r>
              <w:rPr>
                <w:rFonts w:hint="eastAsia"/>
                <w:sz w:val="24"/>
                <w:highlight w:val="none"/>
              </w:rPr>
              <w:t>合格实验品产生量约为实验品总量的30%，不合格实验品产量</w:t>
            </w:r>
            <w:r>
              <w:rPr>
                <w:rFonts w:hint="eastAsia"/>
                <w:sz w:val="24"/>
                <w:highlight w:val="none"/>
                <w:lang w:eastAsia="zh-CN"/>
              </w:rPr>
              <w:t>约为</w:t>
            </w:r>
            <w:r>
              <w:rPr>
                <w:rFonts w:hint="eastAsia"/>
                <w:sz w:val="24"/>
                <w:highlight w:val="none"/>
              </w:rPr>
              <w:t>1</w:t>
            </w:r>
            <w:r>
              <w:rPr>
                <w:rFonts w:hint="eastAsia"/>
                <w:sz w:val="24"/>
                <w:highlight w:val="none"/>
                <w:lang w:val="en-US" w:eastAsia="zh-CN"/>
              </w:rPr>
              <w:t>0</w:t>
            </w:r>
            <w:r>
              <w:rPr>
                <w:sz w:val="24"/>
                <w:highlight w:val="none"/>
              </w:rPr>
              <w:t>t/a。</w:t>
            </w:r>
            <w:r>
              <w:rPr>
                <w:rFonts w:hint="eastAsia"/>
                <w:sz w:val="24"/>
                <w:highlight w:val="none"/>
              </w:rPr>
              <w:t>集中收集后，</w:t>
            </w:r>
            <w:r>
              <w:rPr>
                <w:rFonts w:hint="eastAsia"/>
                <w:sz w:val="24"/>
                <w:highlight w:val="none"/>
                <w:lang w:eastAsia="zh-CN"/>
              </w:rPr>
              <w:t>外售其他单位进行脱漆处理后综合利用</w:t>
            </w:r>
            <w:r>
              <w:rPr>
                <w:sz w:val="24"/>
              </w:rPr>
              <w:t>。</w:t>
            </w:r>
          </w:p>
          <w:p w14:paraId="30558399">
            <w:pPr>
              <w:spacing w:line="360" w:lineRule="auto"/>
              <w:ind w:firstLine="480" w:firstLineChars="200"/>
              <w:rPr>
                <w:rFonts w:hint="eastAsia"/>
                <w:sz w:val="24"/>
              </w:rPr>
            </w:pPr>
            <w:r>
              <w:rPr>
                <w:sz w:val="24"/>
              </w:rPr>
              <w:t>（</w:t>
            </w:r>
            <w:r>
              <w:rPr>
                <w:rFonts w:hint="eastAsia"/>
                <w:sz w:val="24"/>
              </w:rPr>
              <w:t>5</w:t>
            </w:r>
            <w:r>
              <w:rPr>
                <w:sz w:val="24"/>
              </w:rPr>
              <w:t>）</w:t>
            </w:r>
            <w:r>
              <w:rPr>
                <w:rFonts w:hint="eastAsia"/>
                <w:sz w:val="24"/>
              </w:rPr>
              <w:t>废滤筒</w:t>
            </w:r>
          </w:p>
          <w:p w14:paraId="3CEA5BE9">
            <w:pPr>
              <w:spacing w:line="360" w:lineRule="auto"/>
              <w:ind w:firstLine="480" w:firstLineChars="200"/>
              <w:rPr>
                <w:sz w:val="24"/>
              </w:rPr>
            </w:pPr>
            <w:r>
              <w:rPr>
                <w:color w:val="000000"/>
                <w:kern w:val="0"/>
                <w:sz w:val="24"/>
                <w:lang w:bidi="ar"/>
              </w:rPr>
              <w:t>项目</w:t>
            </w:r>
            <w:r>
              <w:rPr>
                <w:rFonts w:hint="eastAsia"/>
                <w:color w:val="000000"/>
                <w:kern w:val="0"/>
                <w:sz w:val="24"/>
                <w:lang w:bidi="ar"/>
              </w:rPr>
              <w:t>喷砂机自带滤筒</w:t>
            </w:r>
            <w:r>
              <w:rPr>
                <w:color w:val="000000"/>
                <w:kern w:val="0"/>
                <w:sz w:val="24"/>
                <w:lang w:bidi="ar"/>
              </w:rPr>
              <w:t>除尘器</w:t>
            </w:r>
            <w:r>
              <w:rPr>
                <w:rFonts w:hint="eastAsia"/>
                <w:color w:val="000000"/>
                <w:kern w:val="0"/>
                <w:sz w:val="24"/>
                <w:lang w:bidi="ar"/>
              </w:rPr>
              <w:t>滤筒</w:t>
            </w:r>
            <w:r>
              <w:rPr>
                <w:color w:val="000000"/>
                <w:kern w:val="0"/>
                <w:sz w:val="24"/>
                <w:lang w:bidi="ar"/>
              </w:rPr>
              <w:t>重量约为0.</w:t>
            </w:r>
            <w:r>
              <w:rPr>
                <w:rFonts w:hint="eastAsia"/>
                <w:color w:val="000000"/>
                <w:kern w:val="0"/>
                <w:sz w:val="24"/>
                <w:lang w:bidi="ar"/>
              </w:rPr>
              <w:t>05</w:t>
            </w:r>
            <w:r>
              <w:rPr>
                <w:color w:val="000000"/>
                <w:kern w:val="0"/>
                <w:sz w:val="24"/>
                <w:lang w:bidi="ar"/>
              </w:rPr>
              <w:t>t/</w:t>
            </w:r>
            <w:r>
              <w:rPr>
                <w:rFonts w:hint="eastAsia"/>
                <w:color w:val="000000"/>
                <w:kern w:val="0"/>
                <w:sz w:val="24"/>
                <w:lang w:bidi="ar"/>
              </w:rPr>
              <w:t>台</w:t>
            </w:r>
            <w:r>
              <w:rPr>
                <w:color w:val="000000"/>
                <w:kern w:val="0"/>
                <w:sz w:val="24"/>
                <w:lang w:bidi="ar"/>
              </w:rPr>
              <w:t>，一般情况下，</w:t>
            </w:r>
            <w:r>
              <w:rPr>
                <w:rFonts w:hint="eastAsia"/>
                <w:color w:val="000000"/>
                <w:kern w:val="0"/>
                <w:sz w:val="24"/>
                <w:lang w:bidi="ar"/>
              </w:rPr>
              <w:t>滤筒</w:t>
            </w:r>
            <w:r>
              <w:rPr>
                <w:color w:val="000000"/>
                <w:kern w:val="0"/>
                <w:sz w:val="24"/>
                <w:lang w:bidi="ar"/>
              </w:rPr>
              <w:t>除尘器中的</w:t>
            </w:r>
            <w:r>
              <w:rPr>
                <w:rFonts w:hint="eastAsia"/>
                <w:color w:val="000000"/>
                <w:kern w:val="0"/>
                <w:sz w:val="24"/>
                <w:lang w:bidi="ar"/>
              </w:rPr>
              <w:t>滤筒</w:t>
            </w:r>
            <w:r>
              <w:rPr>
                <w:color w:val="000000"/>
                <w:kern w:val="0"/>
                <w:sz w:val="24"/>
                <w:lang w:bidi="ar"/>
              </w:rPr>
              <w:t>每年更换一次，故</w:t>
            </w:r>
            <w:r>
              <w:rPr>
                <w:rFonts w:hint="eastAsia"/>
                <w:color w:val="000000"/>
                <w:kern w:val="0"/>
                <w:sz w:val="24"/>
                <w:lang w:bidi="ar"/>
              </w:rPr>
              <w:t>废滤筒</w:t>
            </w:r>
            <w:r>
              <w:rPr>
                <w:color w:val="000000"/>
                <w:kern w:val="0"/>
                <w:sz w:val="24"/>
                <w:lang w:bidi="ar"/>
              </w:rPr>
              <w:t>产生量为0</w:t>
            </w:r>
            <w:r>
              <w:rPr>
                <w:rFonts w:hint="eastAsia"/>
                <w:color w:val="000000"/>
                <w:kern w:val="0"/>
                <w:sz w:val="24"/>
                <w:lang w:bidi="ar"/>
              </w:rPr>
              <w:t>.1</w:t>
            </w:r>
            <w:r>
              <w:rPr>
                <w:color w:val="000000"/>
                <w:kern w:val="0"/>
                <w:sz w:val="24"/>
                <w:lang w:bidi="ar"/>
              </w:rPr>
              <w:t>t/a，</w:t>
            </w:r>
            <w:r>
              <w:rPr>
                <w:rFonts w:hint="eastAsia"/>
                <w:color w:val="000000"/>
                <w:kern w:val="0"/>
                <w:sz w:val="24"/>
                <w:lang w:bidi="ar"/>
              </w:rPr>
              <w:t>由厂家回收</w:t>
            </w:r>
            <w:r>
              <w:rPr>
                <w:sz w:val="24"/>
              </w:rPr>
              <w:t>。</w:t>
            </w:r>
          </w:p>
          <w:p w14:paraId="043C138B">
            <w:pPr>
              <w:spacing w:line="360" w:lineRule="auto"/>
              <w:ind w:firstLine="480" w:firstLineChars="200"/>
              <w:rPr>
                <w:rFonts w:hint="eastAsia"/>
                <w:sz w:val="24"/>
              </w:rPr>
            </w:pPr>
            <w:r>
              <w:rPr>
                <w:sz w:val="24"/>
              </w:rPr>
              <w:t>（</w:t>
            </w:r>
            <w:r>
              <w:rPr>
                <w:rFonts w:hint="eastAsia"/>
                <w:sz w:val="24"/>
              </w:rPr>
              <w:t>6</w:t>
            </w:r>
            <w:r>
              <w:rPr>
                <w:sz w:val="24"/>
              </w:rPr>
              <w:t>）</w:t>
            </w:r>
            <w:r>
              <w:rPr>
                <w:rFonts w:hint="eastAsia"/>
                <w:sz w:val="24"/>
              </w:rPr>
              <w:t>滤筒收集粉尘</w:t>
            </w:r>
          </w:p>
          <w:p w14:paraId="6701AD9D">
            <w:pPr>
              <w:spacing w:line="360" w:lineRule="auto"/>
              <w:ind w:firstLine="480" w:firstLineChars="200"/>
              <w:rPr>
                <w:rFonts w:hint="eastAsia"/>
                <w:sz w:val="24"/>
              </w:rPr>
            </w:pPr>
            <w:r>
              <w:rPr>
                <w:rFonts w:hint="eastAsia"/>
                <w:sz w:val="24"/>
              </w:rPr>
              <w:t>根据前文核算，滤筒收集粉尘约为0.0762</w:t>
            </w:r>
            <w:r>
              <w:rPr>
                <w:color w:val="000000"/>
                <w:kern w:val="0"/>
                <w:sz w:val="24"/>
                <w:lang w:bidi="ar"/>
              </w:rPr>
              <w:t>t/a</w:t>
            </w:r>
            <w:r>
              <w:rPr>
                <w:sz w:val="24"/>
              </w:rPr>
              <w:t>。</w:t>
            </w:r>
            <w:r>
              <w:rPr>
                <w:rFonts w:hint="eastAsia"/>
                <w:sz w:val="24"/>
              </w:rPr>
              <w:t>集中收集后</w:t>
            </w:r>
            <w:r>
              <w:rPr>
                <w:rFonts w:hint="eastAsia"/>
                <w:sz w:val="24"/>
                <w:highlight w:val="none"/>
              </w:rPr>
              <w:t>同废磨料一同外卖废品收购站</w:t>
            </w:r>
            <w:r>
              <w:rPr>
                <w:rFonts w:hint="eastAsia"/>
                <w:sz w:val="24"/>
              </w:rPr>
              <w:t>。</w:t>
            </w:r>
          </w:p>
          <w:p w14:paraId="16ACD276">
            <w:pPr>
              <w:snapToGrid w:val="0"/>
              <w:spacing w:line="360" w:lineRule="auto"/>
              <w:ind w:firstLine="480" w:firstLineChars="200"/>
              <w:rPr>
                <w:rFonts w:hint="eastAsia"/>
                <w:bCs/>
                <w:iCs/>
                <w:sz w:val="24"/>
                <w:lang w:val="zh-CN"/>
              </w:rPr>
            </w:pPr>
            <w:r>
              <w:rPr>
                <w:rFonts w:hint="eastAsia"/>
                <w:bCs/>
                <w:iCs/>
                <w:sz w:val="24"/>
                <w:lang w:val="zh-CN"/>
              </w:rPr>
              <w:t>（</w:t>
            </w:r>
            <w:r>
              <w:rPr>
                <w:rFonts w:hint="eastAsia"/>
                <w:bCs/>
                <w:iCs/>
                <w:sz w:val="24"/>
                <w:lang w:val="en-US" w:eastAsia="zh-CN"/>
              </w:rPr>
              <w:t>7</w:t>
            </w:r>
            <w:r>
              <w:rPr>
                <w:rFonts w:hint="eastAsia"/>
                <w:bCs/>
                <w:iCs/>
                <w:sz w:val="24"/>
                <w:lang w:val="zh-CN"/>
              </w:rPr>
              <w:t>）过滤杂质</w:t>
            </w:r>
          </w:p>
          <w:p w14:paraId="3DD16D36">
            <w:pPr>
              <w:snapToGrid w:val="0"/>
              <w:spacing w:line="360" w:lineRule="auto"/>
              <w:ind w:firstLine="480" w:firstLineChars="200"/>
              <w:rPr>
                <w:rFonts w:hint="eastAsia" w:eastAsia="宋体"/>
                <w:bCs/>
                <w:iCs/>
                <w:sz w:val="24"/>
                <w:lang w:val="en-US" w:eastAsia="zh-CN"/>
              </w:rPr>
            </w:pPr>
            <w:r>
              <w:rPr>
                <w:rFonts w:hint="eastAsia"/>
                <w:bCs/>
                <w:iCs/>
                <w:sz w:val="24"/>
                <w:lang w:val="zh-CN"/>
              </w:rPr>
              <w:t>漆料通过滤网过滤掉的杂质约为漆料量的</w:t>
            </w:r>
            <w:r>
              <w:rPr>
                <w:rFonts w:hint="eastAsia"/>
                <w:bCs/>
                <w:iCs/>
                <w:sz w:val="24"/>
                <w:lang w:val="en-US" w:eastAsia="zh-CN"/>
              </w:rPr>
              <w:t>0.1%，产生量约为0.002</w:t>
            </w:r>
            <w:r>
              <w:rPr>
                <w:color w:val="000000"/>
                <w:kern w:val="0"/>
                <w:sz w:val="24"/>
                <w:lang w:bidi="ar"/>
              </w:rPr>
              <w:t>t/a</w:t>
            </w:r>
            <w:r>
              <w:rPr>
                <w:sz w:val="24"/>
              </w:rPr>
              <w:t>。</w:t>
            </w:r>
            <w:r>
              <w:rPr>
                <w:rFonts w:hint="eastAsia"/>
                <w:sz w:val="24"/>
                <w:lang w:eastAsia="zh-CN"/>
              </w:rPr>
              <w:t>桶装收集后，加盖密闭，暂存于危废贮存库委托有资质单位处理</w:t>
            </w:r>
          </w:p>
          <w:p w14:paraId="15B04E79">
            <w:pPr>
              <w:snapToGrid w:val="0"/>
              <w:spacing w:line="360" w:lineRule="auto"/>
              <w:ind w:firstLine="480" w:firstLineChars="200"/>
              <w:rPr>
                <w:rFonts w:hint="eastAsia"/>
                <w:bCs/>
                <w:iCs/>
                <w:sz w:val="24"/>
                <w:lang w:val="zh-CN"/>
              </w:rPr>
            </w:pPr>
            <w:r>
              <w:rPr>
                <w:rFonts w:hint="eastAsia"/>
                <w:bCs/>
                <w:iCs/>
                <w:sz w:val="24"/>
                <w:lang w:val="zh-CN"/>
              </w:rPr>
              <w:t>（</w:t>
            </w:r>
            <w:r>
              <w:rPr>
                <w:rFonts w:hint="eastAsia"/>
                <w:bCs/>
                <w:iCs/>
                <w:sz w:val="24"/>
                <w:lang w:val="en-US" w:eastAsia="zh-CN"/>
              </w:rPr>
              <w:t>8</w:t>
            </w:r>
            <w:r>
              <w:rPr>
                <w:rFonts w:hint="eastAsia"/>
                <w:bCs/>
                <w:iCs/>
                <w:sz w:val="24"/>
                <w:lang w:val="zh-CN"/>
              </w:rPr>
              <w:t>）废活性炭及废过滤棉</w:t>
            </w:r>
          </w:p>
          <w:p w14:paraId="246119DC">
            <w:pPr>
              <w:pStyle w:val="97"/>
              <w:spacing w:line="360" w:lineRule="auto"/>
              <w:ind w:firstLine="480"/>
              <w:rPr>
                <w:sz w:val="24"/>
              </w:rPr>
            </w:pPr>
            <w:r>
              <w:rPr>
                <w:rFonts w:hint="eastAsia"/>
                <w:sz w:val="24"/>
                <w:highlight w:val="none"/>
              </w:rPr>
              <w:t>本项目</w:t>
            </w:r>
            <w:r>
              <w:rPr>
                <w:rFonts w:hint="eastAsia"/>
                <w:sz w:val="24"/>
              </w:rPr>
              <w:t>采用选择碘值不低于800毫克/克的活性炭，</w:t>
            </w:r>
            <w:r>
              <w:rPr>
                <w:snapToGrid w:val="0"/>
                <w:kern w:val="0"/>
                <w:sz w:val="24"/>
              </w:rPr>
              <w:t>根据《活性炭手册》，活性炭对有机废气吸附容量约为20%～41%，</w:t>
            </w:r>
            <w:r>
              <w:rPr>
                <w:rFonts w:hint="eastAsia"/>
                <w:sz w:val="24"/>
              </w:rPr>
              <w:t>本项目按每3kg活性炭吸附1kg有机废气，有机废气吸附量为1.</w:t>
            </w:r>
            <w:r>
              <w:rPr>
                <w:rFonts w:hint="eastAsia"/>
                <w:sz w:val="24"/>
                <w:lang w:val="en-US" w:eastAsia="zh-CN"/>
              </w:rPr>
              <w:t>066</w:t>
            </w:r>
            <w:r>
              <w:rPr>
                <w:rFonts w:hint="eastAsia"/>
                <w:sz w:val="24"/>
              </w:rPr>
              <w:t>t/a，需要活性炭量约为3.</w:t>
            </w:r>
            <w:r>
              <w:rPr>
                <w:rFonts w:hint="eastAsia"/>
                <w:sz w:val="24"/>
                <w:lang w:val="en-US" w:eastAsia="zh-CN"/>
              </w:rPr>
              <w:t>153</w:t>
            </w:r>
            <w:r>
              <w:rPr>
                <w:rFonts w:hint="eastAsia"/>
                <w:sz w:val="24"/>
              </w:rPr>
              <w:t>t/a，本项目更换后的废活性炭约为</w:t>
            </w:r>
            <w:r>
              <w:rPr>
                <w:rFonts w:hint="eastAsia"/>
                <w:sz w:val="24"/>
                <w:lang w:val="en-US" w:eastAsia="zh-CN"/>
              </w:rPr>
              <w:t>4.219</w:t>
            </w:r>
            <w:r>
              <w:rPr>
                <w:rFonts w:hint="eastAsia"/>
                <w:sz w:val="24"/>
              </w:rPr>
              <w:t>t/a。每吸附1kg漆雾需要0.25kg过滤棉，本项目吸附0.</w:t>
            </w:r>
            <w:r>
              <w:rPr>
                <w:rFonts w:hint="eastAsia"/>
                <w:sz w:val="24"/>
                <w:lang w:val="en-US" w:eastAsia="zh-CN"/>
              </w:rPr>
              <w:t>126</w:t>
            </w:r>
            <w:r>
              <w:rPr>
                <w:rFonts w:hint="eastAsia"/>
                <w:sz w:val="24"/>
              </w:rPr>
              <w:t>t漆雾，则需要0.03</w:t>
            </w:r>
            <w:r>
              <w:rPr>
                <w:rFonts w:hint="eastAsia"/>
                <w:sz w:val="24"/>
                <w:lang w:val="en-US" w:eastAsia="zh-CN"/>
              </w:rPr>
              <w:t>2</w:t>
            </w:r>
            <w:r>
              <w:rPr>
                <w:rFonts w:hint="eastAsia"/>
                <w:sz w:val="24"/>
              </w:rPr>
              <w:t>t/a过滤棉，则废过滤棉的年产生量约为0.1</w:t>
            </w:r>
            <w:r>
              <w:rPr>
                <w:rFonts w:hint="eastAsia"/>
                <w:sz w:val="24"/>
                <w:lang w:val="en-US" w:eastAsia="zh-CN"/>
              </w:rPr>
              <w:t>58</w:t>
            </w:r>
            <w:r>
              <w:rPr>
                <w:rFonts w:hint="eastAsia"/>
                <w:sz w:val="24"/>
              </w:rPr>
              <w:t>t/a。</w:t>
            </w:r>
            <w:r>
              <w:rPr>
                <w:rFonts w:hint="eastAsia"/>
                <w:sz w:val="24"/>
                <w:lang w:eastAsia="zh-CN"/>
              </w:rPr>
              <w:t>桶装收集后，加盖密闭，</w:t>
            </w:r>
            <w:r>
              <w:rPr>
                <w:rFonts w:hint="eastAsia"/>
                <w:sz w:val="24"/>
              </w:rPr>
              <w:t>暂存于</w:t>
            </w:r>
            <w:r>
              <w:rPr>
                <w:rFonts w:hint="eastAsia"/>
                <w:sz w:val="24"/>
                <w:lang w:eastAsia="zh-CN"/>
              </w:rPr>
              <w:t>危废贮存库</w:t>
            </w:r>
            <w:r>
              <w:rPr>
                <w:rFonts w:hint="eastAsia"/>
                <w:sz w:val="24"/>
              </w:rPr>
              <w:t>委托有资质单位处理，活性炭及过滤滤棉更换周期为</w:t>
            </w:r>
            <w:r>
              <w:rPr>
                <w:rFonts w:hint="eastAsia"/>
                <w:sz w:val="24"/>
                <w:lang w:val="en-US" w:eastAsia="zh-CN"/>
              </w:rPr>
              <w:t>1</w:t>
            </w:r>
            <w:r>
              <w:rPr>
                <w:rFonts w:hint="eastAsia"/>
                <w:sz w:val="24"/>
              </w:rPr>
              <w:t>次/季度。</w:t>
            </w:r>
          </w:p>
          <w:p w14:paraId="45415F9B">
            <w:pPr>
              <w:snapToGrid w:val="0"/>
              <w:spacing w:line="360" w:lineRule="auto"/>
              <w:ind w:firstLine="480" w:firstLineChars="200"/>
              <w:rPr>
                <w:bCs/>
                <w:iCs/>
                <w:sz w:val="24"/>
              </w:rPr>
            </w:pPr>
            <w:r>
              <w:rPr>
                <w:rFonts w:hint="eastAsia"/>
                <w:bCs/>
                <w:iCs/>
                <w:sz w:val="24"/>
                <w:lang w:val="zh-CN"/>
              </w:rPr>
              <w:t>（</w:t>
            </w:r>
            <w:r>
              <w:rPr>
                <w:rFonts w:hint="eastAsia"/>
                <w:bCs/>
                <w:iCs/>
                <w:sz w:val="24"/>
                <w:lang w:val="en-US" w:eastAsia="zh-CN"/>
              </w:rPr>
              <w:t>9</w:t>
            </w:r>
            <w:r>
              <w:rPr>
                <w:rFonts w:hint="eastAsia"/>
                <w:bCs/>
                <w:iCs/>
                <w:sz w:val="24"/>
                <w:lang w:val="zh-CN"/>
              </w:rPr>
              <w:t>）实验设备</w:t>
            </w:r>
            <w:r>
              <w:rPr>
                <w:rFonts w:hint="eastAsia"/>
                <w:bCs/>
                <w:iCs/>
                <w:sz w:val="24"/>
                <w:lang w:val="zh-CN" w:eastAsia="zh-CN"/>
              </w:rPr>
              <w:t>及实验室地面清洗废水</w:t>
            </w:r>
          </w:p>
          <w:p w14:paraId="58AD174A">
            <w:pPr>
              <w:snapToGrid w:val="0"/>
              <w:spacing w:line="360" w:lineRule="auto"/>
              <w:ind w:firstLine="480" w:firstLineChars="200"/>
              <w:rPr>
                <w:rFonts w:hint="eastAsia"/>
                <w:bCs/>
                <w:iCs/>
                <w:sz w:val="24"/>
                <w:lang w:val="zh-CN"/>
              </w:rPr>
            </w:pPr>
            <w:r>
              <w:rPr>
                <w:rFonts w:hint="eastAsia"/>
                <w:color w:val="000000"/>
                <w:kern w:val="0"/>
                <w:sz w:val="24"/>
                <w:szCs w:val="21"/>
              </w:rPr>
              <w:t>根据前文给排水计算</w:t>
            </w:r>
            <w:r>
              <w:rPr>
                <w:color w:val="000000"/>
                <w:kern w:val="0"/>
                <w:sz w:val="24"/>
                <w:szCs w:val="21"/>
              </w:rPr>
              <w:t>，</w:t>
            </w:r>
            <w:r>
              <w:rPr>
                <w:rFonts w:hint="eastAsia"/>
                <w:color w:val="000000"/>
                <w:kern w:val="0"/>
                <w:sz w:val="24"/>
                <w:szCs w:val="21"/>
              </w:rPr>
              <w:t>实验设备</w:t>
            </w:r>
            <w:r>
              <w:rPr>
                <w:rFonts w:hint="eastAsia"/>
                <w:color w:val="000000"/>
                <w:kern w:val="0"/>
                <w:sz w:val="24"/>
                <w:szCs w:val="21"/>
                <w:lang w:eastAsia="zh-CN"/>
              </w:rPr>
              <w:t>及实验室地面清洗废水</w:t>
            </w:r>
            <w:r>
              <w:rPr>
                <w:rFonts w:hint="eastAsia"/>
                <w:bCs/>
                <w:iCs/>
                <w:sz w:val="24"/>
                <w:lang w:val="zh-CN"/>
              </w:rPr>
              <w:t>产生量约为</w:t>
            </w:r>
            <w:r>
              <w:rPr>
                <w:rFonts w:hint="eastAsia"/>
                <w:bCs/>
                <w:iCs/>
                <w:sz w:val="24"/>
                <w:lang w:val="en-US" w:eastAsia="zh-CN"/>
              </w:rPr>
              <w:t>29.7</w:t>
            </w:r>
            <w:r>
              <w:rPr>
                <w:rFonts w:hint="eastAsia"/>
                <w:sz w:val="24"/>
              </w:rPr>
              <w:t>/a</w:t>
            </w:r>
            <w:r>
              <w:rPr>
                <w:rFonts w:hint="eastAsia"/>
                <w:bCs/>
                <w:iCs/>
                <w:sz w:val="24"/>
                <w:lang w:val="zh-CN"/>
              </w:rPr>
              <w:t>，</w:t>
            </w:r>
            <w:r>
              <w:rPr>
                <w:rFonts w:hint="eastAsia"/>
                <w:sz w:val="24"/>
                <w:lang w:eastAsia="zh-CN"/>
              </w:rPr>
              <w:t>桶装收集后，加盖密闭，</w:t>
            </w:r>
            <w:r>
              <w:rPr>
                <w:rFonts w:hint="eastAsia"/>
                <w:bCs/>
                <w:iCs/>
                <w:sz w:val="24"/>
                <w:lang w:val="zh-CN"/>
              </w:rPr>
              <w:t>暂存于危废贮存库</w:t>
            </w:r>
            <w:r>
              <w:rPr>
                <w:rFonts w:hint="eastAsia"/>
                <w:bCs/>
                <w:iCs/>
                <w:sz w:val="24"/>
              </w:rPr>
              <w:t>，委托有资质单位处理</w:t>
            </w:r>
            <w:r>
              <w:rPr>
                <w:rFonts w:hint="eastAsia"/>
                <w:bCs/>
                <w:iCs/>
                <w:sz w:val="24"/>
                <w:lang w:val="zh-CN"/>
              </w:rPr>
              <w:t>。</w:t>
            </w:r>
          </w:p>
          <w:p w14:paraId="0159004A">
            <w:pPr>
              <w:snapToGrid w:val="0"/>
              <w:spacing w:line="360" w:lineRule="auto"/>
              <w:ind w:firstLine="480" w:firstLineChars="200"/>
              <w:rPr>
                <w:rFonts w:hint="eastAsia"/>
                <w:bCs/>
                <w:iCs/>
                <w:sz w:val="24"/>
                <w:lang w:val="zh-CN"/>
              </w:rPr>
            </w:pPr>
            <w:r>
              <w:rPr>
                <w:rFonts w:hint="eastAsia"/>
                <w:bCs/>
                <w:iCs/>
                <w:sz w:val="24"/>
                <w:lang w:val="zh-CN"/>
              </w:rPr>
              <w:t>根据《固体废物分类与代码目录》（公告</w:t>
            </w:r>
            <w:r>
              <w:rPr>
                <w:rFonts w:hint="eastAsia"/>
                <w:bCs/>
                <w:iCs/>
                <w:sz w:val="24"/>
              </w:rPr>
              <w:t>2024年第4号</w:t>
            </w:r>
            <w:r>
              <w:rPr>
                <w:rFonts w:hint="eastAsia"/>
                <w:bCs/>
                <w:iCs/>
                <w:sz w:val="24"/>
                <w:lang w:val="zh-CN"/>
              </w:rPr>
              <w:t>）本项目一般固体废物代码详见下表</w:t>
            </w:r>
          </w:p>
          <w:p w14:paraId="74E28470">
            <w:pPr>
              <w:pStyle w:val="94"/>
              <w:numPr>
                <w:ilvl w:val="0"/>
                <w:numId w:val="0"/>
              </w:numPr>
              <w:adjustRightInd/>
              <w:snapToGrid/>
              <w:spacing w:line="240" w:lineRule="auto"/>
              <w:rPr>
                <w:b/>
                <w:color w:val="auto"/>
                <w:lang w:bidi="zh-CN"/>
              </w:rPr>
            </w:pPr>
            <w:r>
              <w:rPr>
                <w:b/>
                <w:color w:val="auto"/>
                <w:lang w:bidi="zh-CN"/>
              </w:rPr>
              <w:t>表4-</w:t>
            </w:r>
            <w:r>
              <w:rPr>
                <w:rFonts w:hint="eastAsia"/>
                <w:b/>
                <w:color w:val="auto"/>
                <w:lang w:bidi="zh-CN"/>
              </w:rPr>
              <w:t>1</w:t>
            </w:r>
            <w:r>
              <w:rPr>
                <w:rFonts w:hint="eastAsia"/>
                <w:b/>
                <w:color w:val="auto"/>
                <w:lang w:val="en-US" w:bidi="zh-CN"/>
              </w:rPr>
              <w:t>0</w:t>
            </w:r>
            <w:r>
              <w:rPr>
                <w:b/>
                <w:color w:val="auto"/>
                <w:lang w:bidi="zh-CN"/>
              </w:rPr>
              <w:t xml:space="preserve"> </w:t>
            </w:r>
            <w:r>
              <w:rPr>
                <w:rFonts w:hint="eastAsia"/>
                <w:b/>
                <w:color w:val="auto"/>
                <w:lang w:bidi="zh-CN"/>
              </w:rPr>
              <w:t xml:space="preserve"> </w:t>
            </w:r>
            <w:r>
              <w:rPr>
                <w:b/>
                <w:color w:val="auto"/>
                <w:lang w:bidi="zh-CN"/>
              </w:rPr>
              <w:t>本项目</w:t>
            </w:r>
            <w:r>
              <w:rPr>
                <w:rFonts w:hint="eastAsia"/>
                <w:b/>
                <w:color w:val="auto"/>
                <w:lang w:bidi="zh-CN"/>
              </w:rPr>
              <w:t>一般</w:t>
            </w:r>
            <w:r>
              <w:rPr>
                <w:b/>
                <w:color w:val="auto"/>
                <w:lang w:bidi="zh-CN"/>
              </w:rPr>
              <w:t>固体废物产生情况汇总表</w:t>
            </w:r>
          </w:p>
          <w:tbl>
            <w:tblPr>
              <w:tblStyle w:val="27"/>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627"/>
              <w:gridCol w:w="1743"/>
              <w:gridCol w:w="1255"/>
              <w:gridCol w:w="1326"/>
              <w:gridCol w:w="1672"/>
              <w:gridCol w:w="2895"/>
            </w:tblGrid>
            <w:tr w14:paraId="5F29028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329" w:type="pct"/>
                  <w:noWrap w:val="0"/>
                  <w:vAlign w:val="center"/>
                </w:tcPr>
                <w:p w14:paraId="27968F75">
                  <w:pPr>
                    <w:jc w:val="center"/>
                    <w:rPr>
                      <w:iCs/>
                      <w:kern w:val="0"/>
                      <w:szCs w:val="21"/>
                    </w:rPr>
                  </w:pPr>
                  <w:r>
                    <w:rPr>
                      <w:iCs/>
                      <w:kern w:val="0"/>
                      <w:szCs w:val="21"/>
                    </w:rPr>
                    <w:t>序号</w:t>
                  </w:r>
                </w:p>
              </w:tc>
              <w:tc>
                <w:tcPr>
                  <w:tcW w:w="915" w:type="pct"/>
                  <w:noWrap w:val="0"/>
                  <w:vAlign w:val="center"/>
                </w:tcPr>
                <w:p w14:paraId="1C6A7D02">
                  <w:pPr>
                    <w:jc w:val="center"/>
                    <w:rPr>
                      <w:iCs/>
                      <w:kern w:val="0"/>
                      <w:szCs w:val="21"/>
                    </w:rPr>
                  </w:pPr>
                  <w:r>
                    <w:rPr>
                      <w:iCs/>
                      <w:kern w:val="0"/>
                      <w:szCs w:val="21"/>
                    </w:rPr>
                    <w:t>固废名称</w:t>
                  </w:r>
                </w:p>
              </w:tc>
              <w:tc>
                <w:tcPr>
                  <w:tcW w:w="659" w:type="pct"/>
                  <w:noWrap w:val="0"/>
                  <w:vAlign w:val="center"/>
                </w:tcPr>
                <w:p w14:paraId="3D025E89">
                  <w:pPr>
                    <w:autoSpaceDE w:val="0"/>
                    <w:autoSpaceDN w:val="0"/>
                    <w:adjustRightInd w:val="0"/>
                    <w:jc w:val="center"/>
                    <w:rPr>
                      <w:iCs/>
                      <w:kern w:val="0"/>
                      <w:szCs w:val="21"/>
                    </w:rPr>
                  </w:pPr>
                  <w:r>
                    <w:rPr>
                      <w:iCs/>
                      <w:kern w:val="0"/>
                      <w:szCs w:val="21"/>
                    </w:rPr>
                    <w:t>产生量</w:t>
                  </w:r>
                </w:p>
                <w:p w14:paraId="54C29B3B">
                  <w:pPr>
                    <w:autoSpaceDE w:val="0"/>
                    <w:autoSpaceDN w:val="0"/>
                    <w:adjustRightInd w:val="0"/>
                    <w:jc w:val="center"/>
                    <w:rPr>
                      <w:iCs/>
                      <w:kern w:val="0"/>
                      <w:szCs w:val="21"/>
                    </w:rPr>
                  </w:pPr>
                  <w:r>
                    <w:rPr>
                      <w:rFonts w:hint="eastAsia"/>
                      <w:iCs/>
                      <w:kern w:val="0"/>
                      <w:szCs w:val="21"/>
                    </w:rPr>
                    <w:t>（</w:t>
                  </w:r>
                  <w:r>
                    <w:rPr>
                      <w:iCs/>
                      <w:kern w:val="0"/>
                      <w:szCs w:val="21"/>
                    </w:rPr>
                    <w:t>吨/年）</w:t>
                  </w:r>
                </w:p>
              </w:tc>
              <w:tc>
                <w:tcPr>
                  <w:tcW w:w="696" w:type="pct"/>
                  <w:noWrap w:val="0"/>
                  <w:vAlign w:val="center"/>
                </w:tcPr>
                <w:p w14:paraId="5E102629">
                  <w:pPr>
                    <w:jc w:val="center"/>
                    <w:rPr>
                      <w:iCs/>
                      <w:kern w:val="0"/>
                      <w:szCs w:val="21"/>
                    </w:rPr>
                  </w:pPr>
                  <w:r>
                    <w:rPr>
                      <w:iCs/>
                      <w:kern w:val="0"/>
                      <w:szCs w:val="21"/>
                    </w:rPr>
                    <w:t>性质</w:t>
                  </w:r>
                </w:p>
              </w:tc>
              <w:tc>
                <w:tcPr>
                  <w:tcW w:w="878" w:type="pct"/>
                  <w:noWrap w:val="0"/>
                  <w:vAlign w:val="center"/>
                </w:tcPr>
                <w:p w14:paraId="58CB31A3">
                  <w:pPr>
                    <w:jc w:val="center"/>
                    <w:rPr>
                      <w:iCs/>
                      <w:kern w:val="0"/>
                      <w:szCs w:val="21"/>
                    </w:rPr>
                  </w:pPr>
                  <w:r>
                    <w:rPr>
                      <w:iCs/>
                      <w:kern w:val="0"/>
                      <w:szCs w:val="21"/>
                    </w:rPr>
                    <w:t>代码</w:t>
                  </w:r>
                </w:p>
              </w:tc>
              <w:tc>
                <w:tcPr>
                  <w:tcW w:w="1520" w:type="pct"/>
                  <w:noWrap w:val="0"/>
                  <w:vAlign w:val="center"/>
                </w:tcPr>
                <w:p w14:paraId="0CD4EA94">
                  <w:pPr>
                    <w:jc w:val="center"/>
                    <w:rPr>
                      <w:iCs/>
                      <w:kern w:val="0"/>
                      <w:szCs w:val="21"/>
                    </w:rPr>
                  </w:pPr>
                  <w:r>
                    <w:rPr>
                      <w:iCs/>
                      <w:kern w:val="0"/>
                      <w:szCs w:val="21"/>
                    </w:rPr>
                    <w:t>处理方式</w:t>
                  </w:r>
                </w:p>
              </w:tc>
            </w:tr>
            <w:tr w14:paraId="65B22C6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329" w:type="pct"/>
                  <w:noWrap w:val="0"/>
                  <w:vAlign w:val="center"/>
                </w:tcPr>
                <w:p w14:paraId="7D927145">
                  <w:pPr>
                    <w:jc w:val="center"/>
                    <w:rPr>
                      <w:iCs/>
                      <w:kern w:val="0"/>
                      <w:szCs w:val="21"/>
                    </w:rPr>
                  </w:pPr>
                  <w:r>
                    <w:rPr>
                      <w:iCs/>
                      <w:kern w:val="0"/>
                      <w:szCs w:val="21"/>
                    </w:rPr>
                    <w:t>1</w:t>
                  </w:r>
                </w:p>
              </w:tc>
              <w:tc>
                <w:tcPr>
                  <w:tcW w:w="915" w:type="pct"/>
                  <w:noWrap w:val="0"/>
                  <w:vAlign w:val="center"/>
                </w:tcPr>
                <w:p w14:paraId="2968BB46">
                  <w:pPr>
                    <w:jc w:val="center"/>
                    <w:rPr>
                      <w:iCs/>
                      <w:kern w:val="0"/>
                      <w:szCs w:val="21"/>
                    </w:rPr>
                  </w:pPr>
                  <w:r>
                    <w:rPr>
                      <w:iCs/>
                      <w:kern w:val="0"/>
                      <w:szCs w:val="21"/>
                    </w:rPr>
                    <w:t>生活垃圾</w:t>
                  </w:r>
                </w:p>
              </w:tc>
              <w:tc>
                <w:tcPr>
                  <w:tcW w:w="659" w:type="pct"/>
                  <w:noWrap w:val="0"/>
                  <w:vAlign w:val="center"/>
                </w:tcPr>
                <w:p w14:paraId="55105285">
                  <w:pPr>
                    <w:jc w:val="center"/>
                    <w:rPr>
                      <w:iCs/>
                      <w:kern w:val="0"/>
                      <w:szCs w:val="21"/>
                    </w:rPr>
                  </w:pPr>
                  <w:r>
                    <w:rPr>
                      <w:rFonts w:hint="eastAsia"/>
                      <w:iCs/>
                      <w:kern w:val="0"/>
                      <w:szCs w:val="21"/>
                    </w:rPr>
                    <w:t>1.05</w:t>
                  </w:r>
                </w:p>
              </w:tc>
              <w:tc>
                <w:tcPr>
                  <w:tcW w:w="696" w:type="pct"/>
                  <w:noWrap w:val="0"/>
                  <w:vAlign w:val="center"/>
                </w:tcPr>
                <w:p w14:paraId="019EEE2C">
                  <w:pPr>
                    <w:jc w:val="center"/>
                    <w:rPr>
                      <w:iCs/>
                      <w:kern w:val="0"/>
                      <w:szCs w:val="21"/>
                    </w:rPr>
                  </w:pPr>
                  <w:r>
                    <w:rPr>
                      <w:iCs/>
                      <w:kern w:val="0"/>
                      <w:szCs w:val="21"/>
                    </w:rPr>
                    <w:t>-</w:t>
                  </w:r>
                </w:p>
              </w:tc>
              <w:tc>
                <w:tcPr>
                  <w:tcW w:w="878" w:type="pct"/>
                  <w:tcBorders>
                    <w:bottom w:val="single" w:color="auto" w:sz="4" w:space="0"/>
                  </w:tcBorders>
                  <w:noWrap w:val="0"/>
                  <w:vAlign w:val="center"/>
                </w:tcPr>
                <w:p w14:paraId="346080D5">
                  <w:pPr>
                    <w:jc w:val="center"/>
                    <w:rPr>
                      <w:iCs/>
                      <w:kern w:val="0"/>
                      <w:szCs w:val="21"/>
                    </w:rPr>
                  </w:pPr>
                  <w:r>
                    <w:rPr>
                      <w:rFonts w:hint="eastAsia"/>
                      <w:iCs/>
                      <w:kern w:val="0"/>
                      <w:szCs w:val="21"/>
                    </w:rPr>
                    <w:t>900-099-S64</w:t>
                  </w:r>
                </w:p>
              </w:tc>
              <w:tc>
                <w:tcPr>
                  <w:tcW w:w="1520" w:type="pct"/>
                  <w:noWrap w:val="0"/>
                  <w:vAlign w:val="center"/>
                </w:tcPr>
                <w:p w14:paraId="3F357938">
                  <w:pPr>
                    <w:jc w:val="center"/>
                    <w:rPr>
                      <w:iCs/>
                      <w:kern w:val="0"/>
                      <w:szCs w:val="21"/>
                    </w:rPr>
                  </w:pPr>
                  <w:r>
                    <w:rPr>
                      <w:iCs/>
                      <w:kern w:val="0"/>
                      <w:szCs w:val="21"/>
                    </w:rPr>
                    <w:t>交环卫部门处置</w:t>
                  </w:r>
                </w:p>
              </w:tc>
            </w:tr>
            <w:tr w14:paraId="7941098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329" w:type="pct"/>
                  <w:noWrap w:val="0"/>
                  <w:vAlign w:val="center"/>
                </w:tcPr>
                <w:p w14:paraId="5FF3C7C4">
                  <w:pPr>
                    <w:jc w:val="center"/>
                    <w:rPr>
                      <w:iCs/>
                      <w:kern w:val="0"/>
                      <w:szCs w:val="21"/>
                    </w:rPr>
                  </w:pPr>
                  <w:r>
                    <w:rPr>
                      <w:iCs/>
                      <w:kern w:val="0"/>
                      <w:szCs w:val="21"/>
                    </w:rPr>
                    <w:t>2</w:t>
                  </w:r>
                </w:p>
              </w:tc>
              <w:tc>
                <w:tcPr>
                  <w:tcW w:w="915" w:type="pct"/>
                  <w:noWrap w:val="0"/>
                  <w:vAlign w:val="center"/>
                </w:tcPr>
                <w:p w14:paraId="68E300A1">
                  <w:pPr>
                    <w:jc w:val="center"/>
                    <w:rPr>
                      <w:iCs/>
                      <w:kern w:val="0"/>
                      <w:szCs w:val="21"/>
                    </w:rPr>
                  </w:pPr>
                  <w:r>
                    <w:rPr>
                      <w:rFonts w:hint="eastAsia"/>
                      <w:iCs/>
                      <w:kern w:val="0"/>
                      <w:szCs w:val="21"/>
                    </w:rPr>
                    <w:t>废磨料</w:t>
                  </w:r>
                </w:p>
              </w:tc>
              <w:tc>
                <w:tcPr>
                  <w:tcW w:w="659" w:type="pct"/>
                  <w:noWrap w:val="0"/>
                  <w:vAlign w:val="center"/>
                </w:tcPr>
                <w:p w14:paraId="749EBEF4">
                  <w:pPr>
                    <w:jc w:val="center"/>
                    <w:rPr>
                      <w:iCs/>
                      <w:kern w:val="0"/>
                      <w:szCs w:val="21"/>
                    </w:rPr>
                  </w:pPr>
                  <w:r>
                    <w:rPr>
                      <w:rFonts w:hint="eastAsia"/>
                      <w:iCs/>
                      <w:kern w:val="0"/>
                      <w:szCs w:val="21"/>
                    </w:rPr>
                    <w:t>0.2</w:t>
                  </w:r>
                </w:p>
              </w:tc>
              <w:tc>
                <w:tcPr>
                  <w:tcW w:w="696" w:type="pct"/>
                  <w:noWrap w:val="0"/>
                  <w:vAlign w:val="center"/>
                </w:tcPr>
                <w:p w14:paraId="3F51529E">
                  <w:pPr>
                    <w:jc w:val="center"/>
                    <w:rPr>
                      <w:iCs/>
                      <w:kern w:val="0"/>
                      <w:szCs w:val="21"/>
                    </w:rPr>
                  </w:pPr>
                  <w:r>
                    <w:rPr>
                      <w:iCs/>
                      <w:kern w:val="0"/>
                      <w:szCs w:val="21"/>
                    </w:rPr>
                    <w:t>一般固废</w:t>
                  </w:r>
                </w:p>
              </w:tc>
              <w:tc>
                <w:tcPr>
                  <w:tcW w:w="878" w:type="pct"/>
                  <w:tcBorders>
                    <w:top w:val="single" w:color="auto" w:sz="4" w:space="0"/>
                    <w:bottom w:val="single" w:color="auto" w:sz="4" w:space="0"/>
                  </w:tcBorders>
                  <w:noWrap w:val="0"/>
                  <w:vAlign w:val="center"/>
                </w:tcPr>
                <w:p w14:paraId="24F4669A">
                  <w:pPr>
                    <w:jc w:val="center"/>
                    <w:rPr>
                      <w:iCs/>
                      <w:kern w:val="0"/>
                      <w:szCs w:val="21"/>
                    </w:rPr>
                  </w:pPr>
                  <w:r>
                    <w:rPr>
                      <w:rFonts w:hint="eastAsia"/>
                      <w:szCs w:val="21"/>
                    </w:rPr>
                    <w:t>900-099-S59</w:t>
                  </w:r>
                </w:p>
              </w:tc>
              <w:tc>
                <w:tcPr>
                  <w:tcW w:w="1520" w:type="pct"/>
                  <w:noWrap w:val="0"/>
                  <w:vAlign w:val="center"/>
                </w:tcPr>
                <w:p w14:paraId="72D75D2B">
                  <w:pPr>
                    <w:jc w:val="center"/>
                    <w:rPr>
                      <w:rFonts w:hint="eastAsia"/>
                      <w:iCs/>
                      <w:kern w:val="0"/>
                      <w:szCs w:val="21"/>
                    </w:rPr>
                  </w:pPr>
                  <w:r>
                    <w:rPr>
                      <w:rFonts w:hint="eastAsia"/>
                      <w:iCs/>
                      <w:kern w:val="0"/>
                      <w:szCs w:val="21"/>
                    </w:rPr>
                    <w:t>外卖废品收购站</w:t>
                  </w:r>
                </w:p>
              </w:tc>
            </w:tr>
            <w:tr w14:paraId="4B00A72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329" w:type="pct"/>
                  <w:noWrap w:val="0"/>
                  <w:vAlign w:val="center"/>
                </w:tcPr>
                <w:p w14:paraId="42D0DC70">
                  <w:pPr>
                    <w:jc w:val="center"/>
                    <w:rPr>
                      <w:iCs/>
                      <w:kern w:val="0"/>
                      <w:szCs w:val="21"/>
                    </w:rPr>
                  </w:pPr>
                  <w:r>
                    <w:rPr>
                      <w:rFonts w:hint="eastAsia"/>
                      <w:iCs/>
                      <w:kern w:val="0"/>
                      <w:szCs w:val="21"/>
                    </w:rPr>
                    <w:t>3</w:t>
                  </w:r>
                </w:p>
              </w:tc>
              <w:tc>
                <w:tcPr>
                  <w:tcW w:w="915" w:type="pct"/>
                  <w:noWrap w:val="0"/>
                  <w:vAlign w:val="center"/>
                </w:tcPr>
                <w:p w14:paraId="1546135C">
                  <w:pPr>
                    <w:jc w:val="center"/>
                    <w:rPr>
                      <w:rFonts w:hint="eastAsia"/>
                      <w:iCs/>
                      <w:kern w:val="0"/>
                      <w:szCs w:val="21"/>
                    </w:rPr>
                  </w:pPr>
                  <w:r>
                    <w:rPr>
                      <w:rFonts w:hint="eastAsia"/>
                      <w:iCs/>
                      <w:kern w:val="0"/>
                      <w:szCs w:val="21"/>
                    </w:rPr>
                    <w:t>废滤筒</w:t>
                  </w:r>
                </w:p>
              </w:tc>
              <w:tc>
                <w:tcPr>
                  <w:tcW w:w="659" w:type="pct"/>
                  <w:noWrap w:val="0"/>
                  <w:vAlign w:val="center"/>
                </w:tcPr>
                <w:p w14:paraId="3E499103">
                  <w:pPr>
                    <w:jc w:val="center"/>
                    <w:rPr>
                      <w:iCs/>
                      <w:kern w:val="0"/>
                      <w:szCs w:val="21"/>
                    </w:rPr>
                  </w:pPr>
                  <w:r>
                    <w:rPr>
                      <w:rFonts w:hint="eastAsia"/>
                      <w:iCs/>
                      <w:kern w:val="0"/>
                      <w:szCs w:val="21"/>
                    </w:rPr>
                    <w:t>0.1</w:t>
                  </w:r>
                </w:p>
              </w:tc>
              <w:tc>
                <w:tcPr>
                  <w:tcW w:w="696" w:type="pct"/>
                  <w:noWrap w:val="0"/>
                  <w:vAlign w:val="center"/>
                </w:tcPr>
                <w:p w14:paraId="5874A4BF">
                  <w:pPr>
                    <w:jc w:val="center"/>
                    <w:rPr>
                      <w:iCs/>
                      <w:kern w:val="0"/>
                      <w:szCs w:val="21"/>
                    </w:rPr>
                  </w:pPr>
                  <w:r>
                    <w:rPr>
                      <w:iCs/>
                      <w:kern w:val="0"/>
                      <w:szCs w:val="21"/>
                    </w:rPr>
                    <w:t>一般固废</w:t>
                  </w:r>
                </w:p>
              </w:tc>
              <w:tc>
                <w:tcPr>
                  <w:tcW w:w="878" w:type="pct"/>
                  <w:noWrap w:val="0"/>
                  <w:vAlign w:val="center"/>
                </w:tcPr>
                <w:p w14:paraId="57992FF2">
                  <w:pPr>
                    <w:jc w:val="center"/>
                    <w:rPr>
                      <w:iCs/>
                      <w:kern w:val="0"/>
                      <w:szCs w:val="21"/>
                    </w:rPr>
                  </w:pPr>
                  <w:r>
                    <w:rPr>
                      <w:rFonts w:hint="eastAsia"/>
                      <w:szCs w:val="21"/>
                    </w:rPr>
                    <w:t>900-099-S59</w:t>
                  </w:r>
                </w:p>
              </w:tc>
              <w:tc>
                <w:tcPr>
                  <w:tcW w:w="1520" w:type="pct"/>
                  <w:noWrap w:val="0"/>
                  <w:vAlign w:val="center"/>
                </w:tcPr>
                <w:p w14:paraId="37AEF3A8">
                  <w:pPr>
                    <w:jc w:val="center"/>
                    <w:rPr>
                      <w:iCs/>
                      <w:kern w:val="0"/>
                      <w:szCs w:val="21"/>
                    </w:rPr>
                  </w:pPr>
                  <w:r>
                    <w:rPr>
                      <w:rFonts w:hint="eastAsia"/>
                      <w:iCs/>
                      <w:kern w:val="0"/>
                      <w:szCs w:val="21"/>
                    </w:rPr>
                    <w:t>厂家回收</w:t>
                  </w:r>
                </w:p>
              </w:tc>
            </w:tr>
            <w:tr w14:paraId="462B93F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329" w:type="pct"/>
                  <w:noWrap w:val="0"/>
                  <w:vAlign w:val="center"/>
                </w:tcPr>
                <w:p w14:paraId="769265A1">
                  <w:pPr>
                    <w:jc w:val="center"/>
                    <w:rPr>
                      <w:rFonts w:hint="eastAsia"/>
                      <w:iCs/>
                      <w:kern w:val="0"/>
                      <w:szCs w:val="21"/>
                    </w:rPr>
                  </w:pPr>
                  <w:r>
                    <w:rPr>
                      <w:rFonts w:hint="eastAsia"/>
                      <w:iCs/>
                      <w:kern w:val="0"/>
                      <w:szCs w:val="21"/>
                    </w:rPr>
                    <w:t>4</w:t>
                  </w:r>
                </w:p>
              </w:tc>
              <w:tc>
                <w:tcPr>
                  <w:tcW w:w="915" w:type="pct"/>
                  <w:noWrap w:val="0"/>
                  <w:vAlign w:val="center"/>
                </w:tcPr>
                <w:p w14:paraId="046D8C9E">
                  <w:pPr>
                    <w:jc w:val="center"/>
                    <w:rPr>
                      <w:iCs/>
                      <w:kern w:val="0"/>
                      <w:szCs w:val="21"/>
                    </w:rPr>
                  </w:pPr>
                  <w:r>
                    <w:rPr>
                      <w:rFonts w:hint="eastAsia"/>
                      <w:iCs/>
                      <w:kern w:val="0"/>
                      <w:szCs w:val="21"/>
                    </w:rPr>
                    <w:t>滤筒收集粉尘</w:t>
                  </w:r>
                </w:p>
              </w:tc>
              <w:tc>
                <w:tcPr>
                  <w:tcW w:w="659" w:type="pct"/>
                  <w:noWrap w:val="0"/>
                  <w:vAlign w:val="center"/>
                </w:tcPr>
                <w:p w14:paraId="67880A1D">
                  <w:pPr>
                    <w:jc w:val="center"/>
                    <w:rPr>
                      <w:iCs/>
                      <w:kern w:val="0"/>
                      <w:szCs w:val="21"/>
                    </w:rPr>
                  </w:pPr>
                  <w:r>
                    <w:rPr>
                      <w:rFonts w:hint="eastAsia"/>
                      <w:iCs/>
                      <w:kern w:val="0"/>
                      <w:szCs w:val="21"/>
                    </w:rPr>
                    <w:t>0.0762</w:t>
                  </w:r>
                </w:p>
              </w:tc>
              <w:tc>
                <w:tcPr>
                  <w:tcW w:w="696" w:type="pct"/>
                  <w:noWrap w:val="0"/>
                  <w:vAlign w:val="center"/>
                </w:tcPr>
                <w:p w14:paraId="04C3E9F8">
                  <w:pPr>
                    <w:jc w:val="center"/>
                    <w:rPr>
                      <w:iCs/>
                      <w:kern w:val="0"/>
                      <w:szCs w:val="21"/>
                    </w:rPr>
                  </w:pPr>
                  <w:r>
                    <w:rPr>
                      <w:iCs/>
                      <w:kern w:val="0"/>
                      <w:szCs w:val="21"/>
                    </w:rPr>
                    <w:t>一般固废</w:t>
                  </w:r>
                </w:p>
              </w:tc>
              <w:tc>
                <w:tcPr>
                  <w:tcW w:w="878" w:type="pct"/>
                  <w:noWrap w:val="0"/>
                  <w:vAlign w:val="center"/>
                </w:tcPr>
                <w:p w14:paraId="43F0667C">
                  <w:pPr>
                    <w:jc w:val="center"/>
                    <w:rPr>
                      <w:szCs w:val="21"/>
                    </w:rPr>
                  </w:pPr>
                  <w:r>
                    <w:rPr>
                      <w:rFonts w:hint="eastAsia"/>
                      <w:szCs w:val="21"/>
                    </w:rPr>
                    <w:t>900-009-S59</w:t>
                  </w:r>
                </w:p>
              </w:tc>
              <w:tc>
                <w:tcPr>
                  <w:tcW w:w="1520" w:type="pct"/>
                  <w:noWrap w:val="0"/>
                  <w:vAlign w:val="center"/>
                </w:tcPr>
                <w:p w14:paraId="54E5D27E">
                  <w:pPr>
                    <w:jc w:val="center"/>
                    <w:rPr>
                      <w:rFonts w:hint="eastAsia"/>
                      <w:iCs/>
                      <w:kern w:val="0"/>
                      <w:szCs w:val="21"/>
                    </w:rPr>
                  </w:pPr>
                  <w:r>
                    <w:rPr>
                      <w:rFonts w:hint="eastAsia"/>
                      <w:iCs/>
                      <w:kern w:val="0"/>
                      <w:szCs w:val="21"/>
                    </w:rPr>
                    <w:t>外卖废品收购站</w:t>
                  </w:r>
                </w:p>
              </w:tc>
            </w:tr>
            <w:tr w14:paraId="267E8BA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329" w:type="pct"/>
                  <w:noWrap w:val="0"/>
                  <w:vAlign w:val="center"/>
                </w:tcPr>
                <w:p w14:paraId="1EE9A236">
                  <w:pPr>
                    <w:jc w:val="center"/>
                    <w:rPr>
                      <w:rFonts w:hint="eastAsia" w:eastAsia="宋体"/>
                      <w:i/>
                      <w:iCs w:val="0"/>
                      <w:kern w:val="0"/>
                      <w:szCs w:val="21"/>
                      <w:u w:val="single"/>
                      <w:lang w:val="en-US" w:eastAsia="zh-CN"/>
                    </w:rPr>
                  </w:pPr>
                  <w:r>
                    <w:rPr>
                      <w:rFonts w:hint="eastAsia"/>
                      <w:i/>
                      <w:iCs w:val="0"/>
                      <w:kern w:val="0"/>
                      <w:szCs w:val="21"/>
                      <w:u w:val="single"/>
                      <w:lang w:val="en-US" w:eastAsia="zh-CN"/>
                    </w:rPr>
                    <w:t>5</w:t>
                  </w:r>
                </w:p>
              </w:tc>
              <w:tc>
                <w:tcPr>
                  <w:tcW w:w="915" w:type="pct"/>
                  <w:noWrap w:val="0"/>
                  <w:vAlign w:val="center"/>
                </w:tcPr>
                <w:p w14:paraId="130EE391">
                  <w:pPr>
                    <w:jc w:val="center"/>
                    <w:rPr>
                      <w:rFonts w:hint="eastAsia"/>
                      <w:i/>
                      <w:iCs w:val="0"/>
                      <w:kern w:val="0"/>
                      <w:szCs w:val="21"/>
                      <w:u w:val="single"/>
                    </w:rPr>
                  </w:pPr>
                  <w:r>
                    <w:rPr>
                      <w:rFonts w:hint="eastAsia"/>
                      <w:i/>
                      <w:iCs w:val="0"/>
                      <w:kern w:val="0"/>
                      <w:szCs w:val="21"/>
                      <w:highlight w:val="none"/>
                      <w:u w:val="single"/>
                    </w:rPr>
                    <w:t>不合格实验品</w:t>
                  </w:r>
                </w:p>
              </w:tc>
              <w:tc>
                <w:tcPr>
                  <w:tcW w:w="659" w:type="pct"/>
                  <w:noWrap w:val="0"/>
                  <w:vAlign w:val="center"/>
                </w:tcPr>
                <w:p w14:paraId="4D6DE782">
                  <w:pPr>
                    <w:jc w:val="center"/>
                    <w:rPr>
                      <w:rFonts w:hint="default" w:eastAsia="宋体"/>
                      <w:i/>
                      <w:iCs w:val="0"/>
                      <w:kern w:val="0"/>
                      <w:szCs w:val="21"/>
                      <w:u w:val="single"/>
                      <w:lang w:val="en-US" w:eastAsia="zh-CN"/>
                    </w:rPr>
                  </w:pPr>
                  <w:r>
                    <w:rPr>
                      <w:rFonts w:hint="eastAsia"/>
                      <w:i/>
                      <w:iCs w:val="0"/>
                      <w:kern w:val="0"/>
                      <w:szCs w:val="21"/>
                      <w:u w:val="single"/>
                      <w:lang w:val="en-US" w:eastAsia="zh-CN"/>
                    </w:rPr>
                    <w:t>10</w:t>
                  </w:r>
                </w:p>
              </w:tc>
              <w:tc>
                <w:tcPr>
                  <w:tcW w:w="696" w:type="pct"/>
                  <w:noWrap w:val="0"/>
                  <w:vAlign w:val="center"/>
                </w:tcPr>
                <w:p w14:paraId="77069E98">
                  <w:pPr>
                    <w:jc w:val="center"/>
                    <w:rPr>
                      <w:i/>
                      <w:iCs w:val="0"/>
                      <w:kern w:val="0"/>
                      <w:szCs w:val="21"/>
                      <w:u w:val="single"/>
                    </w:rPr>
                  </w:pPr>
                  <w:r>
                    <w:rPr>
                      <w:i/>
                      <w:iCs w:val="0"/>
                      <w:kern w:val="0"/>
                      <w:szCs w:val="21"/>
                      <w:u w:val="single"/>
                    </w:rPr>
                    <w:t>一般固废</w:t>
                  </w:r>
                </w:p>
              </w:tc>
              <w:tc>
                <w:tcPr>
                  <w:tcW w:w="878" w:type="pct"/>
                  <w:noWrap w:val="0"/>
                  <w:vAlign w:val="center"/>
                </w:tcPr>
                <w:p w14:paraId="785900A9">
                  <w:pPr>
                    <w:jc w:val="center"/>
                    <w:rPr>
                      <w:rFonts w:hint="eastAsia"/>
                      <w:i/>
                      <w:iCs w:val="0"/>
                      <w:szCs w:val="21"/>
                      <w:u w:val="single"/>
                    </w:rPr>
                  </w:pPr>
                  <w:r>
                    <w:rPr>
                      <w:rFonts w:hint="eastAsia"/>
                      <w:i/>
                      <w:iCs w:val="0"/>
                      <w:szCs w:val="21"/>
                      <w:u w:val="single"/>
                    </w:rPr>
                    <w:t>900-099-S59</w:t>
                  </w:r>
                </w:p>
              </w:tc>
              <w:tc>
                <w:tcPr>
                  <w:tcW w:w="1520" w:type="pct"/>
                  <w:noWrap w:val="0"/>
                  <w:vAlign w:val="center"/>
                </w:tcPr>
                <w:p w14:paraId="1F22868A">
                  <w:pPr>
                    <w:jc w:val="center"/>
                    <w:rPr>
                      <w:rFonts w:hint="eastAsia" w:eastAsia="宋体"/>
                      <w:i/>
                      <w:iCs w:val="0"/>
                      <w:kern w:val="0"/>
                      <w:szCs w:val="21"/>
                      <w:u w:val="single"/>
                      <w:lang w:val="en-US" w:eastAsia="zh-CN"/>
                    </w:rPr>
                  </w:pPr>
                  <w:r>
                    <w:rPr>
                      <w:rFonts w:hint="eastAsia"/>
                      <w:i/>
                      <w:iCs w:val="0"/>
                      <w:kern w:val="0"/>
                      <w:szCs w:val="21"/>
                      <w:u w:val="single"/>
                      <w:lang w:val="en-US" w:eastAsia="zh-CN"/>
                    </w:rPr>
                    <w:t>外售综合利用</w:t>
                  </w:r>
                </w:p>
              </w:tc>
            </w:tr>
          </w:tbl>
          <w:p w14:paraId="0883F251">
            <w:pPr>
              <w:pStyle w:val="15"/>
              <w:spacing w:line="240" w:lineRule="auto"/>
              <w:ind w:left="0" w:leftChars="0" w:firstLine="480" w:firstLineChars="200"/>
              <w:rPr>
                <w:color w:val="000000"/>
                <w:kern w:val="0"/>
                <w:sz w:val="24"/>
                <w:szCs w:val="21"/>
              </w:rPr>
            </w:pPr>
          </w:p>
          <w:p w14:paraId="633B244A">
            <w:pPr>
              <w:pStyle w:val="15"/>
              <w:spacing w:line="240" w:lineRule="auto"/>
              <w:ind w:left="0" w:leftChars="0" w:firstLine="480" w:firstLineChars="200"/>
              <w:rPr>
                <w:color w:val="000000"/>
                <w:kern w:val="0"/>
                <w:sz w:val="24"/>
                <w:szCs w:val="21"/>
              </w:rPr>
            </w:pPr>
            <w:r>
              <w:rPr>
                <w:color w:val="000000"/>
                <w:kern w:val="0"/>
                <w:sz w:val="24"/>
                <w:szCs w:val="21"/>
              </w:rPr>
              <w:t>本项目危险废物</w:t>
            </w:r>
            <w:r>
              <w:rPr>
                <w:rFonts w:hint="eastAsia"/>
                <w:color w:val="000000"/>
                <w:kern w:val="0"/>
                <w:sz w:val="24"/>
                <w:szCs w:val="21"/>
              </w:rPr>
              <w:t>产生情况</w:t>
            </w:r>
            <w:r>
              <w:rPr>
                <w:color w:val="000000"/>
                <w:kern w:val="0"/>
                <w:sz w:val="24"/>
                <w:szCs w:val="21"/>
              </w:rPr>
              <w:t>汇总见下表。</w:t>
            </w:r>
          </w:p>
          <w:p w14:paraId="4705B3AC">
            <w:pPr>
              <w:pStyle w:val="5"/>
              <w:keepNext w:val="0"/>
              <w:keepLines w:val="0"/>
              <w:autoSpaceDE w:val="0"/>
              <w:autoSpaceDN w:val="0"/>
              <w:adjustRightInd w:val="0"/>
              <w:snapToGrid w:val="0"/>
              <w:textAlignment w:val="baseline"/>
              <w:rPr>
                <w:kern w:val="0"/>
                <w:sz w:val="24"/>
                <w:szCs w:val="21"/>
                <w:lang w:bidi="zh-CN"/>
              </w:rPr>
            </w:pPr>
            <w:r>
              <w:rPr>
                <w:kern w:val="0"/>
                <w:sz w:val="24"/>
                <w:szCs w:val="21"/>
                <w:lang w:bidi="zh-CN"/>
              </w:rPr>
              <w:t>表4-</w:t>
            </w:r>
            <w:r>
              <w:rPr>
                <w:rFonts w:hint="eastAsia"/>
                <w:kern w:val="0"/>
                <w:sz w:val="24"/>
                <w:szCs w:val="21"/>
                <w:lang w:bidi="zh-CN"/>
              </w:rPr>
              <w:t>1</w:t>
            </w:r>
            <w:r>
              <w:rPr>
                <w:rFonts w:hint="eastAsia"/>
                <w:kern w:val="0"/>
                <w:sz w:val="24"/>
                <w:szCs w:val="21"/>
                <w:lang w:val="en-US" w:bidi="zh-CN"/>
              </w:rPr>
              <w:t>1</w:t>
            </w:r>
            <w:r>
              <w:rPr>
                <w:kern w:val="0"/>
                <w:sz w:val="24"/>
                <w:szCs w:val="21"/>
                <w:lang w:bidi="zh-CN"/>
              </w:rPr>
              <w:t xml:space="preserve">  危险废物汇总表</w:t>
            </w:r>
          </w:p>
          <w:tbl>
            <w:tblPr>
              <w:tblStyle w:val="27"/>
              <w:tblW w:w="49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
              <w:gridCol w:w="797"/>
              <w:gridCol w:w="1196"/>
              <w:gridCol w:w="1135"/>
              <w:gridCol w:w="840"/>
              <w:gridCol w:w="426"/>
              <w:gridCol w:w="676"/>
              <w:gridCol w:w="822"/>
              <w:gridCol w:w="772"/>
              <w:gridCol w:w="870"/>
              <w:gridCol w:w="858"/>
            </w:tblGrid>
            <w:tr w14:paraId="4E6B1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524" w:type="pct"/>
                  <w:tcBorders>
                    <w:top w:val="single" w:color="auto" w:sz="12" w:space="0"/>
                    <w:left w:val="nil"/>
                    <w:bottom w:val="single" w:color="auto" w:sz="4" w:space="0"/>
                  </w:tcBorders>
                  <w:noWrap w:val="0"/>
                  <w:vAlign w:val="center"/>
                </w:tcPr>
                <w:p w14:paraId="1FFD7CD3">
                  <w:pPr>
                    <w:jc w:val="center"/>
                    <w:rPr>
                      <w:rFonts w:hint="eastAsia"/>
                      <w:iCs/>
                      <w:kern w:val="0"/>
                      <w:szCs w:val="21"/>
                    </w:rPr>
                  </w:pPr>
                  <w:r>
                    <w:rPr>
                      <w:rFonts w:hint="eastAsia"/>
                      <w:iCs/>
                      <w:kern w:val="0"/>
                      <w:szCs w:val="21"/>
                    </w:rPr>
                    <w:t>危险废物名称</w:t>
                  </w:r>
                </w:p>
              </w:tc>
              <w:tc>
                <w:tcPr>
                  <w:tcW w:w="425" w:type="pct"/>
                  <w:tcBorders>
                    <w:top w:val="single" w:color="auto" w:sz="12" w:space="0"/>
                    <w:bottom w:val="single" w:color="auto" w:sz="4" w:space="0"/>
                  </w:tcBorders>
                  <w:noWrap w:val="0"/>
                  <w:vAlign w:val="center"/>
                </w:tcPr>
                <w:p w14:paraId="483D3020">
                  <w:pPr>
                    <w:jc w:val="center"/>
                    <w:rPr>
                      <w:rFonts w:hint="eastAsia"/>
                      <w:iCs/>
                      <w:kern w:val="0"/>
                      <w:szCs w:val="21"/>
                    </w:rPr>
                  </w:pPr>
                  <w:r>
                    <w:rPr>
                      <w:rFonts w:hint="eastAsia"/>
                      <w:iCs/>
                      <w:kern w:val="0"/>
                      <w:szCs w:val="21"/>
                    </w:rPr>
                    <w:t>危险废物类别</w:t>
                  </w:r>
                </w:p>
              </w:tc>
              <w:tc>
                <w:tcPr>
                  <w:tcW w:w="637" w:type="pct"/>
                  <w:tcBorders>
                    <w:top w:val="single" w:color="auto" w:sz="12" w:space="0"/>
                    <w:bottom w:val="single" w:color="auto" w:sz="4" w:space="0"/>
                  </w:tcBorders>
                  <w:noWrap w:val="0"/>
                  <w:vAlign w:val="center"/>
                </w:tcPr>
                <w:p w14:paraId="00ECEEEB">
                  <w:pPr>
                    <w:jc w:val="center"/>
                    <w:rPr>
                      <w:rFonts w:hint="eastAsia"/>
                      <w:iCs/>
                      <w:kern w:val="0"/>
                      <w:szCs w:val="21"/>
                    </w:rPr>
                  </w:pPr>
                  <w:r>
                    <w:rPr>
                      <w:rFonts w:hint="eastAsia"/>
                      <w:iCs/>
                      <w:kern w:val="0"/>
                      <w:szCs w:val="21"/>
                    </w:rPr>
                    <w:t>危险废物代码</w:t>
                  </w:r>
                </w:p>
              </w:tc>
              <w:tc>
                <w:tcPr>
                  <w:tcW w:w="605" w:type="pct"/>
                  <w:tcBorders>
                    <w:top w:val="single" w:color="auto" w:sz="12" w:space="0"/>
                    <w:bottom w:val="single" w:color="auto" w:sz="4" w:space="0"/>
                  </w:tcBorders>
                  <w:noWrap w:val="0"/>
                  <w:vAlign w:val="center"/>
                </w:tcPr>
                <w:p w14:paraId="0BDDC6BF">
                  <w:pPr>
                    <w:jc w:val="center"/>
                    <w:rPr>
                      <w:rFonts w:hint="eastAsia"/>
                      <w:iCs/>
                      <w:kern w:val="0"/>
                      <w:szCs w:val="21"/>
                    </w:rPr>
                  </w:pPr>
                  <w:r>
                    <w:rPr>
                      <w:rFonts w:hint="eastAsia"/>
                      <w:iCs/>
                      <w:kern w:val="0"/>
                      <w:szCs w:val="21"/>
                    </w:rPr>
                    <w:t>产生量（t/a）</w:t>
                  </w:r>
                </w:p>
              </w:tc>
              <w:tc>
                <w:tcPr>
                  <w:tcW w:w="448" w:type="pct"/>
                  <w:tcBorders>
                    <w:top w:val="single" w:color="auto" w:sz="12" w:space="0"/>
                    <w:bottom w:val="single" w:color="auto" w:sz="4" w:space="0"/>
                  </w:tcBorders>
                  <w:noWrap w:val="0"/>
                  <w:vAlign w:val="center"/>
                </w:tcPr>
                <w:p w14:paraId="080421EC">
                  <w:pPr>
                    <w:jc w:val="center"/>
                    <w:rPr>
                      <w:rFonts w:hint="eastAsia"/>
                      <w:iCs/>
                      <w:kern w:val="0"/>
                      <w:szCs w:val="21"/>
                    </w:rPr>
                  </w:pPr>
                  <w:r>
                    <w:rPr>
                      <w:rFonts w:hint="eastAsia"/>
                      <w:iCs/>
                      <w:kern w:val="0"/>
                      <w:szCs w:val="21"/>
                    </w:rPr>
                    <w:t>产生工序及装置</w:t>
                  </w:r>
                </w:p>
              </w:tc>
              <w:tc>
                <w:tcPr>
                  <w:tcW w:w="226" w:type="pct"/>
                  <w:tcBorders>
                    <w:top w:val="single" w:color="auto" w:sz="12" w:space="0"/>
                    <w:bottom w:val="single" w:color="auto" w:sz="4" w:space="0"/>
                  </w:tcBorders>
                  <w:noWrap w:val="0"/>
                  <w:vAlign w:val="center"/>
                </w:tcPr>
                <w:p w14:paraId="3399CF21">
                  <w:pPr>
                    <w:jc w:val="center"/>
                    <w:rPr>
                      <w:rFonts w:hint="eastAsia"/>
                      <w:iCs/>
                      <w:kern w:val="0"/>
                      <w:szCs w:val="21"/>
                    </w:rPr>
                  </w:pPr>
                  <w:r>
                    <w:rPr>
                      <w:rFonts w:hint="eastAsia"/>
                      <w:iCs/>
                      <w:kern w:val="0"/>
                      <w:szCs w:val="21"/>
                    </w:rPr>
                    <w:t>形态</w:t>
                  </w:r>
                </w:p>
              </w:tc>
              <w:tc>
                <w:tcPr>
                  <w:tcW w:w="360" w:type="pct"/>
                  <w:tcBorders>
                    <w:top w:val="single" w:color="auto" w:sz="12" w:space="0"/>
                    <w:bottom w:val="single" w:color="auto" w:sz="4" w:space="0"/>
                  </w:tcBorders>
                  <w:noWrap w:val="0"/>
                  <w:vAlign w:val="center"/>
                </w:tcPr>
                <w:p w14:paraId="67428FDE">
                  <w:pPr>
                    <w:jc w:val="center"/>
                    <w:rPr>
                      <w:rFonts w:hint="eastAsia"/>
                      <w:iCs/>
                      <w:kern w:val="0"/>
                      <w:szCs w:val="21"/>
                    </w:rPr>
                  </w:pPr>
                  <w:r>
                    <w:rPr>
                      <w:rFonts w:hint="eastAsia"/>
                      <w:iCs/>
                      <w:kern w:val="0"/>
                      <w:szCs w:val="21"/>
                    </w:rPr>
                    <w:t>主要</w:t>
                  </w:r>
                </w:p>
                <w:p w14:paraId="2C5B20E8">
                  <w:pPr>
                    <w:jc w:val="center"/>
                    <w:rPr>
                      <w:rFonts w:hint="eastAsia"/>
                      <w:iCs/>
                      <w:kern w:val="0"/>
                      <w:szCs w:val="21"/>
                    </w:rPr>
                  </w:pPr>
                  <w:r>
                    <w:rPr>
                      <w:rFonts w:hint="eastAsia"/>
                      <w:iCs/>
                      <w:kern w:val="0"/>
                      <w:szCs w:val="21"/>
                    </w:rPr>
                    <w:t>成分</w:t>
                  </w:r>
                </w:p>
              </w:tc>
              <w:tc>
                <w:tcPr>
                  <w:tcW w:w="438" w:type="pct"/>
                  <w:tcBorders>
                    <w:top w:val="single" w:color="auto" w:sz="12" w:space="0"/>
                    <w:bottom w:val="single" w:color="auto" w:sz="4" w:space="0"/>
                  </w:tcBorders>
                  <w:noWrap w:val="0"/>
                  <w:vAlign w:val="center"/>
                </w:tcPr>
                <w:p w14:paraId="5C21FD55">
                  <w:pPr>
                    <w:jc w:val="center"/>
                    <w:rPr>
                      <w:rFonts w:hint="eastAsia"/>
                      <w:iCs/>
                      <w:kern w:val="0"/>
                      <w:szCs w:val="21"/>
                    </w:rPr>
                  </w:pPr>
                  <w:r>
                    <w:rPr>
                      <w:rFonts w:hint="eastAsia"/>
                      <w:iCs/>
                      <w:kern w:val="0"/>
                      <w:szCs w:val="21"/>
                    </w:rPr>
                    <w:t>有害</w:t>
                  </w:r>
                </w:p>
                <w:p w14:paraId="20441B4A">
                  <w:pPr>
                    <w:jc w:val="center"/>
                    <w:rPr>
                      <w:rFonts w:hint="eastAsia"/>
                      <w:iCs/>
                      <w:kern w:val="0"/>
                      <w:szCs w:val="21"/>
                    </w:rPr>
                  </w:pPr>
                  <w:r>
                    <w:rPr>
                      <w:rFonts w:hint="eastAsia"/>
                      <w:iCs/>
                      <w:kern w:val="0"/>
                      <w:szCs w:val="21"/>
                    </w:rPr>
                    <w:t>成分</w:t>
                  </w:r>
                </w:p>
              </w:tc>
              <w:tc>
                <w:tcPr>
                  <w:tcW w:w="411" w:type="pct"/>
                  <w:tcBorders>
                    <w:top w:val="single" w:color="auto" w:sz="12" w:space="0"/>
                    <w:bottom w:val="single" w:color="auto" w:sz="4" w:space="0"/>
                  </w:tcBorders>
                  <w:noWrap w:val="0"/>
                  <w:vAlign w:val="center"/>
                </w:tcPr>
                <w:p w14:paraId="3BB76D6E">
                  <w:pPr>
                    <w:jc w:val="center"/>
                    <w:rPr>
                      <w:rFonts w:hint="eastAsia"/>
                      <w:iCs/>
                      <w:kern w:val="0"/>
                      <w:szCs w:val="21"/>
                    </w:rPr>
                  </w:pPr>
                  <w:r>
                    <w:rPr>
                      <w:rFonts w:hint="eastAsia"/>
                      <w:iCs/>
                      <w:kern w:val="0"/>
                      <w:szCs w:val="21"/>
                    </w:rPr>
                    <w:t>产废</w:t>
                  </w:r>
                </w:p>
                <w:p w14:paraId="1EBCC121">
                  <w:pPr>
                    <w:jc w:val="center"/>
                    <w:rPr>
                      <w:rFonts w:hint="eastAsia"/>
                      <w:iCs/>
                      <w:kern w:val="0"/>
                      <w:szCs w:val="21"/>
                    </w:rPr>
                  </w:pPr>
                  <w:r>
                    <w:rPr>
                      <w:rFonts w:hint="eastAsia"/>
                      <w:iCs/>
                      <w:kern w:val="0"/>
                      <w:szCs w:val="21"/>
                    </w:rPr>
                    <w:t>周期</w:t>
                  </w:r>
                </w:p>
              </w:tc>
              <w:tc>
                <w:tcPr>
                  <w:tcW w:w="463" w:type="pct"/>
                  <w:tcBorders>
                    <w:top w:val="single" w:color="auto" w:sz="12" w:space="0"/>
                    <w:bottom w:val="single" w:color="auto" w:sz="4" w:space="0"/>
                    <w:right w:val="nil"/>
                  </w:tcBorders>
                  <w:noWrap w:val="0"/>
                  <w:vAlign w:val="center"/>
                </w:tcPr>
                <w:p w14:paraId="6F63E7CE">
                  <w:pPr>
                    <w:jc w:val="center"/>
                    <w:rPr>
                      <w:iCs/>
                      <w:kern w:val="0"/>
                      <w:szCs w:val="21"/>
                    </w:rPr>
                  </w:pPr>
                  <w:r>
                    <w:rPr>
                      <w:rFonts w:hint="eastAsia"/>
                      <w:iCs/>
                      <w:kern w:val="0"/>
                      <w:szCs w:val="21"/>
                    </w:rPr>
                    <w:t>危险特性</w:t>
                  </w:r>
                </w:p>
              </w:tc>
              <w:tc>
                <w:tcPr>
                  <w:tcW w:w="457" w:type="pct"/>
                  <w:tcBorders>
                    <w:top w:val="single" w:color="auto" w:sz="12" w:space="0"/>
                    <w:bottom w:val="single" w:color="auto" w:sz="4" w:space="0"/>
                    <w:right w:val="nil"/>
                  </w:tcBorders>
                  <w:noWrap w:val="0"/>
                  <w:vAlign w:val="center"/>
                </w:tcPr>
                <w:p w14:paraId="331DBC9C">
                  <w:pPr>
                    <w:jc w:val="center"/>
                    <w:rPr>
                      <w:rFonts w:hint="eastAsia"/>
                      <w:iCs/>
                      <w:kern w:val="0"/>
                      <w:szCs w:val="21"/>
                    </w:rPr>
                  </w:pPr>
                  <w:r>
                    <w:rPr>
                      <w:rFonts w:hint="eastAsia"/>
                      <w:iCs/>
                      <w:kern w:val="0"/>
                      <w:szCs w:val="21"/>
                    </w:rPr>
                    <w:t>污染防治措施</w:t>
                  </w:r>
                </w:p>
              </w:tc>
            </w:tr>
            <w:tr w14:paraId="5091B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atLeast"/>
                <w:jc w:val="center"/>
              </w:trPr>
              <w:tc>
                <w:tcPr>
                  <w:tcW w:w="524" w:type="pct"/>
                  <w:tcBorders>
                    <w:left w:val="nil"/>
                  </w:tcBorders>
                  <w:noWrap w:val="0"/>
                  <w:vAlign w:val="center"/>
                </w:tcPr>
                <w:p w14:paraId="7C807DAA">
                  <w:pPr>
                    <w:jc w:val="center"/>
                    <w:rPr>
                      <w:i/>
                      <w:iCs w:val="0"/>
                      <w:kern w:val="0"/>
                      <w:szCs w:val="21"/>
                      <w:u w:val="single"/>
                    </w:rPr>
                  </w:pPr>
                  <w:r>
                    <w:rPr>
                      <w:rFonts w:hint="eastAsia"/>
                      <w:i/>
                      <w:iCs w:val="0"/>
                      <w:kern w:val="0"/>
                      <w:szCs w:val="21"/>
                      <w:u w:val="single"/>
                    </w:rPr>
                    <w:t>漆渣</w:t>
                  </w:r>
                </w:p>
              </w:tc>
              <w:tc>
                <w:tcPr>
                  <w:tcW w:w="425" w:type="pct"/>
                  <w:noWrap w:val="0"/>
                  <w:vAlign w:val="center"/>
                </w:tcPr>
                <w:p w14:paraId="17999CB8">
                  <w:pPr>
                    <w:pStyle w:val="4"/>
                    <w:keepNext w:val="0"/>
                    <w:keepLines w:val="0"/>
                    <w:autoSpaceDE w:val="0"/>
                    <w:autoSpaceDN w:val="0"/>
                    <w:spacing w:line="240" w:lineRule="auto"/>
                    <w:jc w:val="center"/>
                    <w:textAlignment w:val="baseline"/>
                    <w:rPr>
                      <w:rFonts w:hint="eastAsia" w:eastAsia="宋体"/>
                      <w:i/>
                      <w:iCs w:val="0"/>
                      <w:kern w:val="0"/>
                      <w:szCs w:val="21"/>
                      <w:u w:val="single"/>
                    </w:rPr>
                  </w:pPr>
                  <w:r>
                    <w:rPr>
                      <w:rFonts w:eastAsia="宋体"/>
                      <w:b w:val="0"/>
                      <w:i/>
                      <w:iCs w:val="0"/>
                      <w:sz w:val="21"/>
                      <w:szCs w:val="21"/>
                      <w:u w:val="single"/>
                    </w:rPr>
                    <w:t>HW12</w:t>
                  </w:r>
                </w:p>
              </w:tc>
              <w:tc>
                <w:tcPr>
                  <w:tcW w:w="637" w:type="pct"/>
                  <w:noWrap w:val="0"/>
                  <w:vAlign w:val="center"/>
                </w:tcPr>
                <w:p w14:paraId="36DECC89">
                  <w:pPr>
                    <w:pStyle w:val="4"/>
                    <w:keepNext w:val="0"/>
                    <w:keepLines w:val="0"/>
                    <w:autoSpaceDE w:val="0"/>
                    <w:autoSpaceDN w:val="0"/>
                    <w:spacing w:line="240" w:lineRule="auto"/>
                    <w:jc w:val="center"/>
                    <w:textAlignment w:val="baseline"/>
                    <w:rPr>
                      <w:rFonts w:hint="eastAsia" w:eastAsia="宋体"/>
                      <w:i/>
                      <w:iCs w:val="0"/>
                      <w:kern w:val="0"/>
                      <w:szCs w:val="21"/>
                      <w:u w:val="single"/>
                    </w:rPr>
                  </w:pPr>
                  <w:r>
                    <w:rPr>
                      <w:rFonts w:eastAsia="宋体"/>
                      <w:b w:val="0"/>
                      <w:i/>
                      <w:iCs w:val="0"/>
                      <w:sz w:val="21"/>
                      <w:szCs w:val="21"/>
                      <w:u w:val="single"/>
                    </w:rPr>
                    <w:t>900-252-12</w:t>
                  </w:r>
                </w:p>
              </w:tc>
              <w:tc>
                <w:tcPr>
                  <w:tcW w:w="605" w:type="pct"/>
                  <w:noWrap w:val="0"/>
                  <w:vAlign w:val="center"/>
                </w:tcPr>
                <w:p w14:paraId="1510C875">
                  <w:pPr>
                    <w:pStyle w:val="4"/>
                    <w:keepNext w:val="0"/>
                    <w:keepLines w:val="0"/>
                    <w:autoSpaceDE w:val="0"/>
                    <w:autoSpaceDN w:val="0"/>
                    <w:spacing w:line="240" w:lineRule="auto"/>
                    <w:jc w:val="center"/>
                    <w:textAlignment w:val="baseline"/>
                    <w:rPr>
                      <w:rFonts w:eastAsia="宋体"/>
                      <w:i/>
                      <w:iCs w:val="0"/>
                      <w:kern w:val="0"/>
                      <w:szCs w:val="21"/>
                      <w:u w:val="single"/>
                    </w:rPr>
                  </w:pPr>
                  <w:r>
                    <w:rPr>
                      <w:rFonts w:hint="eastAsia" w:eastAsia="宋体"/>
                      <w:b w:val="0"/>
                      <w:i/>
                      <w:iCs w:val="0"/>
                      <w:sz w:val="21"/>
                      <w:szCs w:val="21"/>
                      <w:u w:val="single"/>
                    </w:rPr>
                    <w:t>0.008</w:t>
                  </w:r>
                </w:p>
              </w:tc>
              <w:tc>
                <w:tcPr>
                  <w:tcW w:w="448" w:type="pct"/>
                  <w:noWrap w:val="0"/>
                  <w:vAlign w:val="center"/>
                </w:tcPr>
                <w:p w14:paraId="5CDD91AE">
                  <w:pPr>
                    <w:pStyle w:val="4"/>
                    <w:keepNext w:val="0"/>
                    <w:keepLines w:val="0"/>
                    <w:autoSpaceDE w:val="0"/>
                    <w:autoSpaceDN w:val="0"/>
                    <w:spacing w:line="240" w:lineRule="auto"/>
                    <w:jc w:val="center"/>
                    <w:textAlignment w:val="baseline"/>
                    <w:rPr>
                      <w:rFonts w:eastAsia="宋体"/>
                      <w:i/>
                      <w:iCs w:val="0"/>
                      <w:kern w:val="0"/>
                      <w:szCs w:val="21"/>
                      <w:u w:val="single"/>
                    </w:rPr>
                  </w:pPr>
                  <w:r>
                    <w:rPr>
                      <w:rFonts w:hint="eastAsia" w:eastAsia="宋体"/>
                      <w:b w:val="0"/>
                      <w:i/>
                      <w:iCs w:val="0"/>
                      <w:sz w:val="21"/>
                      <w:szCs w:val="21"/>
                      <w:u w:val="single"/>
                    </w:rPr>
                    <w:t>喷涂实验</w:t>
                  </w:r>
                </w:p>
              </w:tc>
              <w:tc>
                <w:tcPr>
                  <w:tcW w:w="226" w:type="pct"/>
                  <w:noWrap w:val="0"/>
                  <w:vAlign w:val="center"/>
                </w:tcPr>
                <w:p w14:paraId="7AF3F16D">
                  <w:pPr>
                    <w:pStyle w:val="4"/>
                    <w:keepNext w:val="0"/>
                    <w:keepLines w:val="0"/>
                    <w:autoSpaceDE w:val="0"/>
                    <w:autoSpaceDN w:val="0"/>
                    <w:spacing w:line="240" w:lineRule="auto"/>
                    <w:jc w:val="center"/>
                    <w:textAlignment w:val="baseline"/>
                    <w:rPr>
                      <w:rFonts w:hint="eastAsia" w:eastAsia="宋体"/>
                      <w:i/>
                      <w:iCs w:val="0"/>
                      <w:kern w:val="0"/>
                      <w:szCs w:val="21"/>
                      <w:u w:val="single"/>
                    </w:rPr>
                  </w:pPr>
                  <w:r>
                    <w:rPr>
                      <w:rFonts w:hint="eastAsia" w:eastAsia="宋体"/>
                      <w:b w:val="0"/>
                      <w:i/>
                      <w:iCs w:val="0"/>
                      <w:sz w:val="21"/>
                      <w:szCs w:val="21"/>
                      <w:u w:val="single"/>
                    </w:rPr>
                    <w:t>固态</w:t>
                  </w:r>
                </w:p>
              </w:tc>
              <w:tc>
                <w:tcPr>
                  <w:tcW w:w="360" w:type="pct"/>
                  <w:noWrap w:val="0"/>
                  <w:vAlign w:val="center"/>
                </w:tcPr>
                <w:p w14:paraId="5BABD78B">
                  <w:pPr>
                    <w:pStyle w:val="4"/>
                    <w:keepNext w:val="0"/>
                    <w:keepLines w:val="0"/>
                    <w:autoSpaceDE w:val="0"/>
                    <w:autoSpaceDN w:val="0"/>
                    <w:spacing w:line="240" w:lineRule="auto"/>
                    <w:jc w:val="center"/>
                    <w:textAlignment w:val="baseline"/>
                    <w:rPr>
                      <w:rFonts w:hint="eastAsia" w:eastAsia="宋体"/>
                      <w:i/>
                      <w:iCs w:val="0"/>
                      <w:kern w:val="0"/>
                      <w:szCs w:val="21"/>
                      <w:u w:val="single"/>
                    </w:rPr>
                  </w:pPr>
                  <w:r>
                    <w:rPr>
                      <w:rFonts w:hint="eastAsia" w:eastAsia="宋体"/>
                      <w:b w:val="0"/>
                      <w:i/>
                      <w:iCs w:val="0"/>
                      <w:sz w:val="21"/>
                      <w:szCs w:val="21"/>
                      <w:u w:val="single"/>
                    </w:rPr>
                    <w:t>有机物</w:t>
                  </w:r>
                </w:p>
              </w:tc>
              <w:tc>
                <w:tcPr>
                  <w:tcW w:w="438" w:type="pct"/>
                  <w:noWrap w:val="0"/>
                  <w:vAlign w:val="center"/>
                </w:tcPr>
                <w:p w14:paraId="7CCE7149">
                  <w:pPr>
                    <w:pStyle w:val="4"/>
                    <w:keepNext w:val="0"/>
                    <w:keepLines w:val="0"/>
                    <w:autoSpaceDE w:val="0"/>
                    <w:autoSpaceDN w:val="0"/>
                    <w:spacing w:line="240" w:lineRule="auto"/>
                    <w:jc w:val="center"/>
                    <w:textAlignment w:val="baseline"/>
                    <w:rPr>
                      <w:rFonts w:hint="eastAsia" w:eastAsia="宋体"/>
                      <w:i/>
                      <w:iCs w:val="0"/>
                      <w:kern w:val="0"/>
                      <w:szCs w:val="21"/>
                      <w:u w:val="single"/>
                    </w:rPr>
                  </w:pPr>
                  <w:r>
                    <w:rPr>
                      <w:rFonts w:hint="eastAsia" w:eastAsia="宋体"/>
                      <w:b w:val="0"/>
                      <w:i/>
                      <w:iCs w:val="0"/>
                      <w:sz w:val="21"/>
                      <w:szCs w:val="21"/>
                      <w:u w:val="single"/>
                    </w:rPr>
                    <w:t>有机物</w:t>
                  </w:r>
                </w:p>
              </w:tc>
              <w:tc>
                <w:tcPr>
                  <w:tcW w:w="411" w:type="pct"/>
                  <w:noWrap w:val="0"/>
                  <w:vAlign w:val="center"/>
                </w:tcPr>
                <w:p w14:paraId="2DE66580">
                  <w:pPr>
                    <w:pStyle w:val="4"/>
                    <w:keepNext w:val="0"/>
                    <w:keepLines w:val="0"/>
                    <w:autoSpaceDE w:val="0"/>
                    <w:autoSpaceDN w:val="0"/>
                    <w:spacing w:line="240" w:lineRule="auto"/>
                    <w:jc w:val="center"/>
                    <w:textAlignment w:val="baseline"/>
                    <w:rPr>
                      <w:rFonts w:hint="eastAsia" w:eastAsia="宋体"/>
                      <w:i/>
                      <w:iCs w:val="0"/>
                      <w:kern w:val="0"/>
                      <w:szCs w:val="21"/>
                      <w:u w:val="single"/>
                    </w:rPr>
                  </w:pPr>
                  <w:r>
                    <w:rPr>
                      <w:rFonts w:hint="eastAsia" w:eastAsia="宋体"/>
                      <w:b w:val="0"/>
                      <w:i/>
                      <w:iCs w:val="0"/>
                      <w:sz w:val="21"/>
                      <w:szCs w:val="21"/>
                      <w:u w:val="single"/>
                    </w:rPr>
                    <w:t>1d</w:t>
                  </w:r>
                </w:p>
              </w:tc>
              <w:tc>
                <w:tcPr>
                  <w:tcW w:w="463" w:type="pct"/>
                  <w:tcBorders>
                    <w:right w:val="nil"/>
                  </w:tcBorders>
                  <w:noWrap w:val="0"/>
                  <w:vAlign w:val="center"/>
                </w:tcPr>
                <w:p w14:paraId="1F8C90EE">
                  <w:pPr>
                    <w:pStyle w:val="4"/>
                    <w:keepNext w:val="0"/>
                    <w:keepLines w:val="0"/>
                    <w:autoSpaceDE w:val="0"/>
                    <w:autoSpaceDN w:val="0"/>
                    <w:spacing w:line="240" w:lineRule="auto"/>
                    <w:jc w:val="center"/>
                    <w:textAlignment w:val="baseline"/>
                    <w:rPr>
                      <w:rFonts w:hint="eastAsia" w:eastAsia="宋体"/>
                      <w:i/>
                      <w:iCs w:val="0"/>
                      <w:kern w:val="0"/>
                      <w:szCs w:val="21"/>
                      <w:u w:val="single"/>
                    </w:rPr>
                  </w:pPr>
                  <w:r>
                    <w:rPr>
                      <w:rFonts w:hint="eastAsia" w:eastAsia="宋体"/>
                      <w:b w:val="0"/>
                      <w:i/>
                      <w:iCs w:val="0"/>
                      <w:sz w:val="21"/>
                      <w:szCs w:val="21"/>
                      <w:u w:val="single"/>
                    </w:rPr>
                    <w:t>T，I</w:t>
                  </w:r>
                </w:p>
              </w:tc>
              <w:tc>
                <w:tcPr>
                  <w:tcW w:w="457" w:type="pct"/>
                  <w:vMerge w:val="restart"/>
                  <w:tcBorders>
                    <w:right w:val="nil"/>
                  </w:tcBorders>
                  <w:noWrap w:val="0"/>
                  <w:vAlign w:val="center"/>
                </w:tcPr>
                <w:p w14:paraId="1C097652">
                  <w:pPr>
                    <w:jc w:val="center"/>
                    <w:rPr>
                      <w:rFonts w:hint="eastAsia"/>
                      <w:iCs/>
                      <w:kern w:val="0"/>
                      <w:szCs w:val="21"/>
                    </w:rPr>
                  </w:pPr>
                  <w:r>
                    <w:rPr>
                      <w:rFonts w:hint="eastAsia"/>
                      <w:iCs/>
                      <w:kern w:val="0"/>
                      <w:szCs w:val="21"/>
                      <w:lang w:eastAsia="zh-CN"/>
                    </w:rPr>
                    <w:t>危废贮存库</w:t>
                  </w:r>
                  <w:r>
                    <w:rPr>
                      <w:rFonts w:hint="eastAsia"/>
                      <w:iCs/>
                      <w:kern w:val="0"/>
                      <w:szCs w:val="21"/>
                    </w:rPr>
                    <w:t>暂存，委托资质单位处置</w:t>
                  </w:r>
                </w:p>
              </w:tc>
            </w:tr>
            <w:tr w14:paraId="38C15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24" w:type="pct"/>
                  <w:tcBorders>
                    <w:left w:val="nil"/>
                  </w:tcBorders>
                  <w:noWrap w:val="0"/>
                  <w:vAlign w:val="center"/>
                </w:tcPr>
                <w:p w14:paraId="5CB2F1A9">
                  <w:pPr>
                    <w:jc w:val="center"/>
                    <w:rPr>
                      <w:rFonts w:hint="eastAsia"/>
                      <w:iCs/>
                      <w:kern w:val="0"/>
                      <w:szCs w:val="21"/>
                    </w:rPr>
                  </w:pPr>
                  <w:r>
                    <w:rPr>
                      <w:rFonts w:hint="eastAsia"/>
                      <w:iCs/>
                      <w:kern w:val="0"/>
                      <w:szCs w:val="21"/>
                      <w:lang w:val="zh-CN"/>
                    </w:rPr>
                    <w:t>废活性炭及废过滤棉</w:t>
                  </w:r>
                </w:p>
              </w:tc>
              <w:tc>
                <w:tcPr>
                  <w:tcW w:w="425" w:type="pct"/>
                  <w:noWrap w:val="0"/>
                  <w:vAlign w:val="center"/>
                </w:tcPr>
                <w:p w14:paraId="328A05C8">
                  <w:pPr>
                    <w:pStyle w:val="4"/>
                    <w:keepNext w:val="0"/>
                    <w:keepLines w:val="0"/>
                    <w:autoSpaceDE w:val="0"/>
                    <w:autoSpaceDN w:val="0"/>
                    <w:spacing w:line="240" w:lineRule="auto"/>
                    <w:jc w:val="center"/>
                    <w:textAlignment w:val="baseline"/>
                    <w:rPr>
                      <w:rFonts w:eastAsia="宋体"/>
                      <w:b w:val="0"/>
                      <w:sz w:val="21"/>
                      <w:szCs w:val="21"/>
                    </w:rPr>
                  </w:pPr>
                  <w:r>
                    <w:rPr>
                      <w:rFonts w:eastAsia="宋体"/>
                      <w:b w:val="0"/>
                      <w:sz w:val="21"/>
                      <w:szCs w:val="21"/>
                    </w:rPr>
                    <w:t>HW</w:t>
                  </w:r>
                  <w:r>
                    <w:rPr>
                      <w:rFonts w:hint="eastAsia" w:eastAsia="宋体"/>
                      <w:b w:val="0"/>
                      <w:sz w:val="21"/>
                      <w:szCs w:val="21"/>
                    </w:rPr>
                    <w:t>49</w:t>
                  </w:r>
                </w:p>
              </w:tc>
              <w:tc>
                <w:tcPr>
                  <w:tcW w:w="637" w:type="pct"/>
                  <w:noWrap w:val="0"/>
                  <w:vAlign w:val="center"/>
                </w:tcPr>
                <w:p w14:paraId="2FDDD86D">
                  <w:pPr>
                    <w:pStyle w:val="4"/>
                    <w:keepNext w:val="0"/>
                    <w:keepLines w:val="0"/>
                    <w:autoSpaceDE w:val="0"/>
                    <w:autoSpaceDN w:val="0"/>
                    <w:spacing w:line="240" w:lineRule="auto"/>
                    <w:jc w:val="center"/>
                    <w:textAlignment w:val="baseline"/>
                    <w:rPr>
                      <w:rFonts w:eastAsia="宋体"/>
                      <w:b w:val="0"/>
                      <w:sz w:val="21"/>
                      <w:szCs w:val="21"/>
                    </w:rPr>
                  </w:pPr>
                  <w:r>
                    <w:rPr>
                      <w:rFonts w:eastAsia="宋体"/>
                      <w:b w:val="0"/>
                      <w:sz w:val="21"/>
                      <w:szCs w:val="21"/>
                    </w:rPr>
                    <w:t>900-039-49</w:t>
                  </w:r>
                </w:p>
              </w:tc>
              <w:tc>
                <w:tcPr>
                  <w:tcW w:w="605" w:type="pct"/>
                  <w:noWrap w:val="0"/>
                  <w:vAlign w:val="center"/>
                </w:tcPr>
                <w:p w14:paraId="3AB09003">
                  <w:pPr>
                    <w:pStyle w:val="4"/>
                    <w:keepNext w:val="0"/>
                    <w:keepLines w:val="0"/>
                    <w:autoSpaceDE w:val="0"/>
                    <w:autoSpaceDN w:val="0"/>
                    <w:spacing w:line="240" w:lineRule="auto"/>
                    <w:jc w:val="center"/>
                    <w:textAlignment w:val="baseline"/>
                    <w:rPr>
                      <w:rFonts w:hint="default" w:eastAsia="宋体"/>
                      <w:b w:val="0"/>
                      <w:sz w:val="21"/>
                      <w:szCs w:val="21"/>
                      <w:lang w:val="en-US" w:eastAsia="zh-CN"/>
                    </w:rPr>
                  </w:pPr>
                  <w:r>
                    <w:rPr>
                      <w:rFonts w:hint="eastAsia" w:eastAsia="宋体"/>
                      <w:b w:val="0"/>
                      <w:sz w:val="21"/>
                      <w:szCs w:val="21"/>
                      <w:lang w:val="en-US" w:eastAsia="zh-CN"/>
                    </w:rPr>
                    <w:t>4.377</w:t>
                  </w:r>
                </w:p>
              </w:tc>
              <w:tc>
                <w:tcPr>
                  <w:tcW w:w="448" w:type="pct"/>
                  <w:noWrap w:val="0"/>
                  <w:vAlign w:val="center"/>
                </w:tcPr>
                <w:p w14:paraId="1C8C4DF8">
                  <w:pPr>
                    <w:pStyle w:val="4"/>
                    <w:keepNext w:val="0"/>
                    <w:keepLines w:val="0"/>
                    <w:autoSpaceDE w:val="0"/>
                    <w:autoSpaceDN w:val="0"/>
                    <w:spacing w:line="240" w:lineRule="auto"/>
                    <w:jc w:val="center"/>
                    <w:textAlignment w:val="baseline"/>
                    <w:rPr>
                      <w:rFonts w:hint="eastAsia" w:eastAsia="宋体"/>
                      <w:b w:val="0"/>
                      <w:sz w:val="21"/>
                      <w:szCs w:val="21"/>
                    </w:rPr>
                  </w:pPr>
                  <w:r>
                    <w:rPr>
                      <w:rFonts w:hint="eastAsia" w:eastAsia="宋体"/>
                      <w:b w:val="0"/>
                      <w:sz w:val="21"/>
                      <w:szCs w:val="21"/>
                    </w:rPr>
                    <w:t>污染治理</w:t>
                  </w:r>
                </w:p>
              </w:tc>
              <w:tc>
                <w:tcPr>
                  <w:tcW w:w="226" w:type="pct"/>
                  <w:noWrap w:val="0"/>
                  <w:vAlign w:val="center"/>
                </w:tcPr>
                <w:p w14:paraId="32DEFADF">
                  <w:pPr>
                    <w:pStyle w:val="4"/>
                    <w:keepNext w:val="0"/>
                    <w:keepLines w:val="0"/>
                    <w:autoSpaceDE w:val="0"/>
                    <w:autoSpaceDN w:val="0"/>
                    <w:spacing w:line="240" w:lineRule="auto"/>
                    <w:jc w:val="center"/>
                    <w:textAlignment w:val="baseline"/>
                    <w:rPr>
                      <w:rFonts w:hint="eastAsia" w:eastAsia="宋体"/>
                      <w:iCs/>
                      <w:kern w:val="0"/>
                      <w:szCs w:val="21"/>
                    </w:rPr>
                  </w:pPr>
                  <w:r>
                    <w:rPr>
                      <w:rFonts w:hint="eastAsia" w:eastAsia="宋体"/>
                      <w:b w:val="0"/>
                      <w:sz w:val="21"/>
                      <w:szCs w:val="21"/>
                    </w:rPr>
                    <w:t>固态</w:t>
                  </w:r>
                </w:p>
              </w:tc>
              <w:tc>
                <w:tcPr>
                  <w:tcW w:w="360" w:type="pct"/>
                  <w:noWrap w:val="0"/>
                  <w:vAlign w:val="center"/>
                </w:tcPr>
                <w:p w14:paraId="7B9B1F8E">
                  <w:pPr>
                    <w:pStyle w:val="4"/>
                    <w:keepNext w:val="0"/>
                    <w:keepLines w:val="0"/>
                    <w:autoSpaceDE w:val="0"/>
                    <w:autoSpaceDN w:val="0"/>
                    <w:spacing w:line="240" w:lineRule="auto"/>
                    <w:jc w:val="center"/>
                    <w:textAlignment w:val="baseline"/>
                    <w:rPr>
                      <w:rFonts w:hint="eastAsia" w:eastAsia="宋体"/>
                      <w:iCs/>
                      <w:kern w:val="0"/>
                      <w:szCs w:val="21"/>
                    </w:rPr>
                  </w:pPr>
                  <w:r>
                    <w:rPr>
                      <w:rFonts w:hint="eastAsia" w:eastAsia="宋体"/>
                      <w:b w:val="0"/>
                      <w:sz w:val="21"/>
                      <w:szCs w:val="21"/>
                    </w:rPr>
                    <w:t>有机物</w:t>
                  </w:r>
                </w:p>
              </w:tc>
              <w:tc>
                <w:tcPr>
                  <w:tcW w:w="438" w:type="pct"/>
                  <w:noWrap w:val="0"/>
                  <w:vAlign w:val="center"/>
                </w:tcPr>
                <w:p w14:paraId="11526C75">
                  <w:pPr>
                    <w:pStyle w:val="4"/>
                    <w:keepNext w:val="0"/>
                    <w:keepLines w:val="0"/>
                    <w:autoSpaceDE w:val="0"/>
                    <w:autoSpaceDN w:val="0"/>
                    <w:spacing w:line="240" w:lineRule="auto"/>
                    <w:jc w:val="center"/>
                    <w:textAlignment w:val="baseline"/>
                    <w:rPr>
                      <w:rFonts w:hint="eastAsia" w:eastAsia="宋体"/>
                      <w:iCs/>
                      <w:kern w:val="0"/>
                      <w:szCs w:val="21"/>
                    </w:rPr>
                  </w:pPr>
                  <w:r>
                    <w:rPr>
                      <w:rFonts w:hint="eastAsia" w:eastAsia="宋体"/>
                      <w:b w:val="0"/>
                      <w:sz w:val="21"/>
                      <w:szCs w:val="21"/>
                    </w:rPr>
                    <w:t>有机物</w:t>
                  </w:r>
                </w:p>
              </w:tc>
              <w:tc>
                <w:tcPr>
                  <w:tcW w:w="411" w:type="pct"/>
                  <w:noWrap w:val="0"/>
                  <w:vAlign w:val="center"/>
                </w:tcPr>
                <w:p w14:paraId="136D6469">
                  <w:pPr>
                    <w:pStyle w:val="4"/>
                    <w:keepNext w:val="0"/>
                    <w:keepLines w:val="0"/>
                    <w:autoSpaceDE w:val="0"/>
                    <w:autoSpaceDN w:val="0"/>
                    <w:spacing w:line="240" w:lineRule="auto"/>
                    <w:jc w:val="center"/>
                    <w:textAlignment w:val="baseline"/>
                    <w:rPr>
                      <w:rFonts w:hint="eastAsia" w:eastAsia="宋体"/>
                      <w:b w:val="0"/>
                      <w:sz w:val="21"/>
                      <w:szCs w:val="21"/>
                    </w:rPr>
                  </w:pPr>
                  <w:r>
                    <w:rPr>
                      <w:rFonts w:hint="eastAsia" w:eastAsia="宋体"/>
                      <w:b w:val="0"/>
                      <w:sz w:val="21"/>
                      <w:szCs w:val="21"/>
                    </w:rPr>
                    <w:t>季度</w:t>
                  </w:r>
                </w:p>
              </w:tc>
              <w:tc>
                <w:tcPr>
                  <w:tcW w:w="463" w:type="pct"/>
                  <w:tcBorders>
                    <w:right w:val="nil"/>
                  </w:tcBorders>
                  <w:noWrap w:val="0"/>
                  <w:vAlign w:val="center"/>
                </w:tcPr>
                <w:p w14:paraId="478143EC">
                  <w:pPr>
                    <w:pStyle w:val="4"/>
                    <w:keepNext w:val="0"/>
                    <w:keepLines w:val="0"/>
                    <w:autoSpaceDE w:val="0"/>
                    <w:autoSpaceDN w:val="0"/>
                    <w:spacing w:line="240" w:lineRule="auto"/>
                    <w:jc w:val="center"/>
                    <w:textAlignment w:val="baseline"/>
                    <w:rPr>
                      <w:rFonts w:hint="eastAsia" w:eastAsia="宋体"/>
                      <w:b w:val="0"/>
                      <w:sz w:val="21"/>
                      <w:szCs w:val="21"/>
                    </w:rPr>
                  </w:pPr>
                  <w:r>
                    <w:rPr>
                      <w:rFonts w:hint="eastAsia" w:eastAsia="宋体"/>
                      <w:b w:val="0"/>
                      <w:sz w:val="21"/>
                      <w:szCs w:val="21"/>
                    </w:rPr>
                    <w:t>T</w:t>
                  </w:r>
                </w:p>
              </w:tc>
              <w:tc>
                <w:tcPr>
                  <w:tcW w:w="457" w:type="pct"/>
                  <w:vMerge w:val="continue"/>
                  <w:tcBorders>
                    <w:right w:val="nil"/>
                  </w:tcBorders>
                  <w:noWrap w:val="0"/>
                  <w:vAlign w:val="center"/>
                </w:tcPr>
                <w:p w14:paraId="67D3FFB5">
                  <w:pPr>
                    <w:jc w:val="center"/>
                    <w:rPr>
                      <w:rFonts w:hint="eastAsia"/>
                      <w:iCs/>
                      <w:kern w:val="0"/>
                      <w:szCs w:val="21"/>
                    </w:rPr>
                  </w:pPr>
                </w:p>
              </w:tc>
            </w:tr>
            <w:tr w14:paraId="3C632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524" w:type="pct"/>
                  <w:tcBorders>
                    <w:left w:val="nil"/>
                  </w:tcBorders>
                  <w:noWrap w:val="0"/>
                  <w:vAlign w:val="center"/>
                </w:tcPr>
                <w:p w14:paraId="737F72A9">
                  <w:pPr>
                    <w:jc w:val="center"/>
                    <w:rPr>
                      <w:rFonts w:hint="eastAsia"/>
                      <w:iCs/>
                      <w:kern w:val="0"/>
                      <w:szCs w:val="21"/>
                      <w:lang w:val="zh-CN"/>
                    </w:rPr>
                  </w:pPr>
                  <w:r>
                    <w:rPr>
                      <w:rFonts w:hint="eastAsia" w:eastAsia="宋体"/>
                    </w:rPr>
                    <w:t>实验设备</w:t>
                  </w:r>
                  <w:r>
                    <w:rPr>
                      <w:rFonts w:hint="eastAsia" w:eastAsia="宋体"/>
                      <w:lang w:eastAsia="zh-CN"/>
                    </w:rPr>
                    <w:t>及实验室地面清洗废水</w:t>
                  </w:r>
                </w:p>
              </w:tc>
              <w:tc>
                <w:tcPr>
                  <w:tcW w:w="425" w:type="pct"/>
                  <w:noWrap w:val="0"/>
                  <w:vAlign w:val="center"/>
                </w:tcPr>
                <w:p w14:paraId="37737BDA">
                  <w:pPr>
                    <w:pStyle w:val="4"/>
                    <w:keepNext w:val="0"/>
                    <w:keepLines w:val="0"/>
                    <w:autoSpaceDE w:val="0"/>
                    <w:autoSpaceDN w:val="0"/>
                    <w:spacing w:line="240" w:lineRule="auto"/>
                    <w:jc w:val="center"/>
                    <w:textAlignment w:val="baseline"/>
                    <w:rPr>
                      <w:rFonts w:eastAsia="宋体"/>
                      <w:b w:val="0"/>
                      <w:sz w:val="21"/>
                      <w:szCs w:val="21"/>
                    </w:rPr>
                  </w:pPr>
                  <w:r>
                    <w:rPr>
                      <w:rFonts w:eastAsia="宋体"/>
                      <w:b w:val="0"/>
                      <w:sz w:val="21"/>
                      <w:szCs w:val="21"/>
                    </w:rPr>
                    <w:t>HW</w:t>
                  </w:r>
                  <w:r>
                    <w:rPr>
                      <w:rFonts w:hint="eastAsia" w:eastAsia="宋体"/>
                      <w:b w:val="0"/>
                      <w:sz w:val="21"/>
                      <w:szCs w:val="21"/>
                    </w:rPr>
                    <w:t>49</w:t>
                  </w:r>
                </w:p>
              </w:tc>
              <w:tc>
                <w:tcPr>
                  <w:tcW w:w="637" w:type="pct"/>
                  <w:noWrap w:val="0"/>
                  <w:vAlign w:val="center"/>
                </w:tcPr>
                <w:p w14:paraId="45FFA1BE">
                  <w:pPr>
                    <w:pStyle w:val="4"/>
                    <w:keepNext w:val="0"/>
                    <w:keepLines w:val="0"/>
                    <w:autoSpaceDE w:val="0"/>
                    <w:autoSpaceDN w:val="0"/>
                    <w:spacing w:line="240" w:lineRule="auto"/>
                    <w:jc w:val="center"/>
                    <w:textAlignment w:val="baseline"/>
                    <w:rPr>
                      <w:rFonts w:eastAsia="宋体"/>
                      <w:b w:val="0"/>
                      <w:sz w:val="21"/>
                      <w:szCs w:val="21"/>
                    </w:rPr>
                  </w:pPr>
                  <w:r>
                    <w:rPr>
                      <w:rFonts w:hint="eastAsia" w:eastAsia="宋体"/>
                      <w:b w:val="0"/>
                      <w:sz w:val="21"/>
                      <w:szCs w:val="21"/>
                    </w:rPr>
                    <w:t>900-047-49</w:t>
                  </w:r>
                </w:p>
              </w:tc>
              <w:tc>
                <w:tcPr>
                  <w:tcW w:w="605" w:type="pct"/>
                  <w:noWrap w:val="0"/>
                  <w:vAlign w:val="center"/>
                </w:tcPr>
                <w:p w14:paraId="1F70E504">
                  <w:pPr>
                    <w:pStyle w:val="4"/>
                    <w:keepNext w:val="0"/>
                    <w:keepLines w:val="0"/>
                    <w:autoSpaceDE w:val="0"/>
                    <w:autoSpaceDN w:val="0"/>
                    <w:spacing w:line="240" w:lineRule="auto"/>
                    <w:jc w:val="center"/>
                    <w:textAlignment w:val="baseline"/>
                    <w:rPr>
                      <w:rFonts w:hint="default" w:eastAsia="宋体"/>
                      <w:b w:val="0"/>
                      <w:sz w:val="21"/>
                      <w:szCs w:val="21"/>
                      <w:lang w:val="en-US" w:eastAsia="zh-CN"/>
                    </w:rPr>
                  </w:pPr>
                  <w:r>
                    <w:rPr>
                      <w:rFonts w:hint="eastAsia" w:eastAsia="宋体"/>
                      <w:b w:val="0"/>
                      <w:sz w:val="21"/>
                      <w:szCs w:val="21"/>
                      <w:lang w:val="en-US" w:eastAsia="zh-CN"/>
                    </w:rPr>
                    <w:t>29.7</w:t>
                  </w:r>
                </w:p>
              </w:tc>
              <w:tc>
                <w:tcPr>
                  <w:tcW w:w="448" w:type="pct"/>
                  <w:noWrap w:val="0"/>
                  <w:vAlign w:val="center"/>
                </w:tcPr>
                <w:p w14:paraId="2DBF43E9">
                  <w:pPr>
                    <w:pStyle w:val="4"/>
                    <w:keepNext w:val="0"/>
                    <w:keepLines w:val="0"/>
                    <w:autoSpaceDE w:val="0"/>
                    <w:autoSpaceDN w:val="0"/>
                    <w:spacing w:line="240" w:lineRule="auto"/>
                    <w:jc w:val="center"/>
                    <w:textAlignment w:val="baseline"/>
                    <w:rPr>
                      <w:rFonts w:hint="eastAsia" w:eastAsia="宋体"/>
                      <w:b w:val="0"/>
                      <w:sz w:val="21"/>
                      <w:szCs w:val="21"/>
                    </w:rPr>
                  </w:pPr>
                  <w:r>
                    <w:rPr>
                      <w:rFonts w:hint="eastAsia" w:eastAsia="宋体"/>
                      <w:b w:val="0"/>
                      <w:sz w:val="21"/>
                      <w:szCs w:val="21"/>
                    </w:rPr>
                    <w:t>设备清洗</w:t>
                  </w:r>
                </w:p>
              </w:tc>
              <w:tc>
                <w:tcPr>
                  <w:tcW w:w="226" w:type="pct"/>
                  <w:noWrap w:val="0"/>
                  <w:vAlign w:val="center"/>
                </w:tcPr>
                <w:p w14:paraId="29A573B6">
                  <w:pPr>
                    <w:pStyle w:val="4"/>
                    <w:keepNext w:val="0"/>
                    <w:keepLines w:val="0"/>
                    <w:autoSpaceDE w:val="0"/>
                    <w:autoSpaceDN w:val="0"/>
                    <w:spacing w:line="240" w:lineRule="auto"/>
                    <w:jc w:val="center"/>
                    <w:textAlignment w:val="baseline"/>
                    <w:rPr>
                      <w:rFonts w:hint="eastAsia" w:eastAsia="宋体"/>
                      <w:b w:val="0"/>
                      <w:sz w:val="21"/>
                      <w:szCs w:val="21"/>
                    </w:rPr>
                  </w:pPr>
                  <w:r>
                    <w:rPr>
                      <w:rFonts w:hint="eastAsia" w:eastAsia="宋体"/>
                      <w:b w:val="0"/>
                      <w:sz w:val="21"/>
                      <w:szCs w:val="21"/>
                    </w:rPr>
                    <w:t>液态</w:t>
                  </w:r>
                </w:p>
              </w:tc>
              <w:tc>
                <w:tcPr>
                  <w:tcW w:w="360" w:type="pct"/>
                  <w:noWrap w:val="0"/>
                  <w:vAlign w:val="center"/>
                </w:tcPr>
                <w:p w14:paraId="714F821D">
                  <w:pPr>
                    <w:pStyle w:val="4"/>
                    <w:keepNext w:val="0"/>
                    <w:keepLines w:val="0"/>
                    <w:autoSpaceDE w:val="0"/>
                    <w:autoSpaceDN w:val="0"/>
                    <w:spacing w:line="240" w:lineRule="auto"/>
                    <w:jc w:val="center"/>
                    <w:textAlignment w:val="baseline"/>
                    <w:rPr>
                      <w:rFonts w:hint="eastAsia" w:eastAsia="宋体"/>
                      <w:b w:val="0"/>
                      <w:sz w:val="21"/>
                      <w:szCs w:val="21"/>
                    </w:rPr>
                  </w:pPr>
                  <w:r>
                    <w:rPr>
                      <w:rFonts w:hint="eastAsia" w:eastAsia="宋体"/>
                      <w:b w:val="0"/>
                      <w:sz w:val="21"/>
                      <w:szCs w:val="21"/>
                    </w:rPr>
                    <w:t>有机物</w:t>
                  </w:r>
                </w:p>
              </w:tc>
              <w:tc>
                <w:tcPr>
                  <w:tcW w:w="438" w:type="pct"/>
                  <w:noWrap w:val="0"/>
                  <w:vAlign w:val="center"/>
                </w:tcPr>
                <w:p w14:paraId="64DA4AB1">
                  <w:pPr>
                    <w:pStyle w:val="4"/>
                    <w:keepNext w:val="0"/>
                    <w:keepLines w:val="0"/>
                    <w:autoSpaceDE w:val="0"/>
                    <w:autoSpaceDN w:val="0"/>
                    <w:spacing w:line="240" w:lineRule="auto"/>
                    <w:jc w:val="center"/>
                    <w:textAlignment w:val="baseline"/>
                    <w:rPr>
                      <w:rFonts w:hint="eastAsia" w:eastAsia="宋体"/>
                      <w:b w:val="0"/>
                      <w:sz w:val="21"/>
                      <w:szCs w:val="21"/>
                    </w:rPr>
                  </w:pPr>
                  <w:r>
                    <w:rPr>
                      <w:rFonts w:hint="eastAsia" w:eastAsia="宋体"/>
                      <w:b w:val="0"/>
                      <w:sz w:val="21"/>
                      <w:szCs w:val="21"/>
                    </w:rPr>
                    <w:t>有机物</w:t>
                  </w:r>
                </w:p>
              </w:tc>
              <w:tc>
                <w:tcPr>
                  <w:tcW w:w="411" w:type="pct"/>
                  <w:noWrap w:val="0"/>
                  <w:vAlign w:val="center"/>
                </w:tcPr>
                <w:p w14:paraId="6F6DA232">
                  <w:pPr>
                    <w:pStyle w:val="4"/>
                    <w:keepNext w:val="0"/>
                    <w:keepLines w:val="0"/>
                    <w:autoSpaceDE w:val="0"/>
                    <w:autoSpaceDN w:val="0"/>
                    <w:spacing w:line="240" w:lineRule="auto"/>
                    <w:jc w:val="center"/>
                    <w:textAlignment w:val="baseline"/>
                    <w:rPr>
                      <w:rFonts w:hint="eastAsia" w:eastAsia="宋体"/>
                      <w:b w:val="0"/>
                      <w:sz w:val="21"/>
                      <w:szCs w:val="21"/>
                    </w:rPr>
                  </w:pPr>
                  <w:r>
                    <w:rPr>
                      <w:rFonts w:hint="eastAsia" w:eastAsia="宋体"/>
                      <w:b w:val="0"/>
                      <w:sz w:val="21"/>
                      <w:szCs w:val="21"/>
                    </w:rPr>
                    <w:t>1d</w:t>
                  </w:r>
                </w:p>
              </w:tc>
              <w:tc>
                <w:tcPr>
                  <w:tcW w:w="463" w:type="pct"/>
                  <w:tcBorders>
                    <w:right w:val="nil"/>
                  </w:tcBorders>
                  <w:noWrap w:val="0"/>
                  <w:vAlign w:val="center"/>
                </w:tcPr>
                <w:p w14:paraId="1B4350FC">
                  <w:pPr>
                    <w:pStyle w:val="4"/>
                    <w:keepNext w:val="0"/>
                    <w:keepLines w:val="0"/>
                    <w:autoSpaceDE w:val="0"/>
                    <w:autoSpaceDN w:val="0"/>
                    <w:spacing w:line="240" w:lineRule="auto"/>
                    <w:jc w:val="center"/>
                    <w:textAlignment w:val="baseline"/>
                    <w:rPr>
                      <w:rFonts w:hint="eastAsia" w:eastAsia="宋体"/>
                      <w:b w:val="0"/>
                      <w:sz w:val="21"/>
                      <w:szCs w:val="21"/>
                    </w:rPr>
                  </w:pPr>
                  <w:r>
                    <w:rPr>
                      <w:rFonts w:hint="eastAsia" w:eastAsia="宋体"/>
                      <w:b w:val="0"/>
                      <w:sz w:val="21"/>
                      <w:szCs w:val="21"/>
                    </w:rPr>
                    <w:t>T/C/I/R</w:t>
                  </w:r>
                </w:p>
              </w:tc>
              <w:tc>
                <w:tcPr>
                  <w:tcW w:w="457" w:type="pct"/>
                  <w:vMerge w:val="continue"/>
                  <w:tcBorders>
                    <w:right w:val="nil"/>
                  </w:tcBorders>
                  <w:noWrap w:val="0"/>
                  <w:vAlign w:val="center"/>
                </w:tcPr>
                <w:p w14:paraId="44BD0F91">
                  <w:pPr>
                    <w:jc w:val="center"/>
                    <w:rPr>
                      <w:rFonts w:hint="eastAsia"/>
                      <w:iCs/>
                      <w:kern w:val="0"/>
                      <w:szCs w:val="21"/>
                    </w:rPr>
                  </w:pPr>
                </w:p>
              </w:tc>
            </w:tr>
            <w:tr w14:paraId="59504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524" w:type="pct"/>
                  <w:tcBorders>
                    <w:left w:val="nil"/>
                    <w:bottom w:val="single" w:color="auto" w:sz="12" w:space="0"/>
                  </w:tcBorders>
                  <w:noWrap w:val="0"/>
                  <w:vAlign w:val="center"/>
                </w:tcPr>
                <w:p w14:paraId="3E7F38FD">
                  <w:pPr>
                    <w:jc w:val="center"/>
                    <w:rPr>
                      <w:rFonts w:hint="eastAsia" w:eastAsia="宋体"/>
                      <w:lang w:eastAsia="zh-CN"/>
                    </w:rPr>
                  </w:pPr>
                  <w:r>
                    <w:rPr>
                      <w:rFonts w:hint="eastAsia" w:eastAsia="宋体"/>
                      <w:lang w:eastAsia="zh-CN"/>
                    </w:rPr>
                    <w:t>过滤杂质</w:t>
                  </w:r>
                </w:p>
              </w:tc>
              <w:tc>
                <w:tcPr>
                  <w:tcW w:w="425" w:type="pct"/>
                  <w:tcBorders>
                    <w:bottom w:val="single" w:color="auto" w:sz="12" w:space="0"/>
                  </w:tcBorders>
                  <w:noWrap w:val="0"/>
                  <w:vAlign w:val="center"/>
                </w:tcPr>
                <w:p w14:paraId="2A8BFD7D">
                  <w:pPr>
                    <w:pStyle w:val="4"/>
                    <w:keepNext w:val="0"/>
                    <w:keepLines w:val="0"/>
                    <w:autoSpaceDE w:val="0"/>
                    <w:autoSpaceDN w:val="0"/>
                    <w:spacing w:line="240" w:lineRule="auto"/>
                    <w:jc w:val="center"/>
                    <w:textAlignment w:val="baseline"/>
                    <w:rPr>
                      <w:rFonts w:eastAsia="宋体"/>
                      <w:b w:val="0"/>
                      <w:bCs/>
                      <w:kern w:val="2"/>
                      <w:sz w:val="21"/>
                      <w:szCs w:val="21"/>
                      <w:lang w:val="en-US" w:eastAsia="zh-CN" w:bidi="ar-SA"/>
                    </w:rPr>
                  </w:pPr>
                  <w:r>
                    <w:rPr>
                      <w:rFonts w:eastAsia="宋体"/>
                      <w:b w:val="0"/>
                      <w:sz w:val="21"/>
                      <w:szCs w:val="21"/>
                    </w:rPr>
                    <w:t>HW</w:t>
                  </w:r>
                  <w:r>
                    <w:rPr>
                      <w:rFonts w:hint="eastAsia" w:eastAsia="宋体"/>
                      <w:b w:val="0"/>
                      <w:sz w:val="21"/>
                      <w:szCs w:val="21"/>
                    </w:rPr>
                    <w:t>49</w:t>
                  </w:r>
                </w:p>
              </w:tc>
              <w:tc>
                <w:tcPr>
                  <w:tcW w:w="637" w:type="pct"/>
                  <w:tcBorders>
                    <w:bottom w:val="single" w:color="auto" w:sz="12" w:space="0"/>
                  </w:tcBorders>
                  <w:noWrap w:val="0"/>
                  <w:vAlign w:val="center"/>
                </w:tcPr>
                <w:p w14:paraId="73A32320">
                  <w:pPr>
                    <w:pStyle w:val="4"/>
                    <w:keepNext w:val="0"/>
                    <w:keepLines w:val="0"/>
                    <w:autoSpaceDE w:val="0"/>
                    <w:autoSpaceDN w:val="0"/>
                    <w:spacing w:line="240" w:lineRule="auto"/>
                    <w:jc w:val="center"/>
                    <w:textAlignment w:val="baseline"/>
                    <w:rPr>
                      <w:rFonts w:hint="eastAsia" w:eastAsia="宋体"/>
                      <w:b w:val="0"/>
                      <w:bCs/>
                      <w:kern w:val="2"/>
                      <w:sz w:val="21"/>
                      <w:szCs w:val="21"/>
                      <w:lang w:val="en-US" w:eastAsia="zh-CN" w:bidi="ar-SA"/>
                    </w:rPr>
                  </w:pPr>
                  <w:r>
                    <w:rPr>
                      <w:rFonts w:hint="eastAsia" w:eastAsia="宋体"/>
                      <w:b w:val="0"/>
                      <w:sz w:val="21"/>
                      <w:szCs w:val="21"/>
                    </w:rPr>
                    <w:t>900-047-49</w:t>
                  </w:r>
                </w:p>
              </w:tc>
              <w:tc>
                <w:tcPr>
                  <w:tcW w:w="605" w:type="pct"/>
                  <w:tcBorders>
                    <w:bottom w:val="single" w:color="auto" w:sz="12" w:space="0"/>
                  </w:tcBorders>
                  <w:noWrap w:val="0"/>
                  <w:vAlign w:val="center"/>
                </w:tcPr>
                <w:p w14:paraId="24369B2B">
                  <w:pPr>
                    <w:pStyle w:val="4"/>
                    <w:keepNext w:val="0"/>
                    <w:keepLines w:val="0"/>
                    <w:autoSpaceDE w:val="0"/>
                    <w:autoSpaceDN w:val="0"/>
                    <w:spacing w:line="240" w:lineRule="auto"/>
                    <w:jc w:val="center"/>
                    <w:textAlignment w:val="baseline"/>
                    <w:rPr>
                      <w:rFonts w:hint="default" w:eastAsia="宋体"/>
                      <w:b w:val="0"/>
                      <w:sz w:val="21"/>
                      <w:szCs w:val="21"/>
                      <w:lang w:val="en-US" w:eastAsia="zh-CN"/>
                    </w:rPr>
                  </w:pPr>
                  <w:r>
                    <w:rPr>
                      <w:rFonts w:hint="eastAsia" w:eastAsia="宋体"/>
                      <w:b w:val="0"/>
                      <w:sz w:val="21"/>
                      <w:szCs w:val="21"/>
                      <w:lang w:val="en-US" w:eastAsia="zh-CN"/>
                    </w:rPr>
                    <w:t>0.002</w:t>
                  </w:r>
                </w:p>
              </w:tc>
              <w:tc>
                <w:tcPr>
                  <w:tcW w:w="448" w:type="pct"/>
                  <w:tcBorders>
                    <w:bottom w:val="single" w:color="auto" w:sz="12" w:space="0"/>
                  </w:tcBorders>
                  <w:noWrap w:val="0"/>
                  <w:vAlign w:val="center"/>
                </w:tcPr>
                <w:p w14:paraId="763E2BE7">
                  <w:pPr>
                    <w:pStyle w:val="4"/>
                    <w:keepNext w:val="0"/>
                    <w:keepLines w:val="0"/>
                    <w:autoSpaceDE w:val="0"/>
                    <w:autoSpaceDN w:val="0"/>
                    <w:spacing w:line="240" w:lineRule="auto"/>
                    <w:jc w:val="center"/>
                    <w:textAlignment w:val="baseline"/>
                    <w:rPr>
                      <w:rFonts w:hint="eastAsia" w:eastAsia="宋体"/>
                      <w:b w:val="0"/>
                      <w:sz w:val="21"/>
                      <w:szCs w:val="21"/>
                      <w:lang w:eastAsia="zh-CN"/>
                    </w:rPr>
                  </w:pPr>
                  <w:r>
                    <w:rPr>
                      <w:rFonts w:hint="eastAsia" w:eastAsia="宋体"/>
                      <w:b w:val="0"/>
                      <w:sz w:val="21"/>
                      <w:szCs w:val="21"/>
                      <w:lang w:eastAsia="zh-CN"/>
                    </w:rPr>
                    <w:t>漆料过滤</w:t>
                  </w:r>
                </w:p>
              </w:tc>
              <w:tc>
                <w:tcPr>
                  <w:tcW w:w="226" w:type="pct"/>
                  <w:tcBorders>
                    <w:bottom w:val="single" w:color="auto" w:sz="12" w:space="0"/>
                  </w:tcBorders>
                  <w:noWrap w:val="0"/>
                  <w:vAlign w:val="center"/>
                </w:tcPr>
                <w:p w14:paraId="2CD3A35F">
                  <w:pPr>
                    <w:pStyle w:val="4"/>
                    <w:keepNext w:val="0"/>
                    <w:keepLines w:val="0"/>
                    <w:autoSpaceDE w:val="0"/>
                    <w:autoSpaceDN w:val="0"/>
                    <w:spacing w:line="240" w:lineRule="auto"/>
                    <w:jc w:val="center"/>
                    <w:textAlignment w:val="baseline"/>
                    <w:rPr>
                      <w:rFonts w:hint="eastAsia" w:eastAsia="宋体"/>
                      <w:b w:val="0"/>
                      <w:sz w:val="21"/>
                      <w:szCs w:val="21"/>
                    </w:rPr>
                  </w:pPr>
                  <w:r>
                    <w:rPr>
                      <w:rFonts w:hint="eastAsia" w:eastAsia="宋体"/>
                      <w:b w:val="0"/>
                      <w:sz w:val="21"/>
                      <w:szCs w:val="21"/>
                      <w:lang w:eastAsia="zh-CN"/>
                    </w:rPr>
                    <w:t>固</w:t>
                  </w:r>
                  <w:r>
                    <w:rPr>
                      <w:rFonts w:hint="eastAsia" w:eastAsia="宋体"/>
                      <w:b w:val="0"/>
                      <w:sz w:val="21"/>
                      <w:szCs w:val="21"/>
                      <w:lang w:val="en-US" w:eastAsia="zh-CN"/>
                    </w:rPr>
                    <w:t>/</w:t>
                  </w:r>
                  <w:r>
                    <w:rPr>
                      <w:rFonts w:hint="eastAsia" w:eastAsia="宋体"/>
                      <w:b w:val="0"/>
                      <w:sz w:val="21"/>
                      <w:szCs w:val="21"/>
                    </w:rPr>
                    <w:t>液态</w:t>
                  </w:r>
                </w:p>
              </w:tc>
              <w:tc>
                <w:tcPr>
                  <w:tcW w:w="360" w:type="pct"/>
                  <w:tcBorders>
                    <w:bottom w:val="single" w:color="auto" w:sz="12" w:space="0"/>
                  </w:tcBorders>
                  <w:noWrap w:val="0"/>
                  <w:vAlign w:val="center"/>
                </w:tcPr>
                <w:p w14:paraId="49FFA4B5">
                  <w:pPr>
                    <w:pStyle w:val="4"/>
                    <w:keepNext w:val="0"/>
                    <w:keepLines w:val="0"/>
                    <w:autoSpaceDE w:val="0"/>
                    <w:autoSpaceDN w:val="0"/>
                    <w:spacing w:line="240" w:lineRule="auto"/>
                    <w:jc w:val="center"/>
                    <w:textAlignment w:val="baseline"/>
                    <w:rPr>
                      <w:rFonts w:hint="eastAsia" w:eastAsia="宋体"/>
                      <w:b w:val="0"/>
                      <w:bCs/>
                      <w:kern w:val="2"/>
                      <w:sz w:val="21"/>
                      <w:szCs w:val="21"/>
                      <w:lang w:val="en-US" w:eastAsia="zh-CN" w:bidi="ar-SA"/>
                    </w:rPr>
                  </w:pPr>
                  <w:r>
                    <w:rPr>
                      <w:rFonts w:hint="eastAsia" w:eastAsia="宋体"/>
                      <w:b w:val="0"/>
                      <w:sz w:val="21"/>
                      <w:szCs w:val="21"/>
                    </w:rPr>
                    <w:t>有机物</w:t>
                  </w:r>
                </w:p>
              </w:tc>
              <w:tc>
                <w:tcPr>
                  <w:tcW w:w="438" w:type="pct"/>
                  <w:tcBorders>
                    <w:bottom w:val="single" w:color="auto" w:sz="12" w:space="0"/>
                  </w:tcBorders>
                  <w:noWrap w:val="0"/>
                  <w:vAlign w:val="center"/>
                </w:tcPr>
                <w:p w14:paraId="2D3C0C7E">
                  <w:pPr>
                    <w:pStyle w:val="4"/>
                    <w:keepNext w:val="0"/>
                    <w:keepLines w:val="0"/>
                    <w:autoSpaceDE w:val="0"/>
                    <w:autoSpaceDN w:val="0"/>
                    <w:spacing w:line="240" w:lineRule="auto"/>
                    <w:jc w:val="center"/>
                    <w:textAlignment w:val="baseline"/>
                    <w:rPr>
                      <w:rFonts w:hint="eastAsia" w:eastAsia="宋体"/>
                      <w:b w:val="0"/>
                      <w:bCs/>
                      <w:kern w:val="2"/>
                      <w:sz w:val="21"/>
                      <w:szCs w:val="21"/>
                      <w:lang w:val="en-US" w:eastAsia="zh-CN" w:bidi="ar-SA"/>
                    </w:rPr>
                  </w:pPr>
                  <w:r>
                    <w:rPr>
                      <w:rFonts w:hint="eastAsia" w:eastAsia="宋体"/>
                      <w:b w:val="0"/>
                      <w:sz w:val="21"/>
                      <w:szCs w:val="21"/>
                    </w:rPr>
                    <w:t>有机物</w:t>
                  </w:r>
                </w:p>
              </w:tc>
              <w:tc>
                <w:tcPr>
                  <w:tcW w:w="411" w:type="pct"/>
                  <w:tcBorders>
                    <w:bottom w:val="single" w:color="auto" w:sz="12" w:space="0"/>
                  </w:tcBorders>
                  <w:noWrap w:val="0"/>
                  <w:vAlign w:val="center"/>
                </w:tcPr>
                <w:p w14:paraId="1FEDB1D1">
                  <w:pPr>
                    <w:pStyle w:val="4"/>
                    <w:keepNext w:val="0"/>
                    <w:keepLines w:val="0"/>
                    <w:autoSpaceDE w:val="0"/>
                    <w:autoSpaceDN w:val="0"/>
                    <w:spacing w:line="240" w:lineRule="auto"/>
                    <w:jc w:val="center"/>
                    <w:textAlignment w:val="baseline"/>
                    <w:rPr>
                      <w:rFonts w:hint="eastAsia" w:eastAsia="宋体"/>
                      <w:b w:val="0"/>
                      <w:sz w:val="21"/>
                      <w:szCs w:val="21"/>
                    </w:rPr>
                  </w:pPr>
                  <w:r>
                    <w:rPr>
                      <w:rFonts w:hint="eastAsia" w:eastAsia="宋体"/>
                      <w:b w:val="0"/>
                      <w:sz w:val="21"/>
                      <w:szCs w:val="21"/>
                    </w:rPr>
                    <w:t>1d</w:t>
                  </w:r>
                </w:p>
              </w:tc>
              <w:tc>
                <w:tcPr>
                  <w:tcW w:w="463" w:type="pct"/>
                  <w:tcBorders>
                    <w:bottom w:val="single" w:color="auto" w:sz="12" w:space="0"/>
                    <w:right w:val="nil"/>
                  </w:tcBorders>
                  <w:noWrap w:val="0"/>
                  <w:vAlign w:val="center"/>
                </w:tcPr>
                <w:p w14:paraId="62317DF4">
                  <w:pPr>
                    <w:pStyle w:val="4"/>
                    <w:keepNext w:val="0"/>
                    <w:keepLines w:val="0"/>
                    <w:autoSpaceDE w:val="0"/>
                    <w:autoSpaceDN w:val="0"/>
                    <w:spacing w:line="240" w:lineRule="auto"/>
                    <w:jc w:val="center"/>
                    <w:textAlignment w:val="baseline"/>
                    <w:rPr>
                      <w:rFonts w:hint="eastAsia" w:eastAsia="宋体"/>
                      <w:b w:val="0"/>
                      <w:sz w:val="21"/>
                      <w:szCs w:val="21"/>
                    </w:rPr>
                  </w:pPr>
                  <w:r>
                    <w:rPr>
                      <w:rFonts w:hint="eastAsia" w:eastAsia="宋体"/>
                      <w:b w:val="0"/>
                      <w:sz w:val="21"/>
                      <w:szCs w:val="21"/>
                    </w:rPr>
                    <w:t>T/C/I/R</w:t>
                  </w:r>
                </w:p>
              </w:tc>
              <w:tc>
                <w:tcPr>
                  <w:tcW w:w="457" w:type="pct"/>
                  <w:vMerge w:val="continue"/>
                  <w:tcBorders>
                    <w:bottom w:val="single" w:color="auto" w:sz="12" w:space="0"/>
                    <w:right w:val="nil"/>
                  </w:tcBorders>
                  <w:noWrap w:val="0"/>
                  <w:vAlign w:val="center"/>
                </w:tcPr>
                <w:p w14:paraId="0F0D69B3">
                  <w:pPr>
                    <w:jc w:val="center"/>
                    <w:rPr>
                      <w:rFonts w:hint="eastAsia"/>
                      <w:iCs/>
                      <w:kern w:val="0"/>
                      <w:szCs w:val="21"/>
                    </w:rPr>
                  </w:pPr>
                </w:p>
              </w:tc>
            </w:tr>
          </w:tbl>
          <w:p w14:paraId="20ABD4BF">
            <w:pPr>
              <w:spacing w:line="360" w:lineRule="auto"/>
              <w:jc w:val="left"/>
              <w:rPr>
                <w:sz w:val="24"/>
              </w:rPr>
            </w:pPr>
          </w:p>
          <w:bookmarkEnd w:id="10"/>
          <w:p w14:paraId="15FFE662">
            <w:pPr>
              <w:pStyle w:val="43"/>
              <w:spacing w:line="360" w:lineRule="auto"/>
              <w:ind w:firstLine="482"/>
              <w:rPr>
                <w:rFonts w:hint="default" w:ascii="Times New Roman" w:hAnsi="Times New Roman"/>
                <w:color w:val="auto"/>
                <w:sz w:val="24"/>
                <w:szCs w:val="18"/>
              </w:rPr>
            </w:pPr>
            <w:r>
              <w:rPr>
                <w:rFonts w:hint="default" w:ascii="Times New Roman" w:hAnsi="Times New Roman"/>
                <w:b/>
                <w:bCs/>
                <w:color w:val="auto"/>
                <w:sz w:val="24"/>
              </w:rPr>
              <w:t>4.2</w:t>
            </w:r>
            <w:r>
              <w:rPr>
                <w:rFonts w:hint="default" w:ascii="Times New Roman" w:hAnsi="Times New Roman"/>
                <w:b/>
                <w:color w:val="auto"/>
                <w:sz w:val="24"/>
                <w:szCs w:val="22"/>
                <w:lang w:val="zh-CN"/>
              </w:rPr>
              <w:t>固体废物污染防治措施</w:t>
            </w:r>
          </w:p>
          <w:p w14:paraId="14630D28">
            <w:pPr>
              <w:spacing w:line="360" w:lineRule="auto"/>
              <w:ind w:firstLine="480" w:firstLineChars="200"/>
              <w:rPr>
                <w:sz w:val="24"/>
                <w:szCs w:val="28"/>
              </w:rPr>
            </w:pPr>
            <w:r>
              <w:rPr>
                <w:rFonts w:hint="eastAsia"/>
                <w:snapToGrid w:val="0"/>
                <w:kern w:val="0"/>
                <w:sz w:val="24"/>
              </w:rPr>
              <w:t>拟建</w:t>
            </w:r>
            <w:r>
              <w:rPr>
                <w:rFonts w:hint="eastAsia"/>
                <w:snapToGrid w:val="0"/>
                <w:kern w:val="0"/>
                <w:sz w:val="24"/>
                <w:lang w:eastAsia="zh-CN"/>
              </w:rPr>
              <w:t>危废贮存库</w:t>
            </w:r>
            <w:r>
              <w:rPr>
                <w:snapToGrid w:val="0"/>
                <w:kern w:val="0"/>
                <w:sz w:val="24"/>
              </w:rPr>
              <w:t>建筑面积</w:t>
            </w:r>
            <w:r>
              <w:rPr>
                <w:rFonts w:hint="eastAsia"/>
                <w:snapToGrid w:val="0"/>
                <w:kern w:val="0"/>
                <w:sz w:val="24"/>
                <w:lang w:val="en-US" w:eastAsia="zh-CN"/>
              </w:rPr>
              <w:t>22.4</w:t>
            </w:r>
            <w:r>
              <w:rPr>
                <w:snapToGrid w:val="0"/>
                <w:kern w:val="0"/>
                <w:sz w:val="24"/>
              </w:rPr>
              <w:t>m</w:t>
            </w:r>
            <w:r>
              <w:rPr>
                <w:snapToGrid w:val="0"/>
                <w:kern w:val="0"/>
                <w:sz w:val="24"/>
                <w:vertAlign w:val="superscript"/>
              </w:rPr>
              <w:t>2</w:t>
            </w:r>
            <w:r>
              <w:rPr>
                <w:snapToGrid w:val="0"/>
                <w:kern w:val="0"/>
                <w:sz w:val="24"/>
              </w:rPr>
              <w:t>，</w:t>
            </w:r>
            <w:r>
              <w:rPr>
                <w:rFonts w:hint="eastAsia"/>
                <w:snapToGrid w:val="0"/>
                <w:kern w:val="0"/>
                <w:sz w:val="24"/>
              </w:rPr>
              <w:t>位于实验车间南侧</w:t>
            </w:r>
            <w:r>
              <w:rPr>
                <w:snapToGrid w:val="0"/>
                <w:sz w:val="24"/>
              </w:rPr>
              <w:t>。暂存危废</w:t>
            </w:r>
            <w:r>
              <w:rPr>
                <w:rFonts w:hint="eastAsia"/>
                <w:snapToGrid w:val="0"/>
                <w:sz w:val="24"/>
              </w:rPr>
              <w:t>规模</w:t>
            </w:r>
            <w:r>
              <w:rPr>
                <w:rFonts w:hint="eastAsia"/>
                <w:snapToGrid w:val="0"/>
                <w:sz w:val="24"/>
                <w:lang w:val="en-US" w:eastAsia="zh-CN"/>
              </w:rPr>
              <w:t>20</w:t>
            </w:r>
            <w:r>
              <w:rPr>
                <w:snapToGrid w:val="0"/>
                <w:sz w:val="24"/>
              </w:rPr>
              <w:t>t，转运频率为</w:t>
            </w:r>
            <w:r>
              <w:rPr>
                <w:rFonts w:hint="eastAsia"/>
                <w:bCs/>
                <w:iCs/>
                <w:sz w:val="24"/>
              </w:rPr>
              <w:t>1</w:t>
            </w:r>
            <w:r>
              <w:rPr>
                <w:bCs/>
                <w:iCs/>
                <w:sz w:val="24"/>
              </w:rPr>
              <w:t>次/</w:t>
            </w:r>
            <w:r>
              <w:rPr>
                <w:rFonts w:hint="eastAsia"/>
                <w:bCs/>
                <w:iCs/>
                <w:sz w:val="24"/>
              </w:rPr>
              <w:t>季度</w:t>
            </w:r>
            <w:r>
              <w:rPr>
                <w:snapToGrid w:val="0"/>
                <w:sz w:val="24"/>
              </w:rPr>
              <w:t>。</w:t>
            </w:r>
            <w:r>
              <w:rPr>
                <w:rFonts w:hint="eastAsia"/>
                <w:snapToGrid w:val="0"/>
                <w:sz w:val="24"/>
                <w:lang w:eastAsia="zh-CN"/>
              </w:rPr>
              <w:t>项目危险废物集中收集后桶装密闭储存，</w:t>
            </w:r>
            <w:r>
              <w:rPr>
                <w:rFonts w:hint="eastAsia"/>
                <w:bCs/>
                <w:iCs/>
                <w:sz w:val="24"/>
              </w:rPr>
              <w:t>根据</w:t>
            </w:r>
            <w:r>
              <w:rPr>
                <w:rFonts w:hint="eastAsia"/>
                <w:bCs/>
                <w:iCs/>
                <w:sz w:val="24"/>
                <w:highlight w:val="none"/>
              </w:rPr>
              <w:t>《危险废物贮存污染控制标准》</w:t>
            </w:r>
            <w:r>
              <w:rPr>
                <w:rFonts w:hint="eastAsia"/>
                <w:snapToGrid w:val="0"/>
                <w:kern w:val="0"/>
                <w:sz w:val="24"/>
                <w:highlight w:val="none"/>
              </w:rPr>
              <w:t>（GB18597-2023）</w:t>
            </w:r>
            <w:r>
              <w:rPr>
                <w:rFonts w:hint="eastAsia"/>
                <w:bCs/>
                <w:iCs/>
                <w:sz w:val="24"/>
                <w:highlight w:val="none"/>
                <w:lang w:eastAsia="zh-CN"/>
              </w:rPr>
              <w:t>危废贮存库</w:t>
            </w:r>
            <w:r>
              <w:rPr>
                <w:rFonts w:hint="eastAsia"/>
                <w:bCs/>
                <w:iCs/>
                <w:sz w:val="24"/>
                <w:highlight w:val="none"/>
              </w:rPr>
              <w:t>的</w:t>
            </w:r>
            <w:r>
              <w:rPr>
                <w:sz w:val="24"/>
                <w:szCs w:val="28"/>
                <w:highlight w:val="none"/>
              </w:rPr>
              <w:t>暂存间的建设指标如下</w:t>
            </w:r>
            <w:r>
              <w:rPr>
                <w:sz w:val="24"/>
                <w:szCs w:val="28"/>
              </w:rPr>
              <w:t>：</w:t>
            </w:r>
          </w:p>
          <w:p w14:paraId="2D8A4CD3">
            <w:pPr>
              <w:spacing w:line="360" w:lineRule="auto"/>
              <w:ind w:firstLine="480" w:firstLineChars="200"/>
              <w:rPr>
                <w:sz w:val="24"/>
                <w:szCs w:val="28"/>
              </w:rPr>
            </w:pPr>
            <w:r>
              <w:rPr>
                <w:sz w:val="24"/>
                <w:szCs w:val="28"/>
              </w:rPr>
              <w:t>a.</w:t>
            </w:r>
            <w:r>
              <w:rPr>
                <w:rFonts w:hint="eastAsia"/>
                <w:sz w:val="24"/>
                <w:szCs w:val="28"/>
              </w:rPr>
              <w:t>贮存设施应根据危险废物的形态、物理化学性质、包装形式和污染物迁移途径，采取必要的防风、防晒、防雨、防漏、防渗、防腐以及其他环境污染防治措施，不得露天堆放危险废物。</w:t>
            </w:r>
          </w:p>
          <w:p w14:paraId="04B4488C">
            <w:pPr>
              <w:spacing w:line="360" w:lineRule="auto"/>
              <w:ind w:firstLine="480" w:firstLineChars="200"/>
              <w:rPr>
                <w:sz w:val="24"/>
                <w:szCs w:val="28"/>
              </w:rPr>
            </w:pPr>
            <w:r>
              <w:rPr>
                <w:sz w:val="24"/>
                <w:szCs w:val="28"/>
              </w:rPr>
              <w:t>b.</w:t>
            </w:r>
            <w:r>
              <w:rPr>
                <w:rFonts w:hint="eastAsia"/>
                <w:sz w:val="24"/>
                <w:szCs w:val="28"/>
              </w:rPr>
              <w:t>贮存设施应根据危险废物的类别、数量、形态、物理化学性质和污染防治等要求设置必要的贮存分区，避免不相容的危险废物接触、混合。</w:t>
            </w:r>
          </w:p>
          <w:p w14:paraId="1969D8F0">
            <w:pPr>
              <w:spacing w:line="360" w:lineRule="auto"/>
              <w:ind w:firstLine="480" w:firstLineChars="200"/>
              <w:rPr>
                <w:sz w:val="24"/>
                <w:szCs w:val="28"/>
              </w:rPr>
            </w:pPr>
            <w:r>
              <w:rPr>
                <w:sz w:val="24"/>
                <w:szCs w:val="28"/>
              </w:rPr>
              <w:t>c.</w:t>
            </w:r>
            <w:r>
              <w:rPr>
                <w:rFonts w:hint="eastAsia"/>
                <w:sz w:val="24"/>
                <w:szCs w:val="28"/>
              </w:rPr>
              <w:t>贮存设施</w:t>
            </w:r>
            <w:r>
              <w:rPr>
                <w:rFonts w:hint="eastAsia"/>
                <w:sz w:val="24"/>
                <w:szCs w:val="28"/>
                <w:lang w:eastAsia="zh-CN"/>
              </w:rPr>
              <w:t>或</w:t>
            </w:r>
            <w:r>
              <w:rPr>
                <w:rFonts w:hint="eastAsia"/>
                <w:sz w:val="24"/>
                <w:szCs w:val="28"/>
              </w:rPr>
              <w:t>贮存分区内地面、墙面裙角、堵截泄漏的围堰、接触危险废物的隔板和墙体等应采用兼顾的材料建造，表面无裂缝</w:t>
            </w:r>
            <w:r>
              <w:rPr>
                <w:sz w:val="24"/>
                <w:szCs w:val="28"/>
              </w:rPr>
              <w:t>。</w:t>
            </w:r>
          </w:p>
          <w:p w14:paraId="55292136">
            <w:pPr>
              <w:spacing w:line="360" w:lineRule="auto"/>
              <w:ind w:firstLine="480" w:firstLineChars="200"/>
              <w:rPr>
                <w:rFonts w:hint="eastAsia"/>
                <w:sz w:val="24"/>
                <w:szCs w:val="28"/>
              </w:rPr>
            </w:pPr>
            <w:r>
              <w:rPr>
                <w:sz w:val="24"/>
                <w:szCs w:val="28"/>
              </w:rPr>
              <w:t>d.</w:t>
            </w:r>
            <w:r>
              <w:rPr>
                <w:rFonts w:hint="eastAsia"/>
                <w:sz w:val="24"/>
                <w:szCs w:val="28"/>
              </w:rPr>
              <w:t>贮存设施地面与裙角应采取表面防渗措施；表面防渗材料应与所接触的物料</w:t>
            </w:r>
            <w:r>
              <w:rPr>
                <w:rFonts w:hint="eastAsia"/>
                <w:sz w:val="24"/>
                <w:szCs w:val="28"/>
                <w:lang w:eastAsia="zh-CN"/>
              </w:rPr>
              <w:t>或</w:t>
            </w:r>
            <w:r>
              <w:rPr>
                <w:rFonts w:hint="eastAsia"/>
                <w:sz w:val="24"/>
                <w:szCs w:val="28"/>
              </w:rPr>
              <w:t>污染物相容，可采用抗渗混凝土、高密度聚乙烯膜、钠基膨润土防水毯或其他防渗性能等效的材料。贮存的危险废物直接接触地面的，还应进行基础防渗，防渗层为至少1m厚的黏土层（渗透系数不大于10</w:t>
            </w:r>
            <w:r>
              <w:rPr>
                <w:rFonts w:hint="eastAsia"/>
                <w:sz w:val="24"/>
                <w:szCs w:val="28"/>
                <w:vertAlign w:val="superscript"/>
              </w:rPr>
              <w:t>-7</w:t>
            </w:r>
            <w:r>
              <w:rPr>
                <w:rFonts w:hint="eastAsia"/>
                <w:sz w:val="24"/>
                <w:szCs w:val="28"/>
              </w:rPr>
              <w:t>cm/s），或至少2mm厚高密度聚乙烯膜等人工防渗材料（防渗系数不大于10</w:t>
            </w:r>
            <w:r>
              <w:rPr>
                <w:rFonts w:hint="eastAsia"/>
                <w:sz w:val="24"/>
                <w:szCs w:val="28"/>
                <w:vertAlign w:val="superscript"/>
              </w:rPr>
              <w:t>-10</w:t>
            </w:r>
            <w:r>
              <w:rPr>
                <w:rFonts w:hint="eastAsia"/>
                <w:sz w:val="24"/>
                <w:szCs w:val="28"/>
              </w:rPr>
              <w:t>cm/s）或其他防渗性能等效的材料。</w:t>
            </w:r>
          </w:p>
          <w:p w14:paraId="5E3546B3">
            <w:pPr>
              <w:spacing w:line="360" w:lineRule="auto"/>
              <w:ind w:firstLine="480" w:firstLineChars="200"/>
              <w:rPr>
                <w:sz w:val="24"/>
                <w:szCs w:val="28"/>
              </w:rPr>
            </w:pPr>
            <w:r>
              <w:rPr>
                <w:rFonts w:hint="eastAsia"/>
                <w:sz w:val="24"/>
                <w:szCs w:val="28"/>
              </w:rPr>
              <w:t>e.同一贮存设施宜采用相同的防渗、防腐工艺（包括防渗、防腐结构</w:t>
            </w:r>
            <w:r>
              <w:rPr>
                <w:rFonts w:hint="eastAsia"/>
                <w:sz w:val="24"/>
                <w:szCs w:val="28"/>
                <w:lang w:eastAsia="zh-CN"/>
              </w:rPr>
              <w:t>或</w:t>
            </w:r>
            <w:r>
              <w:rPr>
                <w:rFonts w:hint="eastAsia"/>
                <w:sz w:val="24"/>
                <w:szCs w:val="28"/>
              </w:rPr>
              <w:t>材料），防渗、防腐材料应覆盖所有可能与废物及其渗滤液、渗漏液等接触的构筑物表面；采用不同防渗、防腐工艺应分别贮存分区</w:t>
            </w:r>
            <w:r>
              <w:rPr>
                <w:sz w:val="24"/>
                <w:szCs w:val="28"/>
              </w:rPr>
              <w:t>。</w:t>
            </w:r>
          </w:p>
          <w:p w14:paraId="43564CE2">
            <w:pPr>
              <w:spacing w:line="360" w:lineRule="auto"/>
              <w:ind w:firstLine="480" w:firstLineChars="200"/>
              <w:rPr>
                <w:rFonts w:hint="eastAsia"/>
                <w:sz w:val="24"/>
                <w:szCs w:val="28"/>
              </w:rPr>
            </w:pPr>
            <w:r>
              <w:rPr>
                <w:rFonts w:hint="eastAsia"/>
                <w:sz w:val="24"/>
                <w:szCs w:val="28"/>
              </w:rPr>
              <w:t>f.贮存设施应采取技术和管理措施防止无关人员进入</w:t>
            </w:r>
          </w:p>
          <w:p w14:paraId="1C2F1133">
            <w:pPr>
              <w:spacing w:line="360" w:lineRule="auto"/>
              <w:ind w:firstLine="480" w:firstLineChars="200"/>
              <w:rPr>
                <w:rFonts w:hint="default" w:eastAsia="宋体"/>
                <w:sz w:val="24"/>
                <w:szCs w:val="28"/>
                <w:lang w:val="en-US" w:eastAsia="zh-CN"/>
              </w:rPr>
            </w:pPr>
            <w:r>
              <w:rPr>
                <w:rFonts w:hint="eastAsia"/>
                <w:sz w:val="24"/>
                <w:szCs w:val="28"/>
                <w:lang w:val="en-US" w:eastAsia="zh-CN"/>
              </w:rPr>
              <w:t>g.贮存库内不同贮存分区之间应采取隔离措施。隔离措施可根据危险废物特性采用过道、隔板或隔墙等方式。</w:t>
            </w:r>
          </w:p>
          <w:p w14:paraId="63F97D9E">
            <w:pPr>
              <w:spacing w:line="360" w:lineRule="auto"/>
              <w:ind w:firstLine="480" w:firstLineChars="200"/>
              <w:rPr>
                <w:rFonts w:hint="default" w:eastAsia="宋体"/>
                <w:sz w:val="24"/>
                <w:szCs w:val="28"/>
                <w:lang w:val="en-US" w:eastAsia="zh-CN"/>
              </w:rPr>
            </w:pPr>
            <w:r>
              <w:rPr>
                <w:rFonts w:hint="eastAsia"/>
                <w:sz w:val="24"/>
                <w:szCs w:val="28"/>
                <w:lang w:val="en-US" w:eastAsia="zh-CN"/>
              </w:rPr>
              <w:t>h.在贮存库内或通过贮存分区方式贮存液态危险废物的，应具有液体泄漏堵截措施，堵截措施最小不应低于对应贮存区域最大液态废物容器容积或液态废物总储量1/10（二者取较大者）；用于贮存可能产生渗滤液的危险废物的贮存库或贮存分区应设计渗滤液收集设施，收集设施容积应满足渗滤液的收集要求。</w:t>
            </w:r>
          </w:p>
          <w:p w14:paraId="7B2431F4">
            <w:pPr>
              <w:spacing w:line="360" w:lineRule="auto"/>
              <w:ind w:firstLine="480" w:firstLineChars="200"/>
              <w:rPr>
                <w:rFonts w:hint="default" w:eastAsia="宋体"/>
                <w:sz w:val="24"/>
                <w:szCs w:val="28"/>
                <w:lang w:val="en-US" w:eastAsia="zh-CN"/>
              </w:rPr>
            </w:pPr>
            <w:r>
              <w:rPr>
                <w:rFonts w:hint="eastAsia"/>
                <w:sz w:val="24"/>
                <w:szCs w:val="28"/>
                <w:lang w:val="en-US" w:eastAsia="zh-CN"/>
              </w:rPr>
              <w:t>i.贮存易产生粉尘、VOCs、酸雾、有毒有害大气污染物和刺激性气味气体的危险废物贮存库，应设置气体收集装置和气体净化设施；气体净化设施的排气筒高度应符合GB16297要求。本项目危险废物均桶装收集后加盖密闭，无挥发性气体产生至外环境。</w:t>
            </w:r>
          </w:p>
          <w:p w14:paraId="11B61A32">
            <w:pPr>
              <w:spacing w:line="360" w:lineRule="auto"/>
              <w:ind w:firstLine="480" w:firstLineChars="200"/>
              <w:rPr>
                <w:sz w:val="24"/>
                <w:szCs w:val="28"/>
              </w:rPr>
            </w:pPr>
            <w:r>
              <w:rPr>
                <w:sz w:val="24"/>
                <w:szCs w:val="28"/>
              </w:rPr>
              <w:t>因此，厂区内拟建的</w:t>
            </w:r>
            <w:r>
              <w:rPr>
                <w:rFonts w:hint="eastAsia"/>
                <w:sz w:val="24"/>
                <w:szCs w:val="28"/>
                <w:lang w:eastAsia="zh-CN"/>
              </w:rPr>
              <w:t>危废贮存库</w:t>
            </w:r>
            <w:r>
              <w:rPr>
                <w:sz w:val="24"/>
                <w:szCs w:val="28"/>
              </w:rPr>
              <w:t>满足《危险废物贮存污染控制标准》（GB18597-20</w:t>
            </w:r>
            <w:r>
              <w:rPr>
                <w:rFonts w:hint="eastAsia"/>
                <w:sz w:val="24"/>
                <w:szCs w:val="28"/>
              </w:rPr>
              <w:t>23</w:t>
            </w:r>
            <w:r>
              <w:rPr>
                <w:sz w:val="24"/>
                <w:szCs w:val="28"/>
              </w:rPr>
              <w:t>）中的要求。</w:t>
            </w:r>
          </w:p>
          <w:p w14:paraId="14979858">
            <w:pPr>
              <w:pStyle w:val="83"/>
              <w:tabs>
                <w:tab w:val="left" w:pos="540"/>
              </w:tabs>
              <w:adjustRightInd/>
              <w:spacing w:line="360" w:lineRule="auto"/>
              <w:ind w:firstLine="482"/>
              <w:rPr>
                <w:b/>
                <w:kern w:val="2"/>
                <w:sz w:val="24"/>
              </w:rPr>
            </w:pPr>
            <w:r>
              <w:rPr>
                <w:rFonts w:hint="eastAsia"/>
                <w:b/>
                <w:kern w:val="2"/>
                <w:sz w:val="24"/>
              </w:rPr>
              <w:t>5</w:t>
            </w:r>
            <w:r>
              <w:rPr>
                <w:b/>
                <w:kern w:val="2"/>
                <w:sz w:val="24"/>
              </w:rPr>
              <w:t>、环境风险分析</w:t>
            </w:r>
          </w:p>
          <w:p w14:paraId="45D1DF9D">
            <w:pPr>
              <w:spacing w:line="360" w:lineRule="auto"/>
              <w:ind w:firstLine="480" w:firstLineChars="200"/>
              <w:rPr>
                <w:color w:val="000000"/>
                <w:sz w:val="24"/>
              </w:rPr>
            </w:pPr>
            <w:r>
              <w:rPr>
                <w:color w:val="000000"/>
                <w:sz w:val="24"/>
              </w:rPr>
              <w:t>根据《建设项目环境风险评价技术导则》（HJ169-2018），首先对本项目</w:t>
            </w:r>
            <w:r>
              <w:rPr>
                <w:rFonts w:hint="eastAsia"/>
                <w:color w:val="000000"/>
                <w:sz w:val="24"/>
              </w:rPr>
              <w:t>风</w:t>
            </w:r>
            <w:r>
              <w:rPr>
                <w:color w:val="000000"/>
                <w:sz w:val="24"/>
              </w:rPr>
              <w:t>险物质数量及临界量比值Q进行计算。计算所涉及的每种</w:t>
            </w:r>
            <w:r>
              <w:rPr>
                <w:rFonts w:hint="eastAsia"/>
                <w:color w:val="000000"/>
                <w:sz w:val="24"/>
              </w:rPr>
              <w:t>风</w:t>
            </w:r>
            <w:r>
              <w:rPr>
                <w:color w:val="000000"/>
                <w:sz w:val="24"/>
              </w:rPr>
              <w:t>险物质在厂界内的最大存在总量与其在附录中对应临界量的比值Q时，在不同厂区的同一种物质，按其在厂界内的最大存在总量计算。对于长输管线项目，按照两个截断阀室之间管段危险物质最大存在总量计算。当只涉及一种危险物质时，计算该物质的总量与其临界量比值，即为Q；当存在多种危险物质时，则按式（C.1）计算物质总量与其临界量比值Q；</w:t>
            </w:r>
          </w:p>
          <w:p w14:paraId="19611260">
            <w:pPr>
              <w:jc w:val="center"/>
              <w:rPr>
                <w:color w:val="000000"/>
              </w:rPr>
            </w:pPr>
            <m:oMathPara>
              <m:oMath>
                <m:r>
                  <m:rPr>
                    <m:sty m:val="p"/>
                  </m:rPr>
                  <w:rPr>
                    <w:rFonts w:hint="default" w:ascii="Cambria Math" w:hAnsi="Cambria Math"/>
                    <w:color w:val="000000"/>
                  </w:rPr>
                  <m:t>Q=</m:t>
                </m:r>
                <m:f>
                  <m:fPr>
                    <m:ctrlPr>
                      <w:rPr>
                        <w:rFonts w:hint="default" w:ascii="Cambria Math" w:hAnsi="Cambria Math"/>
                        <w:color w:val="000000"/>
                      </w:rPr>
                    </m:ctrlPr>
                  </m:fPr>
                  <m:num>
                    <m:sSub>
                      <m:sSubPr>
                        <m:ctrlPr>
                          <w:rPr>
                            <w:rFonts w:hint="default" w:ascii="Cambria Math" w:hAnsi="Cambria Math"/>
                            <w:i/>
                            <w:color w:val="000000"/>
                          </w:rPr>
                        </m:ctrlPr>
                      </m:sSubPr>
                      <m:e>
                        <m:r>
                          <m:rPr/>
                          <w:rPr>
                            <w:rFonts w:hint="default" w:ascii="Cambria Math" w:hAnsi="Cambria Math"/>
                            <w:color w:val="000000"/>
                          </w:rPr>
                          <m:t>q</m:t>
                        </m:r>
                        <m:ctrlPr>
                          <w:rPr>
                            <w:rFonts w:hint="default" w:ascii="Cambria Math" w:hAnsi="Cambria Math"/>
                            <w:i/>
                            <w:color w:val="000000"/>
                          </w:rPr>
                        </m:ctrlPr>
                      </m:e>
                      <m:sub>
                        <m:r>
                          <m:rPr/>
                          <w:rPr>
                            <w:rFonts w:hint="default" w:ascii="Cambria Math" w:hAnsi="Cambria Math"/>
                            <w:color w:val="000000"/>
                          </w:rPr>
                          <m:t>1</m:t>
                        </m:r>
                        <m:ctrlPr>
                          <w:rPr>
                            <w:rFonts w:hint="default" w:ascii="Cambria Math" w:hAnsi="Cambria Math"/>
                            <w:i/>
                            <w:color w:val="000000"/>
                          </w:rPr>
                        </m:ctrlPr>
                      </m:sub>
                    </m:sSub>
                    <m:ctrlPr>
                      <w:rPr>
                        <w:rFonts w:hint="default" w:ascii="Cambria Math" w:hAnsi="Cambria Math"/>
                        <w:color w:val="000000"/>
                      </w:rPr>
                    </m:ctrlPr>
                  </m:num>
                  <m:den>
                    <m:sSub>
                      <m:sSubPr>
                        <m:ctrlPr>
                          <w:rPr>
                            <w:rFonts w:hint="default" w:ascii="Cambria Math" w:hAnsi="Cambria Math"/>
                            <w:i/>
                            <w:color w:val="000000"/>
                          </w:rPr>
                        </m:ctrlPr>
                      </m:sSubPr>
                      <m:e>
                        <m:r>
                          <m:rPr/>
                          <w:rPr>
                            <w:rFonts w:hint="default" w:ascii="Cambria Math" w:hAnsi="Cambria Math"/>
                            <w:color w:val="000000"/>
                          </w:rPr>
                          <m:t>Q</m:t>
                        </m:r>
                        <m:ctrlPr>
                          <w:rPr>
                            <w:rFonts w:hint="default" w:ascii="Cambria Math" w:hAnsi="Cambria Math"/>
                            <w:i/>
                            <w:color w:val="000000"/>
                          </w:rPr>
                        </m:ctrlPr>
                      </m:e>
                      <m:sub>
                        <m:r>
                          <m:rPr/>
                          <w:rPr>
                            <w:rFonts w:hint="default" w:ascii="Cambria Math" w:hAnsi="Cambria Math"/>
                            <w:color w:val="000000"/>
                          </w:rPr>
                          <m:t>1</m:t>
                        </m:r>
                        <m:ctrlPr>
                          <w:rPr>
                            <w:rFonts w:hint="default" w:ascii="Cambria Math" w:hAnsi="Cambria Math"/>
                            <w:i/>
                            <w:color w:val="000000"/>
                          </w:rPr>
                        </m:ctrlPr>
                      </m:sub>
                    </m:sSub>
                    <m:ctrlPr>
                      <w:rPr>
                        <w:rFonts w:hint="default" w:ascii="Cambria Math" w:hAnsi="Cambria Math"/>
                        <w:color w:val="000000"/>
                      </w:rPr>
                    </m:ctrlPr>
                  </m:den>
                </m:f>
                <m:r>
                  <m:rPr/>
                  <w:rPr>
                    <w:rFonts w:hint="default" w:ascii="Cambria Math" w:hAnsi="Cambria Math"/>
                    <w:color w:val="000000"/>
                  </w:rPr>
                  <m:t>+</m:t>
                </m:r>
                <m:f>
                  <m:fPr>
                    <m:ctrlPr>
                      <w:rPr>
                        <w:rFonts w:hint="default" w:ascii="Cambria Math" w:hAnsi="Cambria Math"/>
                        <w:color w:val="000000"/>
                      </w:rPr>
                    </m:ctrlPr>
                  </m:fPr>
                  <m:num>
                    <m:sSub>
                      <m:sSubPr>
                        <m:ctrlPr>
                          <w:rPr>
                            <w:rFonts w:hint="default" w:ascii="Cambria Math" w:hAnsi="Cambria Math"/>
                            <w:i/>
                            <w:color w:val="000000"/>
                          </w:rPr>
                        </m:ctrlPr>
                      </m:sSubPr>
                      <m:e>
                        <m:r>
                          <m:rPr/>
                          <w:rPr>
                            <w:rFonts w:hint="default" w:ascii="Cambria Math" w:hAnsi="Cambria Math"/>
                            <w:color w:val="000000"/>
                          </w:rPr>
                          <m:t>q</m:t>
                        </m:r>
                        <m:ctrlPr>
                          <w:rPr>
                            <w:rFonts w:hint="default" w:ascii="Cambria Math" w:hAnsi="Cambria Math"/>
                            <w:i/>
                            <w:color w:val="000000"/>
                          </w:rPr>
                        </m:ctrlPr>
                      </m:e>
                      <m:sub>
                        <m:r>
                          <m:rPr/>
                          <w:rPr>
                            <w:rFonts w:hint="default" w:ascii="Cambria Math" w:hAnsi="Cambria Math"/>
                            <w:color w:val="000000"/>
                          </w:rPr>
                          <m:t>2</m:t>
                        </m:r>
                        <m:ctrlPr>
                          <w:rPr>
                            <w:rFonts w:hint="default" w:ascii="Cambria Math" w:hAnsi="Cambria Math"/>
                            <w:i/>
                            <w:color w:val="000000"/>
                          </w:rPr>
                        </m:ctrlPr>
                      </m:sub>
                    </m:sSub>
                    <m:ctrlPr>
                      <w:rPr>
                        <w:rFonts w:hint="default" w:ascii="Cambria Math" w:hAnsi="Cambria Math"/>
                        <w:color w:val="000000"/>
                      </w:rPr>
                    </m:ctrlPr>
                  </m:num>
                  <m:den>
                    <m:sSub>
                      <m:sSubPr>
                        <m:ctrlPr>
                          <w:rPr>
                            <w:rFonts w:hint="default" w:ascii="Cambria Math" w:hAnsi="Cambria Math"/>
                            <w:i/>
                            <w:color w:val="000000"/>
                          </w:rPr>
                        </m:ctrlPr>
                      </m:sSubPr>
                      <m:e>
                        <m:r>
                          <m:rPr/>
                          <w:rPr>
                            <w:rFonts w:hint="default" w:ascii="Cambria Math" w:hAnsi="Cambria Math"/>
                            <w:color w:val="000000"/>
                          </w:rPr>
                          <m:t>Q</m:t>
                        </m:r>
                        <m:ctrlPr>
                          <w:rPr>
                            <w:rFonts w:hint="default" w:ascii="Cambria Math" w:hAnsi="Cambria Math"/>
                            <w:i/>
                            <w:color w:val="000000"/>
                          </w:rPr>
                        </m:ctrlPr>
                      </m:e>
                      <m:sub>
                        <m:r>
                          <m:rPr/>
                          <w:rPr>
                            <w:rFonts w:hint="default" w:ascii="Cambria Math" w:hAnsi="Cambria Math"/>
                            <w:color w:val="000000"/>
                          </w:rPr>
                          <m:t>2</m:t>
                        </m:r>
                        <m:ctrlPr>
                          <w:rPr>
                            <w:rFonts w:hint="default" w:ascii="Cambria Math" w:hAnsi="Cambria Math"/>
                            <w:i/>
                            <w:color w:val="000000"/>
                          </w:rPr>
                        </m:ctrlPr>
                      </m:sub>
                    </m:sSub>
                    <m:ctrlPr>
                      <w:rPr>
                        <w:rFonts w:hint="default" w:ascii="Cambria Math" w:hAnsi="Cambria Math"/>
                        <w:color w:val="000000"/>
                      </w:rPr>
                    </m:ctrlPr>
                  </m:den>
                </m:f>
                <m:r>
                  <m:rPr/>
                  <w:rPr>
                    <w:rFonts w:hint="default" w:ascii="Cambria Math" w:hAnsi="Cambria Math"/>
                    <w:color w:val="000000"/>
                  </w:rPr>
                  <m:t>+��?</m:t>
                </m:r>
                <m:f>
                  <m:fPr>
                    <m:ctrlPr>
                      <w:rPr>
                        <w:rFonts w:hint="default" w:ascii="Cambria Math" w:hAnsi="Cambria Math"/>
                        <w:color w:val="000000"/>
                      </w:rPr>
                    </m:ctrlPr>
                  </m:fPr>
                  <m:num>
                    <m:sSub>
                      <m:sSubPr>
                        <m:ctrlPr>
                          <w:rPr>
                            <w:rFonts w:hint="default" w:ascii="Cambria Math"/>
                            <w:i/>
                            <w:color w:val="000000"/>
                          </w:rPr>
                        </m:ctrlPr>
                      </m:sSubPr>
                      <m:e>
                        <m:r>
                          <m:rPr/>
                          <w:rPr>
                            <w:rFonts w:hint="default" w:ascii="Cambria Math" w:hAnsi="Cambria Math"/>
                            <w:color w:val="000000"/>
                          </w:rPr>
                          <m:t>q</m:t>
                        </m:r>
                        <m:ctrlPr>
                          <w:rPr>
                            <w:rFonts w:hint="default" w:ascii="Cambria Math" w:hAnsi="Cambria Math"/>
                            <w:i/>
                            <w:color w:val="000000"/>
                          </w:rPr>
                        </m:ctrlPr>
                      </m:e>
                      <m:sub>
                        <m:r>
                          <m:rPr/>
                          <w:rPr>
                            <w:rFonts w:hint="default" w:ascii="Cambria Math" w:hAnsi="Cambria Math"/>
                            <w:color w:val="000000"/>
                          </w:rPr>
                          <m:t>n</m:t>
                        </m:r>
                        <m:ctrlPr>
                          <w:rPr>
                            <w:rFonts w:hint="default" w:ascii="Cambria Math" w:hAnsi="Cambria Math"/>
                            <w:i/>
                            <w:color w:val="000000"/>
                          </w:rPr>
                        </m:ctrlPr>
                      </m:sub>
                    </m:sSub>
                    <m:ctrlPr>
                      <w:rPr>
                        <w:rFonts w:hint="default" w:ascii="Cambria Math" w:hAnsi="Cambria Math"/>
                        <w:color w:val="000000"/>
                      </w:rPr>
                    </m:ctrlPr>
                  </m:num>
                  <m:den>
                    <m:sSub>
                      <m:sSubPr>
                        <m:ctrlPr>
                          <w:rPr>
                            <w:rFonts w:hint="default" w:ascii="Cambria Math" w:hAnsi="Cambria Math"/>
                            <w:i/>
                            <w:color w:val="000000"/>
                          </w:rPr>
                        </m:ctrlPr>
                      </m:sSubPr>
                      <m:e>
                        <m:r>
                          <m:rPr/>
                          <w:rPr>
                            <w:rFonts w:hint="default" w:ascii="Cambria Math" w:hAnsi="Cambria Math"/>
                            <w:color w:val="000000"/>
                          </w:rPr>
                          <m:t>Q</m:t>
                        </m:r>
                        <m:ctrlPr>
                          <w:rPr>
                            <w:rFonts w:hint="default" w:ascii="Cambria Math" w:hAnsi="Cambria Math"/>
                            <w:i/>
                            <w:color w:val="000000"/>
                          </w:rPr>
                        </m:ctrlPr>
                      </m:e>
                      <m:sub>
                        <m:r>
                          <m:rPr/>
                          <w:rPr>
                            <w:rFonts w:hint="default" w:ascii="Cambria Math" w:hAnsi="Cambria Math"/>
                            <w:color w:val="000000"/>
                          </w:rPr>
                          <m:t>n</m:t>
                        </m:r>
                        <m:ctrlPr>
                          <w:rPr>
                            <w:rFonts w:hint="default" w:ascii="Cambria Math" w:hAnsi="Cambria Math"/>
                            <w:i/>
                            <w:color w:val="000000"/>
                          </w:rPr>
                        </m:ctrlPr>
                      </m:sub>
                    </m:sSub>
                    <m:ctrlPr>
                      <w:rPr>
                        <w:rFonts w:hint="default" w:ascii="Cambria Math" w:hAnsi="Cambria Math"/>
                        <w:color w:val="000000"/>
                      </w:rPr>
                    </m:ctrlPr>
                  </m:den>
                </m:f>
              </m:oMath>
            </m:oMathPara>
          </w:p>
          <w:p w14:paraId="1E841DE8">
            <w:pPr>
              <w:spacing w:line="360" w:lineRule="auto"/>
              <w:ind w:firstLine="482"/>
              <w:rPr>
                <w:color w:val="000000"/>
                <w:sz w:val="24"/>
                <w:szCs w:val="18"/>
              </w:rPr>
            </w:pPr>
            <w:r>
              <w:rPr>
                <w:color w:val="000000"/>
                <w:sz w:val="24"/>
                <w:szCs w:val="18"/>
              </w:rPr>
              <w:t>式中，q</w:t>
            </w:r>
            <w:r>
              <w:rPr>
                <w:color w:val="000000"/>
                <w:sz w:val="24"/>
                <w:szCs w:val="18"/>
                <w:vertAlign w:val="subscript"/>
              </w:rPr>
              <w:t>1</w:t>
            </w:r>
            <w:r>
              <w:rPr>
                <w:color w:val="000000"/>
                <w:sz w:val="24"/>
                <w:szCs w:val="18"/>
              </w:rPr>
              <w:t>，q</w:t>
            </w:r>
            <w:r>
              <w:rPr>
                <w:color w:val="000000"/>
                <w:sz w:val="24"/>
                <w:szCs w:val="18"/>
                <w:vertAlign w:val="subscript"/>
              </w:rPr>
              <w:t>2</w:t>
            </w:r>
            <w:r>
              <w:rPr>
                <w:color w:val="000000"/>
                <w:sz w:val="24"/>
                <w:szCs w:val="18"/>
              </w:rPr>
              <w:t>…q</w:t>
            </w:r>
            <w:r>
              <w:rPr>
                <w:color w:val="000000"/>
                <w:sz w:val="24"/>
                <w:szCs w:val="18"/>
                <w:vertAlign w:val="subscript"/>
              </w:rPr>
              <w:t>n</w:t>
            </w:r>
            <w:r>
              <w:rPr>
                <w:color w:val="000000"/>
                <w:sz w:val="24"/>
                <w:szCs w:val="18"/>
              </w:rPr>
              <w:t>——每种危险物质的最大存在总量，t。</w:t>
            </w:r>
          </w:p>
          <w:p w14:paraId="7F761E84">
            <w:pPr>
              <w:spacing w:line="360" w:lineRule="auto"/>
              <w:ind w:firstLine="1200" w:firstLineChars="500"/>
              <w:rPr>
                <w:color w:val="000000"/>
                <w:sz w:val="24"/>
                <w:szCs w:val="18"/>
              </w:rPr>
            </w:pPr>
            <w:r>
              <w:rPr>
                <w:color w:val="000000"/>
                <w:sz w:val="24"/>
                <w:szCs w:val="18"/>
              </w:rPr>
              <w:t>Q</w:t>
            </w:r>
            <w:r>
              <w:rPr>
                <w:color w:val="000000"/>
                <w:sz w:val="24"/>
                <w:szCs w:val="18"/>
                <w:vertAlign w:val="subscript"/>
              </w:rPr>
              <w:t>1</w:t>
            </w:r>
            <w:r>
              <w:rPr>
                <w:color w:val="000000"/>
                <w:sz w:val="24"/>
                <w:szCs w:val="18"/>
              </w:rPr>
              <w:t>，Q</w:t>
            </w:r>
            <w:r>
              <w:rPr>
                <w:color w:val="000000"/>
                <w:sz w:val="24"/>
                <w:szCs w:val="18"/>
                <w:vertAlign w:val="subscript"/>
              </w:rPr>
              <w:t>2</w:t>
            </w:r>
            <w:r>
              <w:rPr>
                <w:color w:val="000000"/>
                <w:sz w:val="24"/>
                <w:szCs w:val="18"/>
              </w:rPr>
              <w:t>…Q</w:t>
            </w:r>
            <w:r>
              <w:rPr>
                <w:color w:val="000000"/>
                <w:sz w:val="24"/>
                <w:szCs w:val="18"/>
                <w:vertAlign w:val="subscript"/>
              </w:rPr>
              <w:t>n</w:t>
            </w:r>
            <w:r>
              <w:rPr>
                <w:color w:val="000000"/>
                <w:sz w:val="24"/>
                <w:szCs w:val="18"/>
              </w:rPr>
              <w:t>——每种危险物质的临界量，t。</w:t>
            </w:r>
          </w:p>
          <w:p w14:paraId="61442057">
            <w:pPr>
              <w:spacing w:line="440" w:lineRule="exact"/>
              <w:ind w:firstLine="480" w:firstLineChars="200"/>
              <w:rPr>
                <w:color w:val="000000"/>
                <w:sz w:val="24"/>
                <w:szCs w:val="18"/>
              </w:rPr>
            </w:pPr>
            <w:r>
              <w:rPr>
                <w:color w:val="000000"/>
                <w:sz w:val="24"/>
                <w:szCs w:val="18"/>
              </w:rPr>
              <w:t>当Q＜1时，该项目环境风险潜势为Ⅰ。</w:t>
            </w:r>
          </w:p>
          <w:p w14:paraId="2AB582B1">
            <w:pPr>
              <w:spacing w:line="440" w:lineRule="exact"/>
              <w:ind w:firstLine="480" w:firstLineChars="200"/>
              <w:rPr>
                <w:color w:val="000000"/>
                <w:sz w:val="24"/>
                <w:szCs w:val="18"/>
              </w:rPr>
            </w:pPr>
            <w:r>
              <w:rPr>
                <w:color w:val="000000"/>
                <w:sz w:val="24"/>
                <w:szCs w:val="18"/>
              </w:rPr>
              <w:t>当Q≥1时，将Q值划分为：（1）1≤Q＜10；（2）10≤Q＜100；（3）Q≥100。</w:t>
            </w:r>
          </w:p>
          <w:p w14:paraId="650EF0E7">
            <w:pPr>
              <w:spacing w:line="440" w:lineRule="exact"/>
              <w:ind w:firstLine="480" w:firstLineChars="200"/>
              <w:rPr>
                <w:color w:val="000000"/>
                <w:sz w:val="24"/>
              </w:rPr>
            </w:pPr>
            <w:r>
              <w:rPr>
                <w:color w:val="000000"/>
                <w:sz w:val="24"/>
              </w:rPr>
              <w:t>2）参数选择</w:t>
            </w:r>
          </w:p>
          <w:p w14:paraId="3B79E8D1">
            <w:pPr>
              <w:spacing w:line="440" w:lineRule="exact"/>
              <w:ind w:firstLine="480" w:firstLineChars="200"/>
              <w:rPr>
                <w:b/>
                <w:color w:val="000000"/>
                <w:kern w:val="21"/>
                <w:sz w:val="24"/>
              </w:rPr>
            </w:pPr>
            <w:r>
              <w:rPr>
                <w:color w:val="000000"/>
                <w:sz w:val="24"/>
              </w:rPr>
              <w:t>根据《建设项目环境风险评价技术导则》（HJ169-2018）中附录B（重点关注的危险物质及其临界量）中所列风险物质名单，确定项目风险物质临界量，本项目主要物质风险识别结果见下表。</w:t>
            </w:r>
          </w:p>
          <w:p w14:paraId="0E12EAD2">
            <w:pPr>
              <w:jc w:val="center"/>
              <w:rPr>
                <w:b/>
                <w:color w:val="000000"/>
                <w:kern w:val="21"/>
                <w:sz w:val="24"/>
              </w:rPr>
            </w:pPr>
            <w:r>
              <w:rPr>
                <w:b/>
                <w:color w:val="000000"/>
                <w:kern w:val="21"/>
                <w:sz w:val="24"/>
              </w:rPr>
              <w:t>表4-</w:t>
            </w:r>
            <w:r>
              <w:rPr>
                <w:rFonts w:hint="eastAsia"/>
                <w:b/>
                <w:color w:val="000000"/>
                <w:kern w:val="21"/>
                <w:sz w:val="24"/>
              </w:rPr>
              <w:t>1</w:t>
            </w:r>
            <w:r>
              <w:rPr>
                <w:rFonts w:hint="eastAsia"/>
                <w:b/>
                <w:color w:val="000000"/>
                <w:kern w:val="21"/>
                <w:sz w:val="24"/>
                <w:lang w:val="en-US" w:eastAsia="zh-CN"/>
              </w:rPr>
              <w:t>2</w:t>
            </w:r>
            <w:r>
              <w:rPr>
                <w:b/>
                <w:color w:val="000000"/>
                <w:kern w:val="21"/>
                <w:sz w:val="24"/>
              </w:rPr>
              <w:t xml:space="preserve">  项目主要风险物质识别结果一览表</w:t>
            </w:r>
          </w:p>
          <w:tbl>
            <w:tblPr>
              <w:tblStyle w:val="27"/>
              <w:tblW w:w="4984"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2058"/>
              <w:gridCol w:w="1705"/>
              <w:gridCol w:w="1811"/>
              <w:gridCol w:w="1281"/>
              <w:gridCol w:w="1838"/>
            </w:tblGrid>
            <w:tr w14:paraId="634A40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411" w:type="pct"/>
                  <w:tcBorders>
                    <w:top w:val="single" w:color="auto" w:sz="12" w:space="0"/>
                    <w:left w:val="nil"/>
                  </w:tcBorders>
                  <w:noWrap w:val="0"/>
                  <w:vAlign w:val="center"/>
                </w:tcPr>
                <w:p w14:paraId="556F7FDD">
                  <w:pPr>
                    <w:pStyle w:val="102"/>
                    <w:rPr>
                      <w:rFonts w:ascii="Times New Roman" w:eastAsia="宋体"/>
                      <w:b/>
                      <w:color w:val="000000"/>
                      <w:lang w:val="zh-CN"/>
                    </w:rPr>
                  </w:pPr>
                  <w:r>
                    <w:rPr>
                      <w:rFonts w:ascii="Times New Roman" w:eastAsia="宋体"/>
                      <w:b/>
                      <w:color w:val="000000"/>
                      <w:lang w:val="zh-CN"/>
                    </w:rPr>
                    <w:t>序号</w:t>
                  </w:r>
                </w:p>
              </w:tc>
              <w:tc>
                <w:tcPr>
                  <w:tcW w:w="1086" w:type="pct"/>
                  <w:tcBorders>
                    <w:top w:val="single" w:color="auto" w:sz="12" w:space="0"/>
                  </w:tcBorders>
                  <w:noWrap w:val="0"/>
                  <w:vAlign w:val="center"/>
                </w:tcPr>
                <w:p w14:paraId="70CDA150">
                  <w:pPr>
                    <w:pStyle w:val="102"/>
                    <w:rPr>
                      <w:rFonts w:ascii="Times New Roman" w:eastAsia="宋体"/>
                      <w:b/>
                      <w:color w:val="000000"/>
                      <w:lang w:val="zh-CN"/>
                    </w:rPr>
                  </w:pPr>
                  <w:r>
                    <w:rPr>
                      <w:rFonts w:ascii="Times New Roman" w:eastAsia="宋体"/>
                      <w:b/>
                      <w:color w:val="000000"/>
                      <w:lang w:val="zh-CN"/>
                    </w:rPr>
                    <w:t>物质名称</w:t>
                  </w:r>
                </w:p>
              </w:tc>
              <w:tc>
                <w:tcPr>
                  <w:tcW w:w="900" w:type="pct"/>
                  <w:tcBorders>
                    <w:top w:val="single" w:color="auto" w:sz="12" w:space="0"/>
                  </w:tcBorders>
                  <w:noWrap w:val="0"/>
                  <w:vAlign w:val="center"/>
                </w:tcPr>
                <w:p w14:paraId="74861530">
                  <w:pPr>
                    <w:pStyle w:val="102"/>
                    <w:rPr>
                      <w:rFonts w:ascii="Times New Roman" w:eastAsia="宋体"/>
                      <w:b/>
                      <w:color w:val="000000"/>
                      <w:lang w:val="zh-CN"/>
                    </w:rPr>
                  </w:pPr>
                  <w:r>
                    <w:rPr>
                      <w:rFonts w:ascii="Times New Roman" w:eastAsia="宋体"/>
                      <w:b/>
                      <w:color w:val="000000"/>
                    </w:rPr>
                    <w:t>风险物质</w:t>
                  </w:r>
                  <w:r>
                    <w:rPr>
                      <w:rFonts w:ascii="Times New Roman" w:eastAsia="宋体"/>
                      <w:b/>
                      <w:color w:val="000000"/>
                      <w:lang w:val="zh-CN"/>
                    </w:rPr>
                    <w:t>量</w:t>
                  </w:r>
                </w:p>
              </w:tc>
              <w:tc>
                <w:tcPr>
                  <w:tcW w:w="956" w:type="pct"/>
                  <w:tcBorders>
                    <w:top w:val="single" w:color="auto" w:sz="12" w:space="0"/>
                  </w:tcBorders>
                  <w:noWrap w:val="0"/>
                  <w:vAlign w:val="center"/>
                </w:tcPr>
                <w:p w14:paraId="3A3C4CC8">
                  <w:pPr>
                    <w:pStyle w:val="102"/>
                    <w:rPr>
                      <w:rFonts w:ascii="Times New Roman" w:eastAsia="宋体"/>
                      <w:b/>
                      <w:color w:val="000000"/>
                    </w:rPr>
                  </w:pPr>
                  <w:r>
                    <w:rPr>
                      <w:rFonts w:ascii="Times New Roman" w:eastAsia="宋体"/>
                      <w:b/>
                      <w:color w:val="000000"/>
                      <w:lang w:val="zh-CN"/>
                    </w:rPr>
                    <w:t>厂区最大存在量qn/t</w:t>
                  </w:r>
                </w:p>
              </w:tc>
              <w:tc>
                <w:tcPr>
                  <w:tcW w:w="675" w:type="pct"/>
                  <w:tcBorders>
                    <w:top w:val="single" w:color="auto" w:sz="12" w:space="0"/>
                  </w:tcBorders>
                  <w:noWrap w:val="0"/>
                  <w:vAlign w:val="center"/>
                </w:tcPr>
                <w:p w14:paraId="3667D269">
                  <w:pPr>
                    <w:pStyle w:val="102"/>
                    <w:rPr>
                      <w:rFonts w:ascii="Times New Roman" w:eastAsia="宋体"/>
                      <w:b/>
                      <w:color w:val="000000"/>
                    </w:rPr>
                  </w:pPr>
                  <w:r>
                    <w:rPr>
                      <w:rFonts w:ascii="Times New Roman" w:eastAsia="宋体"/>
                      <w:b/>
                      <w:color w:val="000000"/>
                    </w:rPr>
                    <w:t>临界量Qn/t</w:t>
                  </w:r>
                </w:p>
              </w:tc>
              <w:tc>
                <w:tcPr>
                  <w:tcW w:w="970" w:type="pct"/>
                  <w:tcBorders>
                    <w:top w:val="single" w:color="auto" w:sz="12" w:space="0"/>
                    <w:right w:val="nil"/>
                  </w:tcBorders>
                  <w:noWrap w:val="0"/>
                  <w:vAlign w:val="center"/>
                </w:tcPr>
                <w:p w14:paraId="77C6D8C5">
                  <w:pPr>
                    <w:pStyle w:val="102"/>
                    <w:rPr>
                      <w:rFonts w:ascii="Times New Roman" w:eastAsia="宋体"/>
                      <w:b/>
                      <w:color w:val="000000"/>
                    </w:rPr>
                  </w:pPr>
                  <w:r>
                    <w:rPr>
                      <w:rFonts w:ascii="Times New Roman" w:eastAsia="宋体"/>
                      <w:b/>
                      <w:color w:val="000000"/>
                    </w:rPr>
                    <w:t>Q值</w:t>
                  </w:r>
                </w:p>
              </w:tc>
            </w:tr>
            <w:tr w14:paraId="0A6BCC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411" w:type="pct"/>
                  <w:tcBorders>
                    <w:left w:val="nil"/>
                  </w:tcBorders>
                  <w:noWrap w:val="0"/>
                  <w:vAlign w:val="center"/>
                </w:tcPr>
                <w:p w14:paraId="45D76492">
                  <w:pPr>
                    <w:pStyle w:val="102"/>
                    <w:rPr>
                      <w:rFonts w:ascii="Times New Roman" w:eastAsia="宋体"/>
                      <w:color w:val="000000"/>
                      <w:szCs w:val="21"/>
                    </w:rPr>
                  </w:pPr>
                  <w:r>
                    <w:rPr>
                      <w:rFonts w:ascii="Times New Roman" w:eastAsia="宋体"/>
                      <w:color w:val="000000"/>
                      <w:szCs w:val="21"/>
                    </w:rPr>
                    <w:t>1</w:t>
                  </w:r>
                </w:p>
              </w:tc>
              <w:tc>
                <w:tcPr>
                  <w:tcW w:w="1086" w:type="pct"/>
                  <w:noWrap w:val="0"/>
                  <w:vAlign w:val="center"/>
                </w:tcPr>
                <w:p w14:paraId="58C44338">
                  <w:pPr>
                    <w:pStyle w:val="102"/>
                    <w:rPr>
                      <w:rFonts w:hint="eastAsia" w:ascii="Times New Roman" w:eastAsia="宋体"/>
                      <w:color w:val="000000"/>
                      <w:kern w:val="0"/>
                      <w:szCs w:val="21"/>
                    </w:rPr>
                  </w:pPr>
                  <w:r>
                    <w:rPr>
                      <w:rFonts w:hint="eastAsia" w:ascii="Times New Roman" w:eastAsia="宋体"/>
                      <w:color w:val="000000"/>
                      <w:kern w:val="0"/>
                      <w:szCs w:val="21"/>
                    </w:rPr>
                    <w:t>混合溶剂</w:t>
                  </w:r>
                </w:p>
              </w:tc>
              <w:tc>
                <w:tcPr>
                  <w:tcW w:w="900" w:type="pct"/>
                  <w:noWrap w:val="0"/>
                  <w:vAlign w:val="center"/>
                </w:tcPr>
                <w:p w14:paraId="2A75565B">
                  <w:pPr>
                    <w:pStyle w:val="102"/>
                    <w:rPr>
                      <w:rFonts w:hint="eastAsia" w:ascii="Times New Roman" w:eastAsia="宋体"/>
                      <w:color w:val="000000"/>
                      <w:szCs w:val="21"/>
                    </w:rPr>
                  </w:pPr>
                  <w:r>
                    <w:rPr>
                      <w:rFonts w:hint="eastAsia" w:ascii="Times New Roman" w:eastAsia="宋体"/>
                      <w:color w:val="000000"/>
                      <w:szCs w:val="21"/>
                    </w:rPr>
                    <w:t>甲苯</w:t>
                  </w:r>
                </w:p>
              </w:tc>
              <w:tc>
                <w:tcPr>
                  <w:tcW w:w="956" w:type="pct"/>
                  <w:noWrap w:val="0"/>
                  <w:vAlign w:val="center"/>
                </w:tcPr>
                <w:p w14:paraId="480F8103">
                  <w:pPr>
                    <w:pStyle w:val="102"/>
                    <w:rPr>
                      <w:rFonts w:hint="default" w:ascii="Times New Roman" w:eastAsia="宋体"/>
                      <w:color w:val="000000"/>
                      <w:szCs w:val="21"/>
                      <w:lang w:val="en-US" w:eastAsia="zh-CN"/>
                    </w:rPr>
                  </w:pPr>
                  <w:r>
                    <w:rPr>
                      <w:rFonts w:hint="eastAsia" w:ascii="Times New Roman" w:eastAsia="宋体"/>
                      <w:color w:val="000000"/>
                      <w:szCs w:val="21"/>
                      <w:lang w:val="en-US" w:eastAsia="zh-CN"/>
                    </w:rPr>
                    <w:t>0.2</w:t>
                  </w:r>
                </w:p>
              </w:tc>
              <w:tc>
                <w:tcPr>
                  <w:tcW w:w="675" w:type="pct"/>
                  <w:noWrap w:val="0"/>
                  <w:vAlign w:val="center"/>
                </w:tcPr>
                <w:p w14:paraId="0D201BED">
                  <w:pPr>
                    <w:pStyle w:val="102"/>
                    <w:rPr>
                      <w:rFonts w:ascii="Times New Roman" w:eastAsia="宋体"/>
                      <w:color w:val="000000"/>
                      <w:szCs w:val="21"/>
                    </w:rPr>
                  </w:pPr>
                  <w:r>
                    <w:rPr>
                      <w:rFonts w:hint="eastAsia" w:ascii="Times New Roman" w:eastAsia="宋体"/>
                      <w:color w:val="000000"/>
                      <w:szCs w:val="21"/>
                    </w:rPr>
                    <w:t>10</w:t>
                  </w:r>
                </w:p>
              </w:tc>
              <w:tc>
                <w:tcPr>
                  <w:tcW w:w="970" w:type="pct"/>
                  <w:tcBorders>
                    <w:right w:val="nil"/>
                  </w:tcBorders>
                  <w:noWrap w:val="0"/>
                  <w:vAlign w:val="center"/>
                </w:tcPr>
                <w:p w14:paraId="633E8979">
                  <w:pPr>
                    <w:jc w:val="center"/>
                    <w:rPr>
                      <w:rFonts w:hint="eastAsia" w:eastAsia="宋体"/>
                      <w:color w:val="000000"/>
                      <w:szCs w:val="21"/>
                      <w:lang w:val="en-US" w:eastAsia="zh-CN"/>
                    </w:rPr>
                  </w:pPr>
                  <w:r>
                    <w:rPr>
                      <w:color w:val="000000"/>
                      <w:szCs w:val="21"/>
                    </w:rPr>
                    <w:t>0.0</w:t>
                  </w:r>
                  <w:r>
                    <w:rPr>
                      <w:rFonts w:hint="eastAsia"/>
                      <w:color w:val="000000"/>
                      <w:szCs w:val="21"/>
                      <w:lang w:val="en-US" w:eastAsia="zh-CN"/>
                    </w:rPr>
                    <w:t>2</w:t>
                  </w:r>
                </w:p>
              </w:tc>
            </w:tr>
            <w:tr w14:paraId="464A9D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029" w:type="pct"/>
                  <w:gridSpan w:val="5"/>
                  <w:tcBorders>
                    <w:left w:val="nil"/>
                    <w:bottom w:val="single" w:color="auto" w:sz="12" w:space="0"/>
                  </w:tcBorders>
                  <w:noWrap w:val="0"/>
                  <w:vAlign w:val="center"/>
                </w:tcPr>
                <w:p w14:paraId="7D57FA73">
                  <w:pPr>
                    <w:pStyle w:val="102"/>
                    <w:rPr>
                      <w:rFonts w:ascii="Times New Roman" w:eastAsia="宋体"/>
                      <w:color w:val="000000"/>
                      <w:szCs w:val="21"/>
                    </w:rPr>
                  </w:pPr>
                  <w:r>
                    <w:rPr>
                      <w:rFonts w:ascii="Times New Roman" w:eastAsia="宋体"/>
                      <w:color w:val="000000"/>
                      <w:szCs w:val="21"/>
                    </w:rPr>
                    <w:t>合计</w:t>
                  </w:r>
                </w:p>
              </w:tc>
              <w:tc>
                <w:tcPr>
                  <w:tcW w:w="970" w:type="pct"/>
                  <w:tcBorders>
                    <w:bottom w:val="single" w:color="auto" w:sz="12" w:space="0"/>
                    <w:right w:val="nil"/>
                  </w:tcBorders>
                  <w:noWrap w:val="0"/>
                  <w:vAlign w:val="center"/>
                </w:tcPr>
                <w:p w14:paraId="1482F7B3">
                  <w:pPr>
                    <w:pStyle w:val="102"/>
                    <w:rPr>
                      <w:rFonts w:hint="eastAsia" w:ascii="Times New Roman" w:eastAsia="宋体"/>
                      <w:color w:val="000000"/>
                      <w:szCs w:val="21"/>
                      <w:lang w:val="en-US" w:eastAsia="zh-CN"/>
                    </w:rPr>
                  </w:pPr>
                  <w:r>
                    <w:rPr>
                      <w:rFonts w:hint="eastAsia" w:ascii="Times New Roman" w:eastAsia="宋体"/>
                      <w:color w:val="000000"/>
                      <w:szCs w:val="21"/>
                    </w:rPr>
                    <w:t>0.0</w:t>
                  </w:r>
                  <w:r>
                    <w:rPr>
                      <w:rFonts w:hint="eastAsia" w:ascii="Times New Roman" w:eastAsia="宋体"/>
                      <w:color w:val="000000"/>
                      <w:szCs w:val="21"/>
                      <w:lang w:val="en-US" w:eastAsia="zh-CN"/>
                    </w:rPr>
                    <w:t>2</w:t>
                  </w:r>
                </w:p>
              </w:tc>
            </w:tr>
          </w:tbl>
          <w:p w14:paraId="50865EE2">
            <w:pPr>
              <w:spacing w:line="360" w:lineRule="auto"/>
              <w:rPr>
                <w:sz w:val="24"/>
              </w:rPr>
            </w:pPr>
          </w:p>
          <w:p w14:paraId="151977C0">
            <w:pPr>
              <w:spacing w:line="360" w:lineRule="auto"/>
              <w:ind w:firstLine="480" w:firstLineChars="200"/>
              <w:rPr>
                <w:sz w:val="24"/>
              </w:rPr>
            </w:pPr>
            <w:r>
              <w:rPr>
                <w:sz w:val="24"/>
              </w:rPr>
              <w:t>由上表可知Q＜1</w:t>
            </w:r>
            <w:r>
              <w:rPr>
                <w:rFonts w:hint="eastAsia"/>
                <w:bCs/>
                <w:sz w:val="24"/>
              </w:rPr>
              <w:t>，无需设置风险专项</w:t>
            </w:r>
            <w:r>
              <w:rPr>
                <w:sz w:val="24"/>
              </w:rPr>
              <w:t>。</w:t>
            </w:r>
          </w:p>
          <w:p w14:paraId="2C834984">
            <w:pPr>
              <w:pStyle w:val="100"/>
              <w:rPr>
                <w:rFonts w:hint="eastAsia"/>
              </w:rPr>
            </w:pPr>
            <w:r>
              <w:rPr>
                <w:rFonts w:hint="eastAsia"/>
              </w:rPr>
              <w:t>本项目涉及的主要危险品为混合溶剂，属于有毒有害物质，但是由于实验室购入量和储存量很少，所以风险性较小，主要环境风险类型为泄漏事故和火灾、爆炸引发的次生/伴生污染物排放。</w:t>
            </w:r>
          </w:p>
          <w:p w14:paraId="5A6DE016">
            <w:pPr>
              <w:pStyle w:val="100"/>
            </w:pPr>
            <w:r>
              <w:rPr>
                <w:rFonts w:hint="eastAsia"/>
              </w:rPr>
              <w:t>泄漏会导致有机废气挥发污染大气环境，液体泄漏物流至外环境，随雨水冲刷至周边地表水环境，渗漏进入土壤和地下水；泄漏后</w:t>
            </w:r>
            <w:r>
              <w:rPr>
                <w:rFonts w:hint="eastAsia"/>
                <w:lang w:eastAsia="zh-CN"/>
              </w:rPr>
              <w:t>遇热源</w:t>
            </w:r>
            <w:r>
              <w:rPr>
                <w:rFonts w:hint="eastAsia"/>
              </w:rPr>
              <w:t>和明火有燃烧、爆炸的危险，燃烧过程中次</w:t>
            </w:r>
            <w:r>
              <w:rPr>
                <w:rFonts w:hint="eastAsia"/>
                <w:lang w:eastAsia="zh-CN"/>
              </w:rPr>
              <w:t>生或</w:t>
            </w:r>
            <w:r>
              <w:rPr>
                <w:rFonts w:hint="eastAsia"/>
              </w:rPr>
              <w:t>伴生的有害气体会对周边大气环境造成影响，同时扑救火灾时产生的消防污水沿地面漫流，可能会对地表水、地下水产生影响。</w:t>
            </w:r>
          </w:p>
          <w:p w14:paraId="5D785FA1">
            <w:pPr>
              <w:spacing w:line="360" w:lineRule="auto"/>
              <w:ind w:firstLine="480" w:firstLineChars="200"/>
              <w:rPr>
                <w:sz w:val="24"/>
              </w:rPr>
            </w:pPr>
            <w:r>
              <w:rPr>
                <w:sz w:val="24"/>
              </w:rPr>
              <w:t>（3）环境风险防治措施</w:t>
            </w:r>
          </w:p>
          <w:p w14:paraId="21E86776">
            <w:pPr>
              <w:pStyle w:val="21"/>
              <w:spacing w:line="360" w:lineRule="auto"/>
              <w:ind w:left="0" w:firstLine="480" w:firstLineChars="200"/>
              <w:rPr>
                <w:sz w:val="24"/>
              </w:rPr>
            </w:pPr>
            <w:r>
              <w:rPr>
                <w:sz w:val="24"/>
              </w:rPr>
              <w:t>①合理进行</w:t>
            </w:r>
            <w:r>
              <w:rPr>
                <w:rFonts w:hint="eastAsia"/>
                <w:sz w:val="24"/>
              </w:rPr>
              <w:t>实验室</w:t>
            </w:r>
            <w:r>
              <w:rPr>
                <w:sz w:val="24"/>
              </w:rPr>
              <w:t>平面布置，合理布置</w:t>
            </w:r>
            <w:r>
              <w:rPr>
                <w:rFonts w:hint="eastAsia"/>
                <w:sz w:val="24"/>
              </w:rPr>
              <w:t>实验</w:t>
            </w:r>
            <w:r>
              <w:rPr>
                <w:sz w:val="24"/>
              </w:rPr>
              <w:t>原料的堆放位置，加强对</w:t>
            </w:r>
            <w:r>
              <w:rPr>
                <w:rFonts w:hint="eastAsia"/>
                <w:sz w:val="24"/>
              </w:rPr>
              <w:t>实验原料</w:t>
            </w:r>
            <w:r>
              <w:rPr>
                <w:sz w:val="24"/>
              </w:rPr>
              <w:t>的储存管理，降低</w:t>
            </w:r>
            <w:r>
              <w:rPr>
                <w:rFonts w:hint="eastAsia"/>
                <w:sz w:val="24"/>
                <w:lang w:eastAsia="zh-CN"/>
              </w:rPr>
              <w:t>泄漏</w:t>
            </w:r>
            <w:r>
              <w:rPr>
                <w:rFonts w:hint="eastAsia"/>
                <w:sz w:val="24"/>
              </w:rPr>
              <w:t>污染土壤环境概率。</w:t>
            </w:r>
            <w:r>
              <w:rPr>
                <w:sz w:val="24"/>
                <w:szCs w:val="32"/>
              </w:rPr>
              <w:t>当</w:t>
            </w:r>
            <w:r>
              <w:rPr>
                <w:rFonts w:hint="eastAsia"/>
                <w:sz w:val="24"/>
                <w:szCs w:val="32"/>
              </w:rPr>
              <w:t>原材料</w:t>
            </w:r>
            <w:r>
              <w:rPr>
                <w:sz w:val="24"/>
                <w:szCs w:val="32"/>
              </w:rPr>
              <w:t>桶发生破裂，</w:t>
            </w:r>
            <w:r>
              <w:rPr>
                <w:rFonts w:hint="eastAsia"/>
                <w:sz w:val="24"/>
                <w:szCs w:val="32"/>
              </w:rPr>
              <w:t>及时控制污染源，</w:t>
            </w:r>
            <w:r>
              <w:rPr>
                <w:sz w:val="24"/>
                <w:szCs w:val="32"/>
              </w:rPr>
              <w:t>泄漏后将地面</w:t>
            </w:r>
            <w:r>
              <w:rPr>
                <w:rFonts w:hint="eastAsia"/>
                <w:sz w:val="24"/>
                <w:szCs w:val="32"/>
                <w:lang w:eastAsia="zh-CN"/>
              </w:rPr>
              <w:t>撒</w:t>
            </w:r>
            <w:r>
              <w:rPr>
                <w:rFonts w:hint="eastAsia"/>
                <w:sz w:val="24"/>
                <w:szCs w:val="32"/>
              </w:rPr>
              <w:t>上</w:t>
            </w:r>
            <w:r>
              <w:rPr>
                <w:sz w:val="24"/>
                <w:szCs w:val="32"/>
              </w:rPr>
              <w:t>沙土或松软材料（如木屑）进行吸附，</w:t>
            </w:r>
            <w:r>
              <w:rPr>
                <w:rFonts w:hint="eastAsia"/>
                <w:sz w:val="24"/>
                <w:szCs w:val="32"/>
              </w:rPr>
              <w:t>收集后委托有资质单位处理</w:t>
            </w:r>
            <w:r>
              <w:rPr>
                <w:sz w:val="24"/>
                <w:szCs w:val="32"/>
              </w:rPr>
              <w:t>。</w:t>
            </w:r>
          </w:p>
          <w:p w14:paraId="6590F7DB">
            <w:pPr>
              <w:pStyle w:val="21"/>
              <w:spacing w:line="360" w:lineRule="auto"/>
              <w:ind w:left="0" w:firstLine="480" w:firstLineChars="200"/>
              <w:rPr>
                <w:sz w:val="24"/>
              </w:rPr>
            </w:pPr>
            <w:r>
              <w:rPr>
                <w:sz w:val="24"/>
              </w:rPr>
              <w:t>②完善危险物质贮存设施，加强对</w:t>
            </w:r>
            <w:r>
              <w:rPr>
                <w:rFonts w:hint="eastAsia"/>
                <w:sz w:val="24"/>
              </w:rPr>
              <w:t>清洗废水</w:t>
            </w:r>
            <w:r>
              <w:rPr>
                <w:sz w:val="24"/>
              </w:rPr>
              <w:t>的安全管理和检查，避免出现泄漏；</w:t>
            </w:r>
            <w:r>
              <w:rPr>
                <w:sz w:val="24"/>
                <w:szCs w:val="32"/>
              </w:rPr>
              <w:t>消防器材要设置在明显、取用方便的地方，要经常检查，做到“三定”（定点、定型号和用量、定专人维护管理），不准</w:t>
            </w:r>
            <w:r>
              <w:rPr>
                <w:rFonts w:hint="eastAsia"/>
                <w:sz w:val="24"/>
                <w:szCs w:val="32"/>
              </w:rPr>
              <w:t>挪作他用</w:t>
            </w:r>
            <w:r>
              <w:rPr>
                <w:sz w:val="24"/>
                <w:szCs w:val="32"/>
              </w:rPr>
              <w:t>，还应按规定定期检测，保持完好</w:t>
            </w:r>
            <w:r>
              <w:rPr>
                <w:sz w:val="24"/>
              </w:rPr>
              <w:t>。</w:t>
            </w:r>
          </w:p>
          <w:p w14:paraId="77EF4149">
            <w:pPr>
              <w:pStyle w:val="21"/>
              <w:spacing w:line="360" w:lineRule="auto"/>
              <w:ind w:left="0" w:firstLine="480" w:firstLineChars="200"/>
              <w:rPr>
                <w:sz w:val="24"/>
              </w:rPr>
            </w:pPr>
            <w:r>
              <w:rPr>
                <w:sz w:val="24"/>
              </w:rPr>
              <w:t>③加强安全教育，</w:t>
            </w:r>
            <w:r>
              <w:rPr>
                <w:sz w:val="24"/>
                <w:szCs w:val="32"/>
              </w:rPr>
              <w:t>对从业人员</w:t>
            </w:r>
            <w:r>
              <w:rPr>
                <w:rFonts w:hint="eastAsia"/>
                <w:sz w:val="24"/>
                <w:szCs w:val="32"/>
                <w:lang w:eastAsia="zh-CN"/>
              </w:rPr>
              <w:t>（</w:t>
            </w:r>
            <w:r>
              <w:rPr>
                <w:sz w:val="24"/>
                <w:szCs w:val="32"/>
              </w:rPr>
              <w:t>含新进人员</w:t>
            </w:r>
            <w:r>
              <w:rPr>
                <w:rFonts w:hint="eastAsia"/>
                <w:sz w:val="24"/>
                <w:szCs w:val="32"/>
                <w:lang w:eastAsia="zh-CN"/>
              </w:rPr>
              <w:t>）</w:t>
            </w:r>
            <w:r>
              <w:rPr>
                <w:sz w:val="24"/>
                <w:szCs w:val="32"/>
              </w:rPr>
              <w:t>进行安全生产教育和培训。内容包括易燃易爆物料的特性</w:t>
            </w:r>
            <w:r>
              <w:rPr>
                <w:rFonts w:hint="eastAsia"/>
                <w:sz w:val="24"/>
                <w:szCs w:val="32"/>
                <w:lang w:eastAsia="zh-CN"/>
              </w:rPr>
              <w:t>（</w:t>
            </w:r>
            <w:r>
              <w:rPr>
                <w:sz w:val="24"/>
                <w:szCs w:val="32"/>
              </w:rPr>
              <w:t>物理、化学性质</w:t>
            </w:r>
            <w:r>
              <w:rPr>
                <w:rFonts w:hint="eastAsia"/>
                <w:sz w:val="24"/>
                <w:szCs w:val="32"/>
                <w:lang w:eastAsia="zh-CN"/>
              </w:rPr>
              <w:t>）</w:t>
            </w:r>
            <w:r>
              <w:rPr>
                <w:sz w:val="24"/>
                <w:szCs w:val="32"/>
              </w:rPr>
              <w:t>，中毒危害及防护、</w:t>
            </w:r>
            <w:r>
              <w:rPr>
                <w:rFonts w:hint="eastAsia"/>
                <w:sz w:val="24"/>
                <w:szCs w:val="32"/>
                <w:lang w:eastAsia="zh-CN"/>
              </w:rPr>
              <w:t>自燃</w:t>
            </w:r>
            <w:r>
              <w:rPr>
                <w:sz w:val="24"/>
                <w:szCs w:val="32"/>
              </w:rPr>
              <w:t>措施；岗位操作规程、设备使用操作规程，做到考核合格持证上岗</w:t>
            </w:r>
            <w:r>
              <w:rPr>
                <w:sz w:val="24"/>
              </w:rPr>
              <w:t>。</w:t>
            </w:r>
          </w:p>
          <w:p w14:paraId="03C92D55">
            <w:pPr>
              <w:pStyle w:val="21"/>
              <w:spacing w:line="360" w:lineRule="auto"/>
              <w:ind w:left="0" w:firstLine="480" w:firstLineChars="200"/>
              <w:rPr>
                <w:sz w:val="24"/>
              </w:rPr>
            </w:pPr>
            <w:r>
              <w:rPr>
                <w:sz w:val="24"/>
              </w:rPr>
              <w:t>④</w:t>
            </w:r>
            <w:r>
              <w:rPr>
                <w:sz w:val="24"/>
                <w:szCs w:val="32"/>
              </w:rPr>
              <w:t>制定安全生产规章制度和操作规程，其中安全生产规章制度包括安全检查制度、巡检制度、交接班制度、从业人员培训制度</w:t>
            </w:r>
            <w:r>
              <w:rPr>
                <w:rFonts w:hint="eastAsia"/>
                <w:sz w:val="24"/>
                <w:szCs w:val="32"/>
                <w:lang w:eastAsia="zh-CN"/>
              </w:rPr>
              <w:t>（</w:t>
            </w:r>
            <w:r>
              <w:rPr>
                <w:sz w:val="24"/>
                <w:szCs w:val="32"/>
              </w:rPr>
              <w:t>含新进人员</w:t>
            </w:r>
            <w:r>
              <w:rPr>
                <w:rFonts w:hint="eastAsia"/>
                <w:sz w:val="24"/>
                <w:szCs w:val="32"/>
                <w:lang w:eastAsia="zh-CN"/>
              </w:rPr>
              <w:t>）</w:t>
            </w:r>
            <w:r>
              <w:rPr>
                <w:sz w:val="24"/>
                <w:szCs w:val="32"/>
              </w:rPr>
              <w:t>、奖惩制度等</w:t>
            </w:r>
            <w:r>
              <w:rPr>
                <w:rFonts w:hint="eastAsia"/>
                <w:sz w:val="24"/>
                <w:szCs w:val="32"/>
              </w:rPr>
              <w:t>；</w:t>
            </w:r>
            <w:r>
              <w:rPr>
                <w:sz w:val="24"/>
                <w:szCs w:val="32"/>
              </w:rPr>
              <w:t>操作规程应包括正常操作条件、检修操作、设备和管道的更换、检修程序和发生故障时的应急方案等</w:t>
            </w:r>
            <w:r>
              <w:rPr>
                <w:sz w:val="24"/>
              </w:rPr>
              <w:t>。</w:t>
            </w:r>
          </w:p>
          <w:p w14:paraId="3AF91F6C">
            <w:pPr>
              <w:pStyle w:val="100"/>
              <w:rPr>
                <w:rFonts w:hint="eastAsia"/>
              </w:rPr>
            </w:pPr>
            <w:r>
              <w:t>⑤</w:t>
            </w:r>
            <w:r>
              <w:rPr>
                <w:rFonts w:hint="eastAsia"/>
              </w:rPr>
              <w:t>重视运输资质、运输路线、运输专用标志和辅助设备的配备，以及防火安全措施。需要注意的是：禁止用叉车、翻斗车、铲车搬运易燃易爆物品；禁止超装、超载，禁止混装不相容类别的危险化学品；运输车发生泄漏或翻车，必须立即报警，并建议有关部门在一定距离范围内设置警戒，作为影响范围，通知采取必要的防范措施；根据不同物料，提出吸附、覆盖、消除材料，用于应急处理。</w:t>
            </w:r>
          </w:p>
          <w:p w14:paraId="4BC5EFB0">
            <w:pPr>
              <w:pStyle w:val="100"/>
              <w:rPr>
                <w:rFonts w:hint="eastAsia"/>
              </w:rPr>
            </w:pPr>
            <w:r>
              <w:rPr>
                <w:rFonts w:hint="eastAsia"/>
              </w:rPr>
              <w:t>⑥</w:t>
            </w:r>
            <w:r>
              <w:rPr>
                <w:rFonts w:hint="eastAsia"/>
                <w:lang w:val="zh-CN"/>
              </w:rPr>
              <w:t>加强对环保装置等设备的定期检修和维护，避免非正常工况下废气未经治理而超标排放事件的发生。严格遵守“三同时”制度，建设单位不得私自停用环保设施，应对环保设施、生产设备、电线线路及设备线路定期进行检查，使废气处理设施处于完备有效的状态，以保证处理效率和污染物达标排放。加强</w:t>
            </w:r>
            <w:r>
              <w:rPr>
                <w:rFonts w:hint="eastAsia"/>
              </w:rPr>
              <w:t>原辅料及</w:t>
            </w:r>
            <w:r>
              <w:rPr>
                <w:rFonts w:hint="eastAsia"/>
                <w:lang w:val="zh-CN"/>
              </w:rPr>
              <w:t>危险废物管理，对危险废物进行安全分类存放，定期委托处理，避免在厂区储存时间过长。</w:t>
            </w:r>
            <w:r>
              <w:rPr>
                <w:rFonts w:hint="eastAsia"/>
                <w:bCs/>
              </w:rPr>
              <w:t>设置临时围堰</w:t>
            </w:r>
            <w:r>
              <w:rPr>
                <w:rFonts w:hint="eastAsia"/>
                <w:bCs/>
                <w:lang w:val="zh-CN"/>
              </w:rPr>
              <w:t>，保证泄漏物料能迅速安全集中处理。</w:t>
            </w:r>
          </w:p>
          <w:p w14:paraId="3155993A">
            <w:pPr>
              <w:pStyle w:val="101"/>
              <w:ind w:firstLine="480"/>
              <w:rPr>
                <w:kern w:val="2"/>
              </w:rPr>
            </w:pPr>
            <w:r>
              <w:rPr>
                <w:kern w:val="2"/>
              </w:rPr>
              <w:t>（4）应急预案</w:t>
            </w:r>
          </w:p>
          <w:p w14:paraId="6FD58F76">
            <w:pPr>
              <w:pStyle w:val="101"/>
              <w:ind w:firstLine="480"/>
              <w:rPr>
                <w:kern w:val="2"/>
                <w:szCs w:val="22"/>
              </w:rPr>
            </w:pPr>
            <w:r>
              <w:rPr>
                <w:kern w:val="2"/>
                <w:szCs w:val="22"/>
              </w:rPr>
              <w:t>环境应急预案内容一般包括：</w:t>
            </w:r>
          </w:p>
          <w:p w14:paraId="23FB8E1A">
            <w:pPr>
              <w:pStyle w:val="101"/>
              <w:ind w:firstLine="480"/>
              <w:rPr>
                <w:kern w:val="2"/>
                <w:szCs w:val="22"/>
              </w:rPr>
            </w:pPr>
            <w:r>
              <w:rPr>
                <w:kern w:val="2"/>
                <w:szCs w:val="22"/>
              </w:rPr>
              <w:t>（一）总则，包括编制依据、适用范围和工作原则等；</w:t>
            </w:r>
          </w:p>
          <w:p w14:paraId="21C12AD0">
            <w:pPr>
              <w:pStyle w:val="101"/>
              <w:ind w:firstLine="480"/>
              <w:rPr>
                <w:kern w:val="2"/>
                <w:szCs w:val="22"/>
              </w:rPr>
            </w:pPr>
            <w:r>
              <w:rPr>
                <w:kern w:val="2"/>
                <w:szCs w:val="22"/>
              </w:rPr>
              <w:t>（二）应急组织指挥体系与职责，包括领导机构、工作机构、现场指挥机构、环境应急专家组等；</w:t>
            </w:r>
          </w:p>
          <w:p w14:paraId="5C9833C5">
            <w:pPr>
              <w:pStyle w:val="101"/>
              <w:ind w:firstLine="480"/>
              <w:rPr>
                <w:kern w:val="2"/>
                <w:szCs w:val="22"/>
              </w:rPr>
            </w:pPr>
            <w:r>
              <w:rPr>
                <w:kern w:val="2"/>
                <w:szCs w:val="22"/>
              </w:rPr>
              <w:t>（三）预防与预警机制，包括应急准备措施、环境风险隐患排查和整治措施、预警分级指标、预警发布或者解除程序、预警</w:t>
            </w:r>
            <w:r>
              <w:rPr>
                <w:rFonts w:hint="eastAsia"/>
                <w:kern w:val="2"/>
                <w:szCs w:val="22"/>
                <w:lang w:eastAsia="zh-CN"/>
              </w:rPr>
              <w:t>响应</w:t>
            </w:r>
            <w:r>
              <w:rPr>
                <w:kern w:val="2"/>
                <w:szCs w:val="22"/>
              </w:rPr>
              <w:t>措施等；</w:t>
            </w:r>
          </w:p>
          <w:p w14:paraId="381F7F94">
            <w:pPr>
              <w:pStyle w:val="101"/>
              <w:ind w:firstLine="480"/>
              <w:rPr>
                <w:kern w:val="2"/>
                <w:szCs w:val="22"/>
              </w:rPr>
            </w:pPr>
            <w:r>
              <w:rPr>
                <w:kern w:val="2"/>
                <w:szCs w:val="22"/>
              </w:rPr>
              <w:t>（四）应急处置，包括应急预案启动条件、信息报告、先期处置、分级响应、指挥与协调、信息发布、应急终止等程序和措施；</w:t>
            </w:r>
          </w:p>
          <w:p w14:paraId="70ED1593">
            <w:pPr>
              <w:pStyle w:val="101"/>
              <w:ind w:firstLine="480"/>
              <w:rPr>
                <w:kern w:val="2"/>
                <w:szCs w:val="22"/>
              </w:rPr>
            </w:pPr>
            <w:r>
              <w:rPr>
                <w:kern w:val="2"/>
                <w:szCs w:val="22"/>
              </w:rPr>
              <w:t>（五）后期处置，包括善后处置、调查与评估、恢复重建等；</w:t>
            </w:r>
          </w:p>
          <w:p w14:paraId="5F5604C9">
            <w:pPr>
              <w:pStyle w:val="101"/>
              <w:ind w:firstLine="480"/>
              <w:rPr>
                <w:kern w:val="2"/>
                <w:szCs w:val="22"/>
              </w:rPr>
            </w:pPr>
            <w:r>
              <w:rPr>
                <w:kern w:val="2"/>
                <w:szCs w:val="22"/>
              </w:rPr>
              <w:t>（六）应急保障，包括人力资源保障、财力保障、物资保障等；</w:t>
            </w:r>
          </w:p>
          <w:p w14:paraId="42A77714">
            <w:pPr>
              <w:pStyle w:val="101"/>
              <w:ind w:firstLine="480"/>
              <w:rPr>
                <w:kern w:val="2"/>
                <w:szCs w:val="22"/>
              </w:rPr>
            </w:pPr>
            <w:r>
              <w:rPr>
                <w:kern w:val="2"/>
                <w:szCs w:val="22"/>
              </w:rPr>
              <w:t>（七）包括应急预案演练、宣教培训、责任与奖惩等；</w:t>
            </w:r>
          </w:p>
          <w:p w14:paraId="3BCBA468">
            <w:pPr>
              <w:pStyle w:val="101"/>
              <w:ind w:firstLine="480"/>
              <w:rPr>
                <w:kern w:val="2"/>
                <w:szCs w:val="22"/>
              </w:rPr>
            </w:pPr>
            <w:r>
              <w:rPr>
                <w:kern w:val="2"/>
                <w:szCs w:val="22"/>
              </w:rPr>
              <w:t>（八）相关附件及附则。</w:t>
            </w:r>
          </w:p>
          <w:p w14:paraId="6EBDA5B7">
            <w:pPr>
              <w:pStyle w:val="101"/>
              <w:ind w:firstLine="480"/>
              <w:rPr>
                <w:kern w:val="2"/>
                <w:szCs w:val="22"/>
              </w:rPr>
            </w:pPr>
            <w:r>
              <w:rPr>
                <w:kern w:val="2"/>
                <w:szCs w:val="22"/>
              </w:rPr>
              <w:t>为确保企业安全生产及公司职工和周边群众生命财产安全、防止突发性重大事故发生，并在发生事故后能迅速有效、有条不紊地处理和控制事故扩大，把损失和危害减少到最低程度，结合该企业实际、本着“自救为主、外援为辅、统一指挥、当机立断”的原则，分暂存间级及厂级设立二级应急预案体系。</w:t>
            </w:r>
          </w:p>
          <w:p w14:paraId="047B61D1">
            <w:pPr>
              <w:pStyle w:val="43"/>
              <w:spacing w:line="360" w:lineRule="auto"/>
              <w:ind w:firstLine="480"/>
              <w:rPr>
                <w:bCs/>
                <w:color w:val="auto"/>
                <w:spacing w:val="-10"/>
                <w:szCs w:val="21"/>
              </w:rPr>
            </w:pPr>
            <w:r>
              <w:rPr>
                <w:rFonts w:ascii="Times New Roman" w:hAnsi="Times New Roman"/>
                <w:color w:val="auto"/>
                <w:sz w:val="24"/>
                <w:szCs w:val="22"/>
              </w:rPr>
              <w:t>建议实验室建立健全风险应急机制，同时依据《关于进一步加强环境影响评价管理防范环境风险的通知》（环发[2012]77号）的要求，企业应按照《突发环境事件应急预案管理暂行办法》（环发[2010]113号）、《企业事业单位突发环境事件应急预案备案管理办法（试行）》（环发）[2015]4号）等相关规定编制风险应急预案，并与当地生态环境部门联动，提高实验室环境风险防控能力。</w:t>
            </w:r>
          </w:p>
        </w:tc>
      </w:tr>
    </w:tbl>
    <w:p w14:paraId="681F7BE2">
      <w:pPr>
        <w:adjustRightInd w:val="0"/>
        <w:snapToGrid w:val="0"/>
        <w:spacing w:line="360" w:lineRule="auto"/>
        <w:rPr>
          <w:rFonts w:hint="eastAsia" w:ascii="宋体" w:cs="宋体"/>
          <w:b/>
          <w:kern w:val="0"/>
          <w:sz w:val="28"/>
          <w:szCs w:val="28"/>
        </w:rPr>
        <w:sectPr>
          <w:pgSz w:w="11907" w:h="16840"/>
          <w:pgMar w:top="1440" w:right="1080" w:bottom="1440" w:left="1080" w:header="851" w:footer="851" w:gutter="0"/>
          <w:cols w:space="720" w:num="1"/>
          <w:docGrid w:linePitch="312" w:charSpace="0"/>
        </w:sectPr>
      </w:pPr>
    </w:p>
    <w:p w14:paraId="338AF7A5">
      <w:pPr>
        <w:pStyle w:val="23"/>
        <w:spacing w:before="120" w:beforeLines="50" w:beforeAutospacing="0" w:after="120" w:afterLines="50" w:afterAutospacing="0"/>
        <w:jc w:val="center"/>
        <w:outlineLvl w:val="0"/>
        <w:rPr>
          <w:rFonts w:ascii="黑体" w:hAnsi="黑体" w:eastAsia="黑体"/>
          <w:snapToGrid w:val="0"/>
          <w:sz w:val="30"/>
          <w:szCs w:val="30"/>
        </w:rPr>
      </w:pPr>
      <w:r>
        <w:rPr>
          <w:rFonts w:hint="eastAsia" w:ascii="黑体" w:hAnsi="黑体" w:eastAsia="黑体"/>
          <w:snapToGrid w:val="0"/>
          <w:sz w:val="30"/>
          <w:szCs w:val="30"/>
        </w:rPr>
        <w:t>五、</w:t>
      </w:r>
      <w:bookmarkStart w:id="11" w:name="_Hlk54167917"/>
      <w:r>
        <w:rPr>
          <w:rFonts w:hint="eastAsia" w:ascii="黑体" w:hAnsi="黑体" w:eastAsia="黑体"/>
          <w:snapToGrid w:val="0"/>
          <w:sz w:val="30"/>
          <w:szCs w:val="30"/>
        </w:rPr>
        <w:t>环境保护措施监督检查清单</w:t>
      </w:r>
      <w:bookmarkEnd w:id="11"/>
    </w:p>
    <w:tbl>
      <w:tblPr>
        <w:tblStyle w:val="27"/>
        <w:tblW w:w="493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493"/>
        <w:gridCol w:w="1709"/>
        <w:gridCol w:w="1459"/>
        <w:gridCol w:w="2488"/>
        <w:gridCol w:w="2682"/>
      </w:tblGrid>
      <w:tr w14:paraId="083614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9" w:type="pct"/>
            <w:tcBorders>
              <w:tl2br w:val="single" w:color="auto" w:sz="4" w:space="0"/>
            </w:tcBorders>
            <w:noWrap w:val="0"/>
            <w:vAlign w:val="center"/>
          </w:tcPr>
          <w:p w14:paraId="0EB1C3E0">
            <w:pPr>
              <w:adjustRightInd w:val="0"/>
              <w:snapToGrid w:val="0"/>
              <w:ind w:firstLine="720" w:firstLineChars="300"/>
              <w:rPr>
                <w:rFonts w:ascii="Mongolian Baiti" w:hAnsi="Mongolian Baiti" w:cs="Mongolian Baiti"/>
                <w:sz w:val="24"/>
              </w:rPr>
            </w:pPr>
            <w:r>
              <w:rPr>
                <w:rFonts w:ascii="Mongolian Baiti" w:hAnsi="Mongolian Baiti" w:cs="Mongolian Baiti"/>
                <w:sz w:val="24"/>
              </w:rPr>
              <w:t>内容</w:t>
            </w:r>
          </w:p>
          <w:p w14:paraId="32083163">
            <w:pPr>
              <w:adjustRightInd w:val="0"/>
              <w:snapToGrid w:val="0"/>
              <w:rPr>
                <w:rFonts w:ascii="Mongolian Baiti" w:hAnsi="Mongolian Baiti" w:cs="Mongolian Baiti"/>
                <w:sz w:val="24"/>
              </w:rPr>
            </w:pPr>
          </w:p>
          <w:p w14:paraId="423D1275">
            <w:pPr>
              <w:adjustRightInd w:val="0"/>
              <w:snapToGrid w:val="0"/>
              <w:rPr>
                <w:rFonts w:ascii="Mongolian Baiti" w:hAnsi="Mongolian Baiti" w:cs="Mongolian Baiti"/>
                <w:sz w:val="24"/>
              </w:rPr>
            </w:pPr>
            <w:r>
              <w:rPr>
                <w:rFonts w:ascii="Mongolian Baiti" w:hAnsi="Mongolian Baiti" w:cs="Mongolian Baiti"/>
                <w:sz w:val="24"/>
              </w:rPr>
              <w:t>要素</w:t>
            </w:r>
          </w:p>
        </w:tc>
        <w:tc>
          <w:tcPr>
            <w:tcW w:w="869" w:type="pct"/>
            <w:noWrap w:val="0"/>
            <w:vAlign w:val="center"/>
          </w:tcPr>
          <w:p w14:paraId="01336D7F">
            <w:pPr>
              <w:adjustRightInd w:val="0"/>
              <w:snapToGrid w:val="0"/>
              <w:jc w:val="center"/>
              <w:rPr>
                <w:rFonts w:ascii="Mongolian Baiti" w:hAnsi="Mongolian Baiti" w:cs="Mongolian Baiti"/>
                <w:sz w:val="24"/>
              </w:rPr>
            </w:pPr>
            <w:r>
              <w:rPr>
                <w:rFonts w:ascii="Mongolian Baiti" w:hAnsi="Mongolian Baiti" w:cs="Mongolian Baiti"/>
                <w:sz w:val="24"/>
              </w:rPr>
              <w:t>排放口</w:t>
            </w:r>
            <w:r>
              <w:rPr>
                <w:rFonts w:hint="eastAsia" w:ascii="Mongolian Baiti" w:hAnsi="Mongolian Baiti" w:cs="Mongolian Baiti"/>
                <w:sz w:val="24"/>
                <w:lang w:eastAsia="zh-CN"/>
              </w:rPr>
              <w:t>（</w:t>
            </w:r>
            <w:r>
              <w:rPr>
                <w:rFonts w:ascii="Mongolian Baiti" w:hAnsi="Mongolian Baiti" w:cs="Mongolian Baiti"/>
                <w:sz w:val="24"/>
              </w:rPr>
              <w:t>编号、</w:t>
            </w:r>
          </w:p>
          <w:p w14:paraId="14883C8E">
            <w:pPr>
              <w:adjustRightInd w:val="0"/>
              <w:snapToGrid w:val="0"/>
              <w:jc w:val="center"/>
              <w:rPr>
                <w:rFonts w:ascii="Mongolian Baiti" w:hAnsi="Mongolian Baiti" w:cs="Mongolian Baiti"/>
                <w:sz w:val="24"/>
              </w:rPr>
            </w:pPr>
            <w:r>
              <w:rPr>
                <w:rFonts w:ascii="Mongolian Baiti" w:hAnsi="Mongolian Baiti" w:cs="Mongolian Baiti"/>
                <w:sz w:val="24"/>
              </w:rPr>
              <w:t>名称</w:t>
            </w:r>
            <w:r>
              <w:rPr>
                <w:rFonts w:hint="eastAsia" w:ascii="Mongolian Baiti" w:hAnsi="Mongolian Baiti" w:cs="Mongolian Baiti"/>
                <w:sz w:val="24"/>
                <w:lang w:eastAsia="zh-CN"/>
              </w:rPr>
              <w:t>）</w:t>
            </w:r>
            <w:r>
              <w:rPr>
                <w:rFonts w:ascii="Mongolian Baiti" w:hAnsi="Mongolian Baiti" w:cs="Mongolian Baiti"/>
                <w:sz w:val="24"/>
              </w:rPr>
              <w:t>/污染源</w:t>
            </w:r>
          </w:p>
        </w:tc>
        <w:tc>
          <w:tcPr>
            <w:tcW w:w="742" w:type="pct"/>
            <w:noWrap w:val="0"/>
            <w:vAlign w:val="center"/>
          </w:tcPr>
          <w:p w14:paraId="6B8E704E">
            <w:pPr>
              <w:adjustRightInd w:val="0"/>
              <w:snapToGrid w:val="0"/>
              <w:jc w:val="center"/>
              <w:rPr>
                <w:rFonts w:ascii="Mongolian Baiti" w:hAnsi="Mongolian Baiti" w:cs="Mongolian Baiti"/>
                <w:sz w:val="24"/>
              </w:rPr>
            </w:pPr>
            <w:r>
              <w:rPr>
                <w:rFonts w:ascii="Mongolian Baiti" w:hAnsi="Mongolian Baiti" w:cs="Mongolian Baiti"/>
                <w:sz w:val="24"/>
              </w:rPr>
              <w:t>污染物项目</w:t>
            </w:r>
          </w:p>
        </w:tc>
        <w:tc>
          <w:tcPr>
            <w:tcW w:w="1265" w:type="pct"/>
            <w:noWrap w:val="0"/>
            <w:vAlign w:val="center"/>
          </w:tcPr>
          <w:p w14:paraId="749222F6">
            <w:pPr>
              <w:adjustRightInd w:val="0"/>
              <w:snapToGrid w:val="0"/>
              <w:jc w:val="center"/>
              <w:rPr>
                <w:rFonts w:ascii="Mongolian Baiti" w:hAnsi="Mongolian Baiti" w:cs="Mongolian Baiti"/>
                <w:sz w:val="24"/>
              </w:rPr>
            </w:pPr>
            <w:r>
              <w:rPr>
                <w:rFonts w:ascii="Mongolian Baiti" w:hAnsi="Mongolian Baiti" w:cs="Mongolian Baiti"/>
                <w:sz w:val="24"/>
              </w:rPr>
              <w:t>环境保护措施</w:t>
            </w:r>
          </w:p>
        </w:tc>
        <w:tc>
          <w:tcPr>
            <w:tcW w:w="1364" w:type="pct"/>
            <w:noWrap w:val="0"/>
            <w:vAlign w:val="center"/>
          </w:tcPr>
          <w:p w14:paraId="7E7C21EE">
            <w:pPr>
              <w:adjustRightInd w:val="0"/>
              <w:snapToGrid w:val="0"/>
              <w:jc w:val="center"/>
              <w:rPr>
                <w:rFonts w:ascii="Mongolian Baiti" w:hAnsi="Mongolian Baiti" w:cs="Mongolian Baiti"/>
                <w:sz w:val="24"/>
              </w:rPr>
            </w:pPr>
            <w:r>
              <w:rPr>
                <w:rFonts w:ascii="Mongolian Baiti" w:hAnsi="Mongolian Baiti" w:cs="Mongolian Baiti"/>
                <w:sz w:val="24"/>
              </w:rPr>
              <w:t>执行标准</w:t>
            </w:r>
          </w:p>
        </w:tc>
      </w:tr>
      <w:tr w14:paraId="016F54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59" w:type="pct"/>
            <w:vMerge w:val="restart"/>
            <w:noWrap w:val="0"/>
            <w:vAlign w:val="center"/>
          </w:tcPr>
          <w:p w14:paraId="765095B0">
            <w:pPr>
              <w:adjustRightInd w:val="0"/>
              <w:snapToGrid w:val="0"/>
              <w:jc w:val="center"/>
              <w:rPr>
                <w:rFonts w:ascii="Mongolian Baiti" w:hAnsi="Mongolian Baiti" w:cs="Mongolian Baiti"/>
                <w:sz w:val="24"/>
              </w:rPr>
            </w:pPr>
            <w:r>
              <w:rPr>
                <w:rFonts w:ascii="Mongolian Baiti" w:hAnsi="Mongolian Baiti" w:cs="Mongolian Baiti"/>
                <w:sz w:val="24"/>
              </w:rPr>
              <w:t>大气环境</w:t>
            </w:r>
          </w:p>
        </w:tc>
        <w:tc>
          <w:tcPr>
            <w:tcW w:w="869" w:type="pct"/>
            <w:noWrap w:val="0"/>
            <w:vAlign w:val="center"/>
          </w:tcPr>
          <w:p w14:paraId="1BB53E07">
            <w:pPr>
              <w:adjustRightInd w:val="0"/>
              <w:snapToGrid w:val="0"/>
              <w:jc w:val="center"/>
              <w:rPr>
                <w:rFonts w:hint="eastAsia" w:ascii="Mongolian Baiti" w:hAnsi="Mongolian Baiti" w:cs="Mongolian Baiti"/>
                <w:sz w:val="24"/>
                <w:lang w:val="zh-CN"/>
              </w:rPr>
            </w:pPr>
            <w:r>
              <w:rPr>
                <w:rFonts w:hint="eastAsia" w:ascii="Mongolian Baiti" w:hAnsi="Mongolian Baiti" w:cs="Mongolian Baiti"/>
                <w:sz w:val="24"/>
                <w:lang w:val="zh-CN"/>
              </w:rPr>
              <w:t>DA00</w:t>
            </w:r>
            <w:r>
              <w:rPr>
                <w:rFonts w:hint="eastAsia" w:ascii="Mongolian Baiti" w:hAnsi="Mongolian Baiti" w:cs="Mongolian Baiti"/>
                <w:sz w:val="24"/>
              </w:rPr>
              <w:t>1</w:t>
            </w:r>
            <w:r>
              <w:rPr>
                <w:rFonts w:hint="eastAsia" w:ascii="Mongolian Baiti" w:hAnsi="Mongolian Baiti" w:cs="Mongolian Baiti"/>
                <w:sz w:val="24"/>
                <w:lang w:val="zh-CN"/>
              </w:rPr>
              <w:t>排放口</w:t>
            </w:r>
          </w:p>
        </w:tc>
        <w:tc>
          <w:tcPr>
            <w:tcW w:w="742" w:type="pct"/>
            <w:noWrap w:val="0"/>
            <w:vAlign w:val="center"/>
          </w:tcPr>
          <w:p w14:paraId="21E52565">
            <w:pPr>
              <w:adjustRightInd w:val="0"/>
              <w:snapToGrid w:val="0"/>
              <w:jc w:val="center"/>
              <w:rPr>
                <w:rFonts w:ascii="Mongolian Baiti" w:hAnsi="Mongolian Baiti" w:cs="Mongolian Baiti"/>
                <w:sz w:val="24"/>
              </w:rPr>
            </w:pPr>
            <w:r>
              <w:rPr>
                <w:rFonts w:hint="eastAsia" w:ascii="Mongolian Baiti" w:hAnsi="Mongolian Baiti" w:cs="Mongolian Baiti"/>
                <w:sz w:val="24"/>
                <w:lang w:val="zh-CN"/>
              </w:rPr>
              <w:t>颗粒物</w:t>
            </w:r>
          </w:p>
        </w:tc>
        <w:tc>
          <w:tcPr>
            <w:tcW w:w="1265" w:type="pct"/>
            <w:noWrap w:val="0"/>
            <w:vAlign w:val="center"/>
          </w:tcPr>
          <w:p w14:paraId="44342AF3">
            <w:pPr>
              <w:pStyle w:val="68"/>
              <w:rPr>
                <w:rFonts w:ascii="Mongolian Baiti" w:hAnsi="Mongolian Baiti" w:cs="Mongolian Baiti"/>
                <w:sz w:val="24"/>
                <w:szCs w:val="24"/>
              </w:rPr>
            </w:pPr>
            <w:r>
              <w:rPr>
                <w:rFonts w:hint="eastAsia"/>
                <w:sz w:val="24"/>
                <w:szCs w:val="24"/>
              </w:rPr>
              <w:t>自带滤筒除尘器+</w:t>
            </w:r>
            <w:r>
              <w:rPr>
                <w:rFonts w:hint="eastAsia"/>
                <w:sz w:val="24"/>
                <w:szCs w:val="24"/>
                <w:lang w:val="en-US" w:eastAsia="zh-CN"/>
              </w:rPr>
              <w:t>15</w:t>
            </w:r>
            <w:r>
              <w:rPr>
                <w:rFonts w:hint="eastAsia"/>
                <w:sz w:val="24"/>
                <w:szCs w:val="24"/>
              </w:rPr>
              <w:t>m高排气筒</w:t>
            </w:r>
          </w:p>
        </w:tc>
        <w:tc>
          <w:tcPr>
            <w:tcW w:w="1364" w:type="pct"/>
            <w:noWrap w:val="0"/>
            <w:vAlign w:val="center"/>
          </w:tcPr>
          <w:p w14:paraId="59B4358E">
            <w:pPr>
              <w:pStyle w:val="68"/>
              <w:rPr>
                <w:rFonts w:ascii="Mongolian Baiti" w:hAnsi="Mongolian Baiti" w:cs="Mongolian Baiti"/>
                <w:sz w:val="24"/>
                <w:szCs w:val="24"/>
              </w:rPr>
            </w:pPr>
            <w:r>
              <w:rPr>
                <w:rFonts w:hint="eastAsia"/>
                <w:smallCaps/>
                <w:sz w:val="24"/>
                <w:szCs w:val="24"/>
              </w:rPr>
              <w:t>《大气污染物综合排放标准》（GB16297-1996）</w:t>
            </w:r>
            <w:r>
              <w:rPr>
                <w:rFonts w:hint="eastAsia"/>
                <w:sz w:val="24"/>
                <w:szCs w:val="24"/>
              </w:rPr>
              <w:t>中新污染源二级排放标准限值</w:t>
            </w:r>
          </w:p>
        </w:tc>
      </w:tr>
      <w:tr w14:paraId="4C96D0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59" w:type="pct"/>
            <w:vMerge w:val="continue"/>
            <w:noWrap w:val="0"/>
            <w:vAlign w:val="center"/>
          </w:tcPr>
          <w:p w14:paraId="6289D51E">
            <w:pPr>
              <w:adjustRightInd w:val="0"/>
              <w:snapToGrid w:val="0"/>
              <w:jc w:val="center"/>
              <w:rPr>
                <w:rFonts w:ascii="Mongolian Baiti" w:hAnsi="Mongolian Baiti" w:cs="Mongolian Baiti"/>
                <w:sz w:val="24"/>
              </w:rPr>
            </w:pPr>
          </w:p>
        </w:tc>
        <w:tc>
          <w:tcPr>
            <w:tcW w:w="869" w:type="pct"/>
            <w:noWrap w:val="0"/>
            <w:vAlign w:val="center"/>
          </w:tcPr>
          <w:p w14:paraId="397B31CD">
            <w:pPr>
              <w:adjustRightInd w:val="0"/>
              <w:snapToGrid w:val="0"/>
              <w:jc w:val="center"/>
              <w:rPr>
                <w:rFonts w:hint="eastAsia" w:ascii="Mongolian Baiti" w:hAnsi="Mongolian Baiti" w:cs="Mongolian Baiti"/>
                <w:sz w:val="24"/>
                <w:lang w:val="zh-CN"/>
              </w:rPr>
            </w:pPr>
            <w:r>
              <w:rPr>
                <w:rFonts w:hint="eastAsia" w:ascii="Mongolian Baiti" w:hAnsi="Mongolian Baiti" w:cs="Mongolian Baiti"/>
                <w:sz w:val="24"/>
                <w:lang w:val="zh-CN"/>
              </w:rPr>
              <w:t>DA00</w:t>
            </w:r>
            <w:r>
              <w:rPr>
                <w:rFonts w:hint="eastAsia" w:ascii="Mongolian Baiti" w:hAnsi="Mongolian Baiti" w:cs="Mongolian Baiti"/>
                <w:sz w:val="24"/>
              </w:rPr>
              <w:t>2</w:t>
            </w:r>
            <w:r>
              <w:rPr>
                <w:rFonts w:hint="eastAsia" w:ascii="Mongolian Baiti" w:hAnsi="Mongolian Baiti" w:cs="Mongolian Baiti"/>
                <w:sz w:val="24"/>
                <w:lang w:val="zh-CN"/>
              </w:rPr>
              <w:t>排放口</w:t>
            </w:r>
          </w:p>
        </w:tc>
        <w:tc>
          <w:tcPr>
            <w:tcW w:w="742" w:type="pct"/>
            <w:noWrap w:val="0"/>
            <w:vAlign w:val="center"/>
          </w:tcPr>
          <w:p w14:paraId="76DDED4C">
            <w:pPr>
              <w:adjustRightInd w:val="0"/>
              <w:snapToGrid w:val="0"/>
              <w:jc w:val="center"/>
              <w:rPr>
                <w:rFonts w:hint="eastAsia" w:ascii="Mongolian Baiti" w:hAnsi="Mongolian Baiti" w:cs="Mongolian Baiti"/>
                <w:sz w:val="24"/>
                <w:lang w:val="zh-CN"/>
              </w:rPr>
            </w:pPr>
            <w:r>
              <w:rPr>
                <w:rFonts w:hint="eastAsia" w:ascii="Mongolian Baiti" w:hAnsi="Mongolian Baiti" w:cs="Mongolian Baiti"/>
                <w:sz w:val="24"/>
                <w:lang w:val="zh-CN"/>
              </w:rPr>
              <w:t>颗粒物、</w:t>
            </w:r>
            <w:r>
              <w:rPr>
                <w:rFonts w:hint="eastAsia" w:ascii="Mongolian Baiti" w:hAnsi="Mongolian Baiti" w:cs="Mongolian Baiti"/>
                <w:sz w:val="24"/>
              </w:rPr>
              <w:t>NMHC</w:t>
            </w:r>
            <w:r>
              <w:rPr>
                <w:rFonts w:hint="eastAsia" w:ascii="Mongolian Baiti" w:hAnsi="Mongolian Baiti" w:cs="Mongolian Baiti"/>
                <w:sz w:val="24"/>
                <w:lang w:val="zh-CN"/>
              </w:rPr>
              <w:t>、甲苯</w:t>
            </w:r>
          </w:p>
        </w:tc>
        <w:tc>
          <w:tcPr>
            <w:tcW w:w="1265" w:type="pct"/>
            <w:noWrap w:val="0"/>
            <w:vAlign w:val="center"/>
          </w:tcPr>
          <w:p w14:paraId="32725AA2">
            <w:pPr>
              <w:pStyle w:val="68"/>
              <w:rPr>
                <w:rFonts w:ascii="Mongolian Baiti" w:hAnsi="Mongolian Baiti" w:cs="Mongolian Baiti"/>
                <w:sz w:val="24"/>
                <w:szCs w:val="24"/>
              </w:rPr>
            </w:pPr>
            <w:r>
              <w:rPr>
                <w:rFonts w:hint="eastAsia" w:ascii="Mongolian Baiti" w:hAnsi="Mongolian Baiti" w:cs="Mongolian Baiti"/>
                <w:sz w:val="24"/>
                <w:szCs w:val="24"/>
              </w:rPr>
              <w:t>经过滤棉+活性炭，通过</w:t>
            </w:r>
            <w:r>
              <w:rPr>
                <w:rFonts w:hint="eastAsia" w:ascii="Mongolian Baiti" w:hAnsi="Mongolian Baiti" w:cs="Mongolian Baiti"/>
                <w:sz w:val="24"/>
                <w:szCs w:val="24"/>
                <w:lang w:val="en-US" w:eastAsia="zh-CN"/>
              </w:rPr>
              <w:t>15</w:t>
            </w:r>
            <w:r>
              <w:rPr>
                <w:rFonts w:hint="eastAsia" w:ascii="Mongolian Baiti" w:hAnsi="Mongolian Baiti" w:cs="Mongolian Baiti"/>
                <w:sz w:val="24"/>
                <w:szCs w:val="24"/>
              </w:rPr>
              <w:t>m高的排气筒排放</w:t>
            </w:r>
          </w:p>
        </w:tc>
        <w:tc>
          <w:tcPr>
            <w:tcW w:w="1364" w:type="pct"/>
            <w:noWrap w:val="0"/>
            <w:vAlign w:val="center"/>
          </w:tcPr>
          <w:p w14:paraId="4C1591C3">
            <w:pPr>
              <w:pStyle w:val="68"/>
              <w:rPr>
                <w:rFonts w:hint="eastAsia" w:ascii="Mongolian Baiti" w:hAnsi="Mongolian Baiti" w:cs="Mongolian Baiti"/>
                <w:sz w:val="24"/>
                <w:szCs w:val="24"/>
              </w:rPr>
            </w:pPr>
            <w:r>
              <w:rPr>
                <w:rFonts w:hint="eastAsia"/>
                <w:smallCaps/>
                <w:sz w:val="24"/>
                <w:szCs w:val="24"/>
              </w:rPr>
              <w:t>《大气污染物综合排放标准》（GB16297-1996）</w:t>
            </w:r>
            <w:r>
              <w:rPr>
                <w:rFonts w:hint="eastAsia"/>
                <w:sz w:val="24"/>
                <w:szCs w:val="24"/>
              </w:rPr>
              <w:t>中新污染源二级排放标准限值</w:t>
            </w:r>
          </w:p>
        </w:tc>
      </w:tr>
      <w:tr w14:paraId="7148C1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59" w:type="pct"/>
            <w:vMerge w:val="continue"/>
            <w:noWrap w:val="0"/>
            <w:vAlign w:val="center"/>
          </w:tcPr>
          <w:p w14:paraId="38FB30D6">
            <w:pPr>
              <w:adjustRightInd w:val="0"/>
              <w:snapToGrid w:val="0"/>
              <w:jc w:val="center"/>
              <w:rPr>
                <w:rFonts w:ascii="Mongolian Baiti" w:hAnsi="Mongolian Baiti" w:cs="Mongolian Baiti"/>
                <w:sz w:val="24"/>
              </w:rPr>
            </w:pPr>
          </w:p>
        </w:tc>
        <w:tc>
          <w:tcPr>
            <w:tcW w:w="869" w:type="pct"/>
            <w:noWrap w:val="0"/>
            <w:vAlign w:val="center"/>
          </w:tcPr>
          <w:p w14:paraId="1FE9FCAA">
            <w:pPr>
              <w:jc w:val="center"/>
              <w:rPr>
                <w:rFonts w:hint="eastAsia"/>
                <w:sz w:val="24"/>
                <w:lang w:val="zh-CN"/>
              </w:rPr>
            </w:pPr>
            <w:r>
              <w:rPr>
                <w:rFonts w:hint="eastAsia"/>
                <w:sz w:val="24"/>
              </w:rPr>
              <w:t>厂区内无组织废气</w:t>
            </w:r>
          </w:p>
        </w:tc>
        <w:tc>
          <w:tcPr>
            <w:tcW w:w="742" w:type="pct"/>
            <w:noWrap w:val="0"/>
            <w:vAlign w:val="center"/>
          </w:tcPr>
          <w:p w14:paraId="4D1BC294">
            <w:pPr>
              <w:jc w:val="center"/>
              <w:rPr>
                <w:rFonts w:hint="eastAsia"/>
                <w:sz w:val="24"/>
                <w:lang w:val="zh-CN"/>
              </w:rPr>
            </w:pPr>
            <w:r>
              <w:rPr>
                <w:rFonts w:hint="eastAsia" w:ascii="Mongolian Baiti" w:hAnsi="Mongolian Baiti" w:cs="Mongolian Baiti"/>
                <w:sz w:val="24"/>
              </w:rPr>
              <w:t>NMHC</w:t>
            </w:r>
            <w:r>
              <w:rPr>
                <w:rFonts w:hint="eastAsia" w:ascii="Mongolian Baiti" w:hAnsi="Mongolian Baiti" w:cs="Mongolian Baiti"/>
                <w:sz w:val="24"/>
                <w:lang w:val="zh-CN"/>
              </w:rPr>
              <w:t>、甲苯</w:t>
            </w:r>
          </w:p>
        </w:tc>
        <w:tc>
          <w:tcPr>
            <w:tcW w:w="1265" w:type="pct"/>
            <w:noWrap w:val="0"/>
            <w:vAlign w:val="center"/>
          </w:tcPr>
          <w:p w14:paraId="05458127">
            <w:pPr>
              <w:jc w:val="center"/>
              <w:rPr>
                <w:rFonts w:hint="eastAsia"/>
                <w:sz w:val="24"/>
              </w:rPr>
            </w:pPr>
            <w:r>
              <w:rPr>
                <w:rFonts w:hint="eastAsia"/>
                <w:sz w:val="24"/>
              </w:rPr>
              <w:t>实验室密闭</w:t>
            </w:r>
          </w:p>
        </w:tc>
        <w:tc>
          <w:tcPr>
            <w:tcW w:w="1364" w:type="pct"/>
            <w:noWrap w:val="0"/>
            <w:vAlign w:val="center"/>
          </w:tcPr>
          <w:p w14:paraId="011CA36D">
            <w:pPr>
              <w:jc w:val="center"/>
              <w:rPr>
                <w:rFonts w:hint="eastAsia"/>
                <w:sz w:val="24"/>
              </w:rPr>
            </w:pPr>
            <w:r>
              <w:rPr>
                <w:smallCaps/>
                <w:kern w:val="0"/>
                <w:sz w:val="24"/>
              </w:rPr>
              <w:t>《挥发性有机物无组织排放控制标准》（GB37822-2019）中厂区内VOCs无组织特别排放限值</w:t>
            </w:r>
          </w:p>
        </w:tc>
      </w:tr>
      <w:tr w14:paraId="732E78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59" w:type="pct"/>
            <w:vMerge w:val="continue"/>
            <w:noWrap w:val="0"/>
            <w:vAlign w:val="center"/>
          </w:tcPr>
          <w:p w14:paraId="2C4FC1FF">
            <w:pPr>
              <w:adjustRightInd w:val="0"/>
              <w:snapToGrid w:val="0"/>
              <w:jc w:val="center"/>
              <w:rPr>
                <w:rFonts w:ascii="Mongolian Baiti" w:hAnsi="Mongolian Baiti" w:cs="Mongolian Baiti"/>
                <w:sz w:val="24"/>
              </w:rPr>
            </w:pPr>
          </w:p>
        </w:tc>
        <w:tc>
          <w:tcPr>
            <w:tcW w:w="869" w:type="pct"/>
            <w:noWrap w:val="0"/>
            <w:vAlign w:val="center"/>
          </w:tcPr>
          <w:p w14:paraId="7E903544">
            <w:pPr>
              <w:jc w:val="center"/>
              <w:rPr>
                <w:rFonts w:hint="eastAsia"/>
                <w:sz w:val="24"/>
                <w:lang w:val="zh-CN"/>
              </w:rPr>
            </w:pPr>
            <w:r>
              <w:rPr>
                <w:rFonts w:hint="eastAsia"/>
                <w:sz w:val="24"/>
              </w:rPr>
              <w:t>厂界无组织废气</w:t>
            </w:r>
          </w:p>
        </w:tc>
        <w:tc>
          <w:tcPr>
            <w:tcW w:w="742" w:type="pct"/>
            <w:noWrap w:val="0"/>
            <w:vAlign w:val="center"/>
          </w:tcPr>
          <w:p w14:paraId="36A8F552">
            <w:pPr>
              <w:jc w:val="center"/>
              <w:rPr>
                <w:rFonts w:hint="eastAsia"/>
                <w:sz w:val="24"/>
                <w:lang w:val="zh-CN"/>
              </w:rPr>
            </w:pPr>
            <w:r>
              <w:rPr>
                <w:rFonts w:hint="eastAsia" w:ascii="Mongolian Baiti" w:hAnsi="Mongolian Baiti" w:cs="Mongolian Baiti"/>
                <w:sz w:val="24"/>
              </w:rPr>
              <w:t>颗粒物、NMHC</w:t>
            </w:r>
            <w:r>
              <w:rPr>
                <w:rFonts w:hint="eastAsia" w:ascii="Mongolian Baiti" w:hAnsi="Mongolian Baiti" w:cs="Mongolian Baiti"/>
                <w:sz w:val="24"/>
                <w:lang w:val="zh-CN"/>
              </w:rPr>
              <w:t>、甲苯</w:t>
            </w:r>
          </w:p>
        </w:tc>
        <w:tc>
          <w:tcPr>
            <w:tcW w:w="1265" w:type="pct"/>
            <w:noWrap w:val="0"/>
            <w:vAlign w:val="center"/>
          </w:tcPr>
          <w:p w14:paraId="3412F993">
            <w:pPr>
              <w:jc w:val="center"/>
              <w:rPr>
                <w:rFonts w:hint="eastAsia"/>
                <w:sz w:val="24"/>
              </w:rPr>
            </w:pPr>
            <w:r>
              <w:rPr>
                <w:rFonts w:hint="eastAsia"/>
                <w:sz w:val="24"/>
              </w:rPr>
              <w:t>实验室密闭</w:t>
            </w:r>
          </w:p>
        </w:tc>
        <w:tc>
          <w:tcPr>
            <w:tcW w:w="1364" w:type="pct"/>
            <w:noWrap w:val="0"/>
            <w:vAlign w:val="center"/>
          </w:tcPr>
          <w:p w14:paraId="10FD35DC">
            <w:pPr>
              <w:jc w:val="center"/>
              <w:rPr>
                <w:rFonts w:hint="eastAsia"/>
                <w:sz w:val="24"/>
              </w:rPr>
            </w:pPr>
            <w:r>
              <w:rPr>
                <w:rFonts w:hint="eastAsia"/>
                <w:sz w:val="24"/>
              </w:rPr>
              <w:t>《大气污染物综合排放标准》（GB16297-1996）表2无组织限值要求</w:t>
            </w:r>
          </w:p>
        </w:tc>
      </w:tr>
      <w:tr w14:paraId="1E48E5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759" w:type="pct"/>
            <w:noWrap w:val="0"/>
            <w:vAlign w:val="center"/>
          </w:tcPr>
          <w:p w14:paraId="7948B23D">
            <w:pPr>
              <w:adjustRightInd w:val="0"/>
              <w:snapToGrid w:val="0"/>
              <w:jc w:val="center"/>
              <w:rPr>
                <w:rFonts w:ascii="Mongolian Baiti" w:hAnsi="Mongolian Baiti" w:cs="Mongolian Baiti"/>
                <w:sz w:val="24"/>
              </w:rPr>
            </w:pPr>
            <w:r>
              <w:rPr>
                <w:rFonts w:ascii="Mongolian Baiti" w:hAnsi="Mongolian Baiti" w:cs="Mongolian Baiti"/>
                <w:sz w:val="24"/>
              </w:rPr>
              <w:t>地表水环境</w:t>
            </w:r>
          </w:p>
        </w:tc>
        <w:tc>
          <w:tcPr>
            <w:tcW w:w="869" w:type="pct"/>
            <w:noWrap w:val="0"/>
            <w:vAlign w:val="center"/>
          </w:tcPr>
          <w:p w14:paraId="6AA6E2EB">
            <w:pPr>
              <w:adjustRightInd w:val="0"/>
              <w:snapToGrid w:val="0"/>
              <w:jc w:val="center"/>
              <w:rPr>
                <w:rFonts w:hint="eastAsia" w:ascii="Mongolian Baiti" w:hAnsi="Mongolian Baiti" w:cs="Mongolian Baiti"/>
                <w:sz w:val="24"/>
              </w:rPr>
            </w:pPr>
            <w:r>
              <w:rPr>
                <w:rFonts w:hint="eastAsia" w:ascii="Mongolian Baiti" w:hAnsi="Mongolian Baiti" w:cs="Mongolian Baiti"/>
                <w:sz w:val="24"/>
              </w:rPr>
              <w:t>生活污水</w:t>
            </w:r>
          </w:p>
        </w:tc>
        <w:tc>
          <w:tcPr>
            <w:tcW w:w="742" w:type="pct"/>
            <w:noWrap w:val="0"/>
            <w:vAlign w:val="center"/>
          </w:tcPr>
          <w:p w14:paraId="7C35782F">
            <w:pPr>
              <w:adjustRightInd w:val="0"/>
              <w:snapToGrid w:val="0"/>
              <w:jc w:val="center"/>
              <w:rPr>
                <w:rFonts w:ascii="Mongolian Baiti" w:hAnsi="Mongolian Baiti" w:cs="Mongolian Baiti"/>
                <w:sz w:val="24"/>
              </w:rPr>
            </w:pPr>
            <w:r>
              <w:rPr>
                <w:rFonts w:ascii="Mongolian Baiti" w:hAnsi="Mongolian Baiti" w:cs="Mongolian Baiti"/>
                <w:sz w:val="24"/>
              </w:rPr>
              <w:t>BOD</w:t>
            </w:r>
            <w:r>
              <w:rPr>
                <w:rFonts w:ascii="Mongolian Baiti" w:hAnsi="Mongolian Baiti" w:cs="Mongolian Baiti"/>
                <w:sz w:val="24"/>
                <w:vertAlign w:val="subscript"/>
              </w:rPr>
              <w:t>5</w:t>
            </w:r>
            <w:r>
              <w:rPr>
                <w:rFonts w:ascii="Mongolian Baiti" w:hAnsi="Mongolian Baiti" w:cs="Mongolian Baiti"/>
                <w:sz w:val="24"/>
              </w:rPr>
              <w:t>、COD、SS、氨氮</w:t>
            </w:r>
            <w:r>
              <w:rPr>
                <w:rFonts w:hint="eastAsia"/>
                <w:sz w:val="24"/>
              </w:rPr>
              <w:t>、pH</w:t>
            </w:r>
          </w:p>
        </w:tc>
        <w:tc>
          <w:tcPr>
            <w:tcW w:w="1265" w:type="pct"/>
            <w:noWrap w:val="0"/>
            <w:vAlign w:val="center"/>
          </w:tcPr>
          <w:p w14:paraId="7B17E354">
            <w:pPr>
              <w:adjustRightInd w:val="0"/>
              <w:snapToGrid w:val="0"/>
              <w:jc w:val="center"/>
              <w:rPr>
                <w:rFonts w:hint="eastAsia" w:ascii="Mongolian Baiti" w:hAnsi="Mongolian Baiti" w:cs="Mongolian Baiti"/>
                <w:sz w:val="24"/>
              </w:rPr>
            </w:pPr>
            <w:r>
              <w:rPr>
                <w:rFonts w:hint="eastAsia" w:ascii="Mongolian Baiti" w:hAnsi="Mongolian Baiti" w:cs="Mongolian Baiti"/>
                <w:sz w:val="24"/>
                <w:lang w:eastAsia="zh-CN"/>
              </w:rPr>
              <w:t>近期排入化粪池，远期排入</w:t>
            </w:r>
            <w:r>
              <w:rPr>
                <w:rFonts w:hint="eastAsia" w:ascii="Mongolian Baiti" w:hAnsi="Mongolian Baiti" w:cs="Mongolian Baiti"/>
                <w:sz w:val="24"/>
              </w:rPr>
              <w:t>市政管网</w:t>
            </w:r>
          </w:p>
        </w:tc>
        <w:tc>
          <w:tcPr>
            <w:tcW w:w="1364" w:type="pct"/>
            <w:noWrap w:val="0"/>
            <w:vAlign w:val="center"/>
          </w:tcPr>
          <w:p w14:paraId="0E280386">
            <w:pPr>
              <w:adjustRightInd w:val="0"/>
              <w:snapToGrid w:val="0"/>
              <w:jc w:val="center"/>
              <w:rPr>
                <w:rFonts w:ascii="Mongolian Baiti" w:hAnsi="Mongolian Baiti" w:cs="Mongolian Baiti"/>
                <w:sz w:val="24"/>
              </w:rPr>
            </w:pPr>
            <w:r>
              <w:rPr>
                <w:rFonts w:hint="eastAsia" w:ascii="Mongolian Baiti" w:hAnsi="Mongolian Baiti" w:cs="Mongolian Baiti"/>
                <w:sz w:val="24"/>
              </w:rPr>
              <w:t>《污水综合排放标准》（GB8978-1996）中三级排放标准</w:t>
            </w:r>
          </w:p>
        </w:tc>
      </w:tr>
      <w:tr w14:paraId="1966E5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59" w:type="pct"/>
            <w:noWrap w:val="0"/>
            <w:vAlign w:val="center"/>
          </w:tcPr>
          <w:p w14:paraId="055C66A7">
            <w:pPr>
              <w:adjustRightInd w:val="0"/>
              <w:snapToGrid w:val="0"/>
              <w:jc w:val="center"/>
              <w:rPr>
                <w:rFonts w:ascii="Mongolian Baiti" w:hAnsi="Mongolian Baiti" w:cs="Mongolian Baiti"/>
                <w:sz w:val="24"/>
              </w:rPr>
            </w:pPr>
            <w:r>
              <w:rPr>
                <w:rFonts w:ascii="Mongolian Baiti" w:hAnsi="Mongolian Baiti" w:cs="Mongolian Baiti"/>
                <w:sz w:val="24"/>
              </w:rPr>
              <w:t>声环境</w:t>
            </w:r>
          </w:p>
        </w:tc>
        <w:tc>
          <w:tcPr>
            <w:tcW w:w="869" w:type="pct"/>
            <w:noWrap w:val="0"/>
            <w:vAlign w:val="center"/>
          </w:tcPr>
          <w:p w14:paraId="4DC389D9">
            <w:pPr>
              <w:widowControl/>
              <w:adjustRightInd w:val="0"/>
              <w:snapToGrid w:val="0"/>
              <w:jc w:val="center"/>
              <w:rPr>
                <w:rFonts w:ascii="Mongolian Baiti" w:hAnsi="Mongolian Baiti" w:cs="Mongolian Baiti"/>
                <w:sz w:val="24"/>
              </w:rPr>
            </w:pPr>
            <w:r>
              <w:rPr>
                <w:rFonts w:ascii="Mongolian Baiti" w:hAnsi="Mongolian Baiti" w:cs="Mongolian Baiti"/>
                <w:sz w:val="24"/>
              </w:rPr>
              <w:t>边界四周</w:t>
            </w:r>
          </w:p>
        </w:tc>
        <w:tc>
          <w:tcPr>
            <w:tcW w:w="742" w:type="pct"/>
            <w:noWrap w:val="0"/>
            <w:vAlign w:val="center"/>
          </w:tcPr>
          <w:p w14:paraId="50330473">
            <w:pPr>
              <w:jc w:val="center"/>
              <w:rPr>
                <w:rFonts w:ascii="Mongolian Baiti" w:hAnsi="Mongolian Baiti" w:cs="Mongolian Baiti"/>
                <w:sz w:val="24"/>
                <w:szCs w:val="22"/>
              </w:rPr>
            </w:pPr>
            <w:r>
              <w:rPr>
                <w:rFonts w:ascii="Mongolian Baiti" w:hAnsi="Mongolian Baiti" w:cs="Mongolian Baiti"/>
                <w:sz w:val="24"/>
                <w:szCs w:val="22"/>
              </w:rPr>
              <w:t>等效A声级</w:t>
            </w:r>
          </w:p>
        </w:tc>
        <w:tc>
          <w:tcPr>
            <w:tcW w:w="1265" w:type="pct"/>
            <w:noWrap w:val="0"/>
            <w:vAlign w:val="center"/>
          </w:tcPr>
          <w:p w14:paraId="744BF44C">
            <w:pPr>
              <w:jc w:val="center"/>
              <w:rPr>
                <w:rFonts w:ascii="Mongolian Baiti" w:hAnsi="Mongolian Baiti" w:cs="Mongolian Baiti"/>
                <w:sz w:val="24"/>
                <w:szCs w:val="22"/>
              </w:rPr>
            </w:pPr>
            <w:r>
              <w:rPr>
                <w:rFonts w:ascii="Mongolian Baiti" w:hAnsi="Mongolian Baiti" w:cs="Mongolian Baiti"/>
                <w:sz w:val="24"/>
                <w:szCs w:val="22"/>
              </w:rPr>
              <w:t>选用低噪声设备；在设备基座安装减震垫，采用减震等措施</w:t>
            </w:r>
          </w:p>
        </w:tc>
        <w:tc>
          <w:tcPr>
            <w:tcW w:w="1364" w:type="pct"/>
            <w:noWrap w:val="0"/>
            <w:vAlign w:val="center"/>
          </w:tcPr>
          <w:p w14:paraId="7C0735A9">
            <w:pPr>
              <w:adjustRightInd w:val="0"/>
              <w:snapToGrid w:val="0"/>
              <w:jc w:val="center"/>
              <w:rPr>
                <w:rFonts w:ascii="Mongolian Baiti" w:hAnsi="Mongolian Baiti" w:cs="Mongolian Baiti"/>
                <w:sz w:val="24"/>
              </w:rPr>
            </w:pPr>
            <w:r>
              <w:rPr>
                <w:rFonts w:ascii="Mongolian Baiti" w:hAnsi="Mongolian Baiti" w:cs="Mongolian Baiti"/>
                <w:sz w:val="24"/>
              </w:rPr>
              <w:t>《工业企业厂界环境噪声排放标准》（GB12348-2008）中</w:t>
            </w:r>
            <w:r>
              <w:rPr>
                <w:rFonts w:hint="eastAsia" w:ascii="Mongolian Baiti" w:hAnsi="Mongolian Baiti" w:cs="Mongolian Baiti"/>
                <w:sz w:val="24"/>
              </w:rPr>
              <w:t>3</w:t>
            </w:r>
            <w:r>
              <w:rPr>
                <w:rFonts w:ascii="Mongolian Baiti" w:hAnsi="Mongolian Baiti" w:cs="Mongolian Baiti"/>
                <w:sz w:val="24"/>
              </w:rPr>
              <w:t>类标准</w:t>
            </w:r>
            <w:r>
              <w:rPr>
                <w:rFonts w:ascii="Mongolian Baiti" w:hAnsi="Mongolian Baiti" w:cs="Mongolian Baiti"/>
                <w:iCs/>
                <w:sz w:val="24"/>
              </w:rPr>
              <w:t>要求</w:t>
            </w:r>
          </w:p>
        </w:tc>
      </w:tr>
      <w:tr w14:paraId="17C928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59" w:type="pct"/>
            <w:noWrap w:val="0"/>
            <w:vAlign w:val="center"/>
          </w:tcPr>
          <w:p w14:paraId="165DB91D">
            <w:pPr>
              <w:adjustRightInd w:val="0"/>
              <w:snapToGrid w:val="0"/>
              <w:jc w:val="center"/>
              <w:rPr>
                <w:rFonts w:ascii="Mongolian Baiti" w:hAnsi="Mongolian Baiti" w:cs="Mongolian Baiti"/>
                <w:sz w:val="24"/>
              </w:rPr>
            </w:pPr>
            <w:r>
              <w:rPr>
                <w:rFonts w:ascii="Mongolian Baiti" w:hAnsi="Mongolian Baiti" w:cs="Mongolian Baiti"/>
                <w:sz w:val="24"/>
              </w:rPr>
              <w:t>电磁辐射</w:t>
            </w:r>
          </w:p>
        </w:tc>
        <w:tc>
          <w:tcPr>
            <w:tcW w:w="869" w:type="pct"/>
            <w:noWrap w:val="0"/>
            <w:vAlign w:val="center"/>
          </w:tcPr>
          <w:p w14:paraId="5B546DDA">
            <w:pPr>
              <w:adjustRightInd w:val="0"/>
              <w:snapToGrid w:val="0"/>
              <w:jc w:val="center"/>
              <w:rPr>
                <w:rFonts w:ascii="Mongolian Baiti" w:hAnsi="Mongolian Baiti" w:cs="Mongolian Baiti"/>
                <w:sz w:val="24"/>
              </w:rPr>
            </w:pPr>
            <w:r>
              <w:rPr>
                <w:rFonts w:ascii="Mongolian Baiti" w:hAnsi="Mongolian Baiti" w:cs="Mongolian Baiti"/>
                <w:sz w:val="24"/>
              </w:rPr>
              <w:t>/</w:t>
            </w:r>
          </w:p>
        </w:tc>
        <w:tc>
          <w:tcPr>
            <w:tcW w:w="742" w:type="pct"/>
            <w:noWrap w:val="0"/>
            <w:vAlign w:val="center"/>
          </w:tcPr>
          <w:p w14:paraId="24841A8C">
            <w:pPr>
              <w:adjustRightInd w:val="0"/>
              <w:snapToGrid w:val="0"/>
              <w:jc w:val="center"/>
              <w:rPr>
                <w:rFonts w:ascii="Mongolian Baiti" w:hAnsi="Mongolian Baiti" w:cs="Mongolian Baiti"/>
                <w:sz w:val="24"/>
              </w:rPr>
            </w:pPr>
            <w:r>
              <w:rPr>
                <w:rFonts w:ascii="Mongolian Baiti" w:hAnsi="Mongolian Baiti" w:cs="Mongolian Baiti"/>
                <w:sz w:val="24"/>
              </w:rPr>
              <w:t>/</w:t>
            </w:r>
          </w:p>
        </w:tc>
        <w:tc>
          <w:tcPr>
            <w:tcW w:w="1265" w:type="pct"/>
            <w:noWrap w:val="0"/>
            <w:vAlign w:val="center"/>
          </w:tcPr>
          <w:p w14:paraId="4A2BDBFE">
            <w:pPr>
              <w:adjustRightInd w:val="0"/>
              <w:snapToGrid w:val="0"/>
              <w:jc w:val="center"/>
              <w:rPr>
                <w:rFonts w:ascii="Mongolian Baiti" w:hAnsi="Mongolian Baiti" w:cs="Mongolian Baiti"/>
                <w:sz w:val="24"/>
              </w:rPr>
            </w:pPr>
            <w:r>
              <w:rPr>
                <w:rFonts w:ascii="Mongolian Baiti" w:hAnsi="Mongolian Baiti" w:cs="Mongolian Baiti"/>
                <w:sz w:val="24"/>
              </w:rPr>
              <w:t>/</w:t>
            </w:r>
          </w:p>
        </w:tc>
        <w:tc>
          <w:tcPr>
            <w:tcW w:w="1364" w:type="pct"/>
            <w:noWrap w:val="0"/>
            <w:vAlign w:val="center"/>
          </w:tcPr>
          <w:p w14:paraId="7DB984A3">
            <w:pPr>
              <w:adjustRightInd w:val="0"/>
              <w:snapToGrid w:val="0"/>
              <w:jc w:val="center"/>
              <w:rPr>
                <w:rFonts w:ascii="Mongolian Baiti" w:hAnsi="Mongolian Baiti" w:cs="Mongolian Baiti"/>
                <w:sz w:val="24"/>
              </w:rPr>
            </w:pPr>
            <w:r>
              <w:rPr>
                <w:rFonts w:ascii="Mongolian Baiti" w:hAnsi="Mongolian Baiti" w:cs="Mongolian Baiti"/>
                <w:sz w:val="24"/>
              </w:rPr>
              <w:t>/</w:t>
            </w:r>
          </w:p>
        </w:tc>
      </w:tr>
      <w:tr w14:paraId="1B267F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63" w:hRule="atLeast"/>
          <w:jc w:val="center"/>
        </w:trPr>
        <w:tc>
          <w:tcPr>
            <w:tcW w:w="759" w:type="pct"/>
            <w:noWrap w:val="0"/>
            <w:vAlign w:val="center"/>
          </w:tcPr>
          <w:p w14:paraId="5C510751">
            <w:pPr>
              <w:adjustRightInd w:val="0"/>
              <w:snapToGrid w:val="0"/>
              <w:jc w:val="center"/>
              <w:rPr>
                <w:rFonts w:ascii="Mongolian Baiti" w:hAnsi="Mongolian Baiti" w:cs="Mongolian Baiti"/>
                <w:sz w:val="24"/>
              </w:rPr>
            </w:pPr>
            <w:r>
              <w:rPr>
                <w:rFonts w:ascii="Mongolian Baiti" w:hAnsi="Mongolian Baiti" w:cs="Mongolian Baiti"/>
                <w:sz w:val="24"/>
              </w:rPr>
              <w:t>固体废物</w:t>
            </w:r>
          </w:p>
        </w:tc>
        <w:tc>
          <w:tcPr>
            <w:tcW w:w="4240" w:type="pct"/>
            <w:gridSpan w:val="4"/>
            <w:noWrap w:val="0"/>
            <w:vAlign w:val="center"/>
          </w:tcPr>
          <w:p w14:paraId="5A6E221E">
            <w:pPr>
              <w:autoSpaceDE w:val="0"/>
              <w:autoSpaceDN w:val="0"/>
              <w:adjustRightInd w:val="0"/>
              <w:snapToGrid w:val="0"/>
              <w:spacing w:line="360" w:lineRule="auto"/>
              <w:ind w:firstLine="480" w:firstLineChars="200"/>
              <w:rPr>
                <w:rFonts w:hint="eastAsia" w:ascii="Mongolian Baiti" w:hAnsi="Mongolian Baiti" w:cs="Mongolian Baiti"/>
                <w:sz w:val="24"/>
              </w:rPr>
            </w:pPr>
            <w:r>
              <w:rPr>
                <w:rFonts w:hint="eastAsia"/>
                <w:sz w:val="24"/>
              </w:rPr>
              <w:t>生活垃圾集中收集暂存至垃圾箱，交由环卫部门统一清运处理；废磨料集中收集后外卖废品收购站，废滤筒定期由厂家回收，滤筒收集粉尘集中收集后同废磨料一同外卖废品收购站</w:t>
            </w:r>
            <w:r>
              <w:rPr>
                <w:rFonts w:hint="eastAsia"/>
                <w:sz w:val="24"/>
                <w:lang w:eastAsia="zh-CN"/>
              </w:rPr>
              <w:t>，</w:t>
            </w:r>
            <w:r>
              <w:rPr>
                <w:rFonts w:hint="eastAsia"/>
                <w:sz w:val="24"/>
              </w:rPr>
              <w:t>不合格实验品</w:t>
            </w:r>
            <w:r>
              <w:rPr>
                <w:rFonts w:hint="eastAsia"/>
                <w:sz w:val="24"/>
                <w:lang w:eastAsia="zh-CN"/>
              </w:rPr>
              <w:t>外售综合利用</w:t>
            </w:r>
            <w:r>
              <w:rPr>
                <w:rFonts w:hint="eastAsia"/>
                <w:sz w:val="24"/>
              </w:rPr>
              <w:t>。实验漆渣、</w:t>
            </w:r>
            <w:r>
              <w:rPr>
                <w:rFonts w:hint="eastAsia"/>
                <w:sz w:val="24"/>
                <w:lang w:eastAsia="zh-CN"/>
              </w:rPr>
              <w:t>过滤杂质、</w:t>
            </w:r>
            <w:r>
              <w:rPr>
                <w:rFonts w:hint="eastAsia"/>
                <w:sz w:val="24"/>
              </w:rPr>
              <w:t>废活性炭及废过滤棉、实验设备</w:t>
            </w:r>
            <w:r>
              <w:rPr>
                <w:rFonts w:hint="eastAsia"/>
                <w:sz w:val="24"/>
                <w:lang w:eastAsia="zh-CN"/>
              </w:rPr>
              <w:t>及实验室地面清洗废水</w:t>
            </w:r>
            <w:r>
              <w:rPr>
                <w:rFonts w:hint="eastAsia" w:ascii="Mongolian Baiti" w:hAnsi="Mongolian Baiti" w:cs="Mongolian Baiti"/>
                <w:sz w:val="24"/>
              </w:rPr>
              <w:t>桶装收集后</w:t>
            </w:r>
            <w:r>
              <w:rPr>
                <w:rFonts w:hint="eastAsia" w:ascii="Mongolian Baiti" w:hAnsi="Mongolian Baiti" w:cs="Mongolian Baiti"/>
                <w:sz w:val="24"/>
                <w:lang w:eastAsia="zh-CN"/>
              </w:rPr>
              <w:t>加盖密闭，暂存于危废贮存库</w:t>
            </w:r>
            <w:r>
              <w:rPr>
                <w:rFonts w:hint="eastAsia" w:ascii="Mongolian Baiti" w:hAnsi="Mongolian Baiti" w:cs="Mongolian Baiti"/>
                <w:sz w:val="24"/>
              </w:rPr>
              <w:t>委托有资质单位处理。</w:t>
            </w:r>
          </w:p>
        </w:tc>
      </w:tr>
      <w:tr w14:paraId="415E86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59" w:type="pct"/>
            <w:noWrap w:val="0"/>
            <w:vAlign w:val="center"/>
          </w:tcPr>
          <w:p w14:paraId="4F0D4A29">
            <w:pPr>
              <w:adjustRightInd w:val="0"/>
              <w:snapToGrid w:val="0"/>
              <w:jc w:val="center"/>
              <w:rPr>
                <w:rFonts w:ascii="Mongolian Baiti" w:hAnsi="Mongolian Baiti" w:cs="Mongolian Baiti"/>
                <w:sz w:val="24"/>
              </w:rPr>
            </w:pPr>
            <w:r>
              <w:rPr>
                <w:rFonts w:ascii="Mongolian Baiti" w:hAnsi="Mongolian Baiti" w:cs="Mongolian Baiti"/>
                <w:sz w:val="24"/>
              </w:rPr>
              <w:t>土壤及地下水污染防治措施</w:t>
            </w:r>
          </w:p>
        </w:tc>
        <w:tc>
          <w:tcPr>
            <w:tcW w:w="4240" w:type="pct"/>
            <w:gridSpan w:val="4"/>
            <w:noWrap w:val="0"/>
            <w:vAlign w:val="center"/>
          </w:tcPr>
          <w:p w14:paraId="239958E9">
            <w:pPr>
              <w:adjustRightInd w:val="0"/>
              <w:snapToGrid w:val="0"/>
              <w:jc w:val="center"/>
              <w:rPr>
                <w:rFonts w:hint="eastAsia" w:ascii="Mongolian Baiti" w:hAnsi="Mongolian Baiti" w:cs="Mongolian Baiti"/>
                <w:sz w:val="24"/>
              </w:rPr>
            </w:pPr>
            <w:r>
              <w:rPr>
                <w:rFonts w:hint="eastAsia"/>
                <w:i/>
                <w:iCs/>
                <w:sz w:val="24"/>
                <w:u w:val="single"/>
              </w:rPr>
              <w:t>办公室采取一般防渗区，为一般地面硬化，实验室地面、危废贮存库采取重点防渗措施，</w:t>
            </w:r>
            <w:r>
              <w:rPr>
                <w:i/>
                <w:iCs/>
                <w:sz w:val="24"/>
                <w:u w:val="single"/>
              </w:rPr>
              <w:t>防渗层为</w:t>
            </w:r>
            <w:r>
              <w:rPr>
                <w:rFonts w:hint="eastAsia"/>
                <w:i/>
                <w:iCs/>
                <w:sz w:val="24"/>
                <w:u w:val="single"/>
              </w:rPr>
              <w:t>至少</w:t>
            </w:r>
            <w:r>
              <w:rPr>
                <w:i/>
                <w:iCs/>
                <w:sz w:val="24"/>
                <w:u w:val="single"/>
              </w:rPr>
              <w:t>2 mm 厚高密度聚乙烯膜（渗透系数不大于 10</w:t>
            </w:r>
            <w:r>
              <w:rPr>
                <w:i/>
                <w:iCs/>
                <w:sz w:val="24"/>
                <w:u w:val="single"/>
                <w:vertAlign w:val="superscript"/>
              </w:rPr>
              <w:t>-10</w:t>
            </w:r>
            <w:r>
              <w:rPr>
                <w:i/>
                <w:iCs/>
                <w:sz w:val="24"/>
                <w:u w:val="single"/>
              </w:rPr>
              <w:t xml:space="preserve"> cm/s）</w:t>
            </w:r>
          </w:p>
        </w:tc>
      </w:tr>
      <w:tr w14:paraId="3F6675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59" w:type="pct"/>
            <w:noWrap w:val="0"/>
            <w:vAlign w:val="center"/>
          </w:tcPr>
          <w:p w14:paraId="78003C5A">
            <w:pPr>
              <w:adjustRightInd w:val="0"/>
              <w:snapToGrid w:val="0"/>
              <w:jc w:val="center"/>
              <w:rPr>
                <w:rFonts w:ascii="Mongolian Baiti" w:hAnsi="Mongolian Baiti" w:cs="Mongolian Baiti"/>
                <w:sz w:val="24"/>
              </w:rPr>
            </w:pPr>
            <w:r>
              <w:rPr>
                <w:rFonts w:ascii="Mongolian Baiti" w:hAnsi="Mongolian Baiti" w:cs="Mongolian Baiti"/>
                <w:sz w:val="24"/>
              </w:rPr>
              <w:t>生态保护措施</w:t>
            </w:r>
          </w:p>
        </w:tc>
        <w:tc>
          <w:tcPr>
            <w:tcW w:w="4240" w:type="pct"/>
            <w:gridSpan w:val="4"/>
            <w:noWrap w:val="0"/>
            <w:vAlign w:val="center"/>
          </w:tcPr>
          <w:p w14:paraId="6BAD4C76">
            <w:pPr>
              <w:adjustRightInd w:val="0"/>
              <w:snapToGrid w:val="0"/>
              <w:jc w:val="center"/>
              <w:rPr>
                <w:rFonts w:ascii="Mongolian Baiti" w:hAnsi="Mongolian Baiti" w:cs="Mongolian Baiti"/>
                <w:sz w:val="24"/>
              </w:rPr>
            </w:pPr>
            <w:r>
              <w:rPr>
                <w:rFonts w:hint="eastAsia" w:ascii="Mongolian Baiti" w:hAnsi="Mongolian Baiti" w:cs="Mongolian Baiti"/>
                <w:sz w:val="24"/>
              </w:rPr>
              <w:t>无</w:t>
            </w:r>
          </w:p>
        </w:tc>
      </w:tr>
      <w:tr w14:paraId="4E7BA5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59" w:type="pct"/>
            <w:noWrap w:val="0"/>
            <w:vAlign w:val="center"/>
          </w:tcPr>
          <w:p w14:paraId="0E2F285B">
            <w:pPr>
              <w:adjustRightInd w:val="0"/>
              <w:snapToGrid w:val="0"/>
              <w:jc w:val="center"/>
              <w:rPr>
                <w:rFonts w:ascii="Mongolian Baiti" w:hAnsi="Mongolian Baiti" w:cs="Mongolian Baiti"/>
                <w:spacing w:val="-8"/>
                <w:sz w:val="24"/>
              </w:rPr>
            </w:pPr>
            <w:r>
              <w:rPr>
                <w:rFonts w:ascii="Mongolian Baiti" w:hAnsi="Mongolian Baiti" w:cs="Mongolian Baiti"/>
                <w:spacing w:val="-8"/>
                <w:sz w:val="24"/>
              </w:rPr>
              <w:t>环境风险防范措施</w:t>
            </w:r>
          </w:p>
        </w:tc>
        <w:tc>
          <w:tcPr>
            <w:tcW w:w="4240" w:type="pct"/>
            <w:gridSpan w:val="4"/>
            <w:noWrap w:val="0"/>
            <w:vAlign w:val="center"/>
          </w:tcPr>
          <w:p w14:paraId="04B0C2B4">
            <w:pPr>
              <w:spacing w:line="360" w:lineRule="auto"/>
              <w:ind w:firstLine="480"/>
              <w:rPr>
                <w:sz w:val="24"/>
              </w:rPr>
            </w:pPr>
            <w:r>
              <w:rPr>
                <w:sz w:val="24"/>
              </w:rPr>
              <w:t>①合理进行厂区平面布置，降低火灾事故的概率。</w:t>
            </w:r>
          </w:p>
          <w:p w14:paraId="1856BFCB">
            <w:pPr>
              <w:spacing w:line="360" w:lineRule="auto"/>
              <w:ind w:firstLine="480"/>
              <w:rPr>
                <w:sz w:val="24"/>
              </w:rPr>
            </w:pPr>
            <w:r>
              <w:rPr>
                <w:sz w:val="24"/>
              </w:rPr>
              <w:t>②完善危险物质贮存设施，加强对</w:t>
            </w:r>
            <w:r>
              <w:rPr>
                <w:rFonts w:hint="eastAsia"/>
                <w:sz w:val="24"/>
              </w:rPr>
              <w:t>油品</w:t>
            </w:r>
            <w:r>
              <w:rPr>
                <w:sz w:val="24"/>
              </w:rPr>
              <w:t>储存、使用的安全管理和检查，避免物料出现泄漏。</w:t>
            </w:r>
          </w:p>
          <w:p w14:paraId="21E2DCA4">
            <w:pPr>
              <w:spacing w:line="360" w:lineRule="auto"/>
              <w:ind w:firstLine="480"/>
              <w:rPr>
                <w:sz w:val="24"/>
              </w:rPr>
            </w:pPr>
            <w:r>
              <w:rPr>
                <w:sz w:val="24"/>
              </w:rPr>
              <w:t>③加强安全教育，对从业人员</w:t>
            </w:r>
            <w:r>
              <w:rPr>
                <w:rFonts w:hint="eastAsia"/>
                <w:sz w:val="24"/>
                <w:lang w:eastAsia="zh-CN"/>
              </w:rPr>
              <w:t>（</w:t>
            </w:r>
            <w:r>
              <w:rPr>
                <w:sz w:val="24"/>
              </w:rPr>
              <w:t>含新进人员</w:t>
            </w:r>
            <w:r>
              <w:rPr>
                <w:rFonts w:hint="eastAsia"/>
                <w:sz w:val="24"/>
                <w:lang w:eastAsia="zh-CN"/>
              </w:rPr>
              <w:t>）</w:t>
            </w:r>
            <w:r>
              <w:rPr>
                <w:sz w:val="24"/>
              </w:rPr>
              <w:t>进行安全生产教育和培训。</w:t>
            </w:r>
          </w:p>
          <w:p w14:paraId="4E4C3AE0">
            <w:pPr>
              <w:spacing w:line="360" w:lineRule="auto"/>
              <w:ind w:firstLine="480"/>
              <w:rPr>
                <w:sz w:val="24"/>
              </w:rPr>
            </w:pPr>
            <w:r>
              <w:rPr>
                <w:sz w:val="24"/>
              </w:rPr>
              <w:t>④制定安全生产规章制度和操作规程。</w:t>
            </w:r>
          </w:p>
          <w:p w14:paraId="0A6E24AB">
            <w:pPr>
              <w:spacing w:line="360" w:lineRule="auto"/>
              <w:ind w:firstLine="480"/>
              <w:rPr>
                <w:rFonts w:hint="eastAsia"/>
                <w:sz w:val="24"/>
              </w:rPr>
            </w:pPr>
            <w:r>
              <w:rPr>
                <w:sz w:val="24"/>
              </w:rPr>
              <w:t>⑤建设单位保持良好的通风，</w:t>
            </w:r>
            <w:r>
              <w:rPr>
                <w:rFonts w:hint="eastAsia"/>
                <w:sz w:val="24"/>
              </w:rPr>
              <w:t>认真落实油类物质</w:t>
            </w:r>
            <w:r>
              <w:rPr>
                <w:sz w:val="24"/>
              </w:rPr>
              <w:t>使用</w:t>
            </w:r>
            <w:r>
              <w:rPr>
                <w:rFonts w:hint="eastAsia"/>
                <w:sz w:val="24"/>
              </w:rPr>
              <w:t>过程中的风险防范要求。</w:t>
            </w:r>
          </w:p>
          <w:p w14:paraId="53D3ACF4">
            <w:pPr>
              <w:adjustRightInd w:val="0"/>
              <w:snapToGrid w:val="0"/>
              <w:spacing w:line="360" w:lineRule="auto"/>
              <w:ind w:firstLine="480" w:firstLineChars="200"/>
              <w:rPr>
                <w:rFonts w:hint="eastAsia" w:ascii="Mongolian Baiti" w:hAnsi="Mongolian Baiti" w:cs="Mongolian Baiti"/>
                <w:sz w:val="24"/>
              </w:rPr>
            </w:pPr>
            <w:r>
              <w:rPr>
                <w:rFonts w:hint="eastAsia"/>
                <w:sz w:val="24"/>
              </w:rPr>
              <w:t>⑥</w:t>
            </w:r>
            <w:r>
              <w:rPr>
                <w:rFonts w:hint="eastAsia"/>
                <w:sz w:val="24"/>
                <w:lang w:val="zh-CN"/>
              </w:rPr>
              <w:t>加强对环保装置等设备的定期检修和维护，避免非正常工况下废气未经治理而超标排放事件的发生。</w:t>
            </w:r>
            <w:r>
              <w:rPr>
                <w:rFonts w:hint="eastAsia"/>
                <w:bCs/>
                <w:sz w:val="24"/>
              </w:rPr>
              <w:t>设置临时围堰</w:t>
            </w:r>
            <w:r>
              <w:rPr>
                <w:rFonts w:hint="eastAsia"/>
                <w:bCs/>
                <w:sz w:val="24"/>
                <w:lang w:val="zh-CN"/>
              </w:rPr>
              <w:t>，保证泄漏物料能迅速安全集中处理。</w:t>
            </w:r>
          </w:p>
        </w:tc>
      </w:tr>
      <w:tr w14:paraId="05C588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59" w:type="pct"/>
            <w:noWrap w:val="0"/>
            <w:vAlign w:val="center"/>
          </w:tcPr>
          <w:p w14:paraId="27B11E25">
            <w:pPr>
              <w:adjustRightInd w:val="0"/>
              <w:snapToGrid w:val="0"/>
              <w:jc w:val="center"/>
              <w:rPr>
                <w:rFonts w:ascii="Mongolian Baiti" w:hAnsi="Mongolian Baiti" w:cs="Mongolian Baiti"/>
                <w:spacing w:val="-8"/>
                <w:sz w:val="24"/>
              </w:rPr>
            </w:pPr>
            <w:r>
              <w:rPr>
                <w:rFonts w:ascii="Mongolian Baiti" w:hAnsi="Mongolian Baiti" w:cs="Mongolian Baiti"/>
                <w:spacing w:val="-8"/>
                <w:sz w:val="24"/>
              </w:rPr>
              <w:t>其他环境管理要求</w:t>
            </w:r>
          </w:p>
        </w:tc>
        <w:tc>
          <w:tcPr>
            <w:tcW w:w="4240" w:type="pct"/>
            <w:gridSpan w:val="4"/>
            <w:noWrap w:val="0"/>
            <w:vAlign w:val="center"/>
          </w:tcPr>
          <w:p w14:paraId="5AA8E9D5">
            <w:pPr>
              <w:snapToGrid w:val="0"/>
              <w:spacing w:line="360" w:lineRule="auto"/>
              <w:ind w:firstLine="482" w:firstLineChars="200"/>
              <w:rPr>
                <w:kern w:val="0"/>
                <w:szCs w:val="21"/>
              </w:rPr>
            </w:pPr>
            <w:r>
              <w:rPr>
                <w:rFonts w:hint="eastAsia"/>
                <w:b/>
                <w:bCs/>
                <w:sz w:val="24"/>
              </w:rPr>
              <w:t>1、</w:t>
            </w:r>
            <w:r>
              <w:rPr>
                <w:b/>
                <w:bCs/>
                <w:sz w:val="24"/>
              </w:rPr>
              <w:t>环保投资</w:t>
            </w:r>
          </w:p>
          <w:p w14:paraId="10379B24">
            <w:pPr>
              <w:pStyle w:val="103"/>
              <w:spacing w:line="360" w:lineRule="auto"/>
              <w:ind w:firstLine="480" w:firstLineChars="200"/>
              <w:rPr>
                <w:rFonts w:ascii="Times New Roman" w:hAnsi="Times New Roman"/>
                <w:spacing w:val="0"/>
                <w:kern w:val="2"/>
                <w:szCs w:val="21"/>
              </w:rPr>
            </w:pPr>
            <w:r>
              <w:rPr>
                <w:rFonts w:hint="eastAsia" w:ascii="Times New Roman" w:hAnsi="Times New Roman"/>
                <w:spacing w:val="0"/>
                <w:kern w:val="2"/>
                <w:sz w:val="24"/>
                <w:szCs w:val="24"/>
              </w:rPr>
              <w:t>本项目总投资</w:t>
            </w:r>
            <w:r>
              <w:rPr>
                <w:rFonts w:hint="eastAsia" w:ascii="Times New Roman" w:hAnsi="Times New Roman"/>
                <w:sz w:val="24"/>
                <w:szCs w:val="24"/>
              </w:rPr>
              <w:t>300</w:t>
            </w:r>
            <w:r>
              <w:rPr>
                <w:rFonts w:hint="eastAsia" w:ascii="Times New Roman" w:hAnsi="Times New Roman"/>
                <w:spacing w:val="0"/>
                <w:kern w:val="2"/>
                <w:sz w:val="24"/>
                <w:szCs w:val="24"/>
              </w:rPr>
              <w:t>万元，环保投资16万元，环保投资占总投资的5.3%，环保投资估算见下表。</w:t>
            </w:r>
          </w:p>
          <w:p w14:paraId="008F4807">
            <w:pPr>
              <w:pStyle w:val="6"/>
              <w:spacing w:before="0" w:after="0" w:line="240" w:lineRule="auto"/>
              <w:ind w:left="0"/>
              <w:jc w:val="center"/>
              <w:rPr>
                <w:sz w:val="32"/>
                <w:szCs w:val="22"/>
                <w:highlight w:val="yellow"/>
              </w:rPr>
            </w:pPr>
            <w:r>
              <w:t>表</w:t>
            </w:r>
            <w:r>
              <w:rPr>
                <w:rFonts w:hint="eastAsia"/>
              </w:rPr>
              <w:t>5-1</w:t>
            </w:r>
            <w:r>
              <w:t xml:space="preserve"> </w:t>
            </w:r>
            <w:r>
              <w:rPr>
                <w:rFonts w:hint="eastAsia"/>
              </w:rPr>
              <w:t xml:space="preserve"> </w:t>
            </w:r>
            <w:r>
              <w:t>建设项目环保投资一览表</w:t>
            </w:r>
          </w:p>
          <w:tbl>
            <w:tblPr>
              <w:tblStyle w:val="27"/>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918"/>
              <w:gridCol w:w="4265"/>
              <w:gridCol w:w="1236"/>
            </w:tblGrid>
            <w:tr w14:paraId="36090FA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612" w:type="pct"/>
                  <w:gridSpan w:val="2"/>
                  <w:noWrap w:val="0"/>
                  <w:vAlign w:val="center"/>
                </w:tcPr>
                <w:p w14:paraId="22A88CA5">
                  <w:pPr>
                    <w:jc w:val="center"/>
                    <w:rPr>
                      <w:szCs w:val="21"/>
                    </w:rPr>
                  </w:pPr>
                  <w:r>
                    <w:rPr>
                      <w:szCs w:val="21"/>
                    </w:rPr>
                    <w:t>类别</w:t>
                  </w:r>
                </w:p>
              </w:tc>
              <w:tc>
                <w:tcPr>
                  <w:tcW w:w="2626" w:type="pct"/>
                  <w:noWrap w:val="0"/>
                  <w:vAlign w:val="center"/>
                </w:tcPr>
                <w:p w14:paraId="66F34F8E">
                  <w:pPr>
                    <w:jc w:val="center"/>
                    <w:rPr>
                      <w:szCs w:val="21"/>
                    </w:rPr>
                  </w:pPr>
                  <w:r>
                    <w:rPr>
                      <w:szCs w:val="21"/>
                    </w:rPr>
                    <w:t>主要环保措施</w:t>
                  </w:r>
                </w:p>
              </w:tc>
              <w:tc>
                <w:tcPr>
                  <w:tcW w:w="761" w:type="pct"/>
                  <w:noWrap w:val="0"/>
                  <w:vAlign w:val="center"/>
                </w:tcPr>
                <w:p w14:paraId="7D750EA3">
                  <w:pPr>
                    <w:jc w:val="center"/>
                    <w:rPr>
                      <w:szCs w:val="21"/>
                    </w:rPr>
                  </w:pPr>
                  <w:r>
                    <w:rPr>
                      <w:szCs w:val="21"/>
                    </w:rPr>
                    <w:t>投资估算</w:t>
                  </w:r>
                </w:p>
              </w:tc>
            </w:tr>
            <w:tr w14:paraId="0AD5C0D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31" w:type="pct"/>
                  <w:vMerge w:val="restart"/>
                  <w:noWrap w:val="0"/>
                  <w:vAlign w:val="center"/>
                </w:tcPr>
                <w:p w14:paraId="67CC565B">
                  <w:pPr>
                    <w:jc w:val="center"/>
                    <w:rPr>
                      <w:szCs w:val="21"/>
                    </w:rPr>
                  </w:pPr>
                  <w:r>
                    <w:rPr>
                      <w:szCs w:val="21"/>
                    </w:rPr>
                    <w:t>废气</w:t>
                  </w:r>
                </w:p>
              </w:tc>
              <w:tc>
                <w:tcPr>
                  <w:tcW w:w="1181" w:type="pct"/>
                  <w:noWrap w:val="0"/>
                  <w:vAlign w:val="center"/>
                </w:tcPr>
                <w:p w14:paraId="40D40908">
                  <w:pPr>
                    <w:jc w:val="center"/>
                    <w:rPr>
                      <w:szCs w:val="21"/>
                    </w:rPr>
                  </w:pPr>
                  <w:r>
                    <w:rPr>
                      <w:rFonts w:hint="eastAsia"/>
                      <w:szCs w:val="21"/>
                    </w:rPr>
                    <w:t>实验</w:t>
                  </w:r>
                  <w:r>
                    <w:rPr>
                      <w:rFonts w:hint="eastAsia"/>
                      <w:szCs w:val="21"/>
                      <w:lang w:eastAsia="zh-CN"/>
                    </w:rPr>
                    <w:t>有机</w:t>
                  </w:r>
                  <w:r>
                    <w:rPr>
                      <w:rFonts w:hint="eastAsia"/>
                      <w:szCs w:val="21"/>
                    </w:rPr>
                    <w:t>废气</w:t>
                  </w:r>
                </w:p>
              </w:tc>
              <w:tc>
                <w:tcPr>
                  <w:tcW w:w="2626" w:type="pct"/>
                  <w:noWrap w:val="0"/>
                  <w:vAlign w:val="center"/>
                </w:tcPr>
                <w:p w14:paraId="616B8538">
                  <w:pPr>
                    <w:jc w:val="center"/>
                    <w:rPr>
                      <w:szCs w:val="21"/>
                    </w:rPr>
                  </w:pPr>
                  <w:r>
                    <w:rPr>
                      <w:rFonts w:hint="eastAsia"/>
                      <w:szCs w:val="21"/>
                    </w:rPr>
                    <w:t>集气系统＋过滤棉＋活性炭＋</w:t>
                  </w:r>
                  <w:r>
                    <w:rPr>
                      <w:rFonts w:hint="eastAsia"/>
                      <w:szCs w:val="21"/>
                      <w:lang w:val="en-US" w:eastAsia="zh-CN"/>
                    </w:rPr>
                    <w:t>15</w:t>
                  </w:r>
                  <w:r>
                    <w:rPr>
                      <w:rFonts w:hint="eastAsia"/>
                      <w:szCs w:val="21"/>
                    </w:rPr>
                    <w:t>m高排气筒</w:t>
                  </w:r>
                </w:p>
              </w:tc>
              <w:tc>
                <w:tcPr>
                  <w:tcW w:w="761" w:type="pct"/>
                  <w:noWrap w:val="0"/>
                  <w:vAlign w:val="center"/>
                </w:tcPr>
                <w:p w14:paraId="3B932F5E">
                  <w:pPr>
                    <w:jc w:val="center"/>
                    <w:rPr>
                      <w:szCs w:val="21"/>
                    </w:rPr>
                  </w:pPr>
                  <w:r>
                    <w:rPr>
                      <w:rFonts w:hint="eastAsia"/>
                      <w:szCs w:val="21"/>
                    </w:rPr>
                    <w:t>6</w:t>
                  </w:r>
                </w:p>
              </w:tc>
            </w:tr>
            <w:tr w14:paraId="730B686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31" w:type="pct"/>
                  <w:vMerge w:val="continue"/>
                  <w:noWrap w:val="0"/>
                  <w:vAlign w:val="center"/>
                </w:tcPr>
                <w:p w14:paraId="325CD47A">
                  <w:pPr>
                    <w:jc w:val="center"/>
                    <w:rPr>
                      <w:szCs w:val="21"/>
                    </w:rPr>
                  </w:pPr>
                </w:p>
              </w:tc>
              <w:tc>
                <w:tcPr>
                  <w:tcW w:w="1181" w:type="pct"/>
                  <w:noWrap w:val="0"/>
                  <w:vAlign w:val="center"/>
                </w:tcPr>
                <w:p w14:paraId="6DFCE8DE">
                  <w:pPr>
                    <w:jc w:val="center"/>
                    <w:rPr>
                      <w:rFonts w:hint="eastAsia"/>
                      <w:szCs w:val="21"/>
                    </w:rPr>
                  </w:pPr>
                  <w:r>
                    <w:rPr>
                      <w:rFonts w:hint="eastAsia"/>
                      <w:szCs w:val="21"/>
                    </w:rPr>
                    <w:t>喷砂废气</w:t>
                  </w:r>
                </w:p>
              </w:tc>
              <w:tc>
                <w:tcPr>
                  <w:tcW w:w="2626" w:type="pct"/>
                  <w:noWrap w:val="0"/>
                  <w:vAlign w:val="center"/>
                </w:tcPr>
                <w:p w14:paraId="0CD2953E">
                  <w:pPr>
                    <w:jc w:val="center"/>
                    <w:rPr>
                      <w:rFonts w:hint="eastAsia"/>
                      <w:szCs w:val="21"/>
                    </w:rPr>
                  </w:pPr>
                  <w:r>
                    <w:rPr>
                      <w:rFonts w:hint="eastAsia"/>
                      <w:szCs w:val="21"/>
                    </w:rPr>
                    <w:t>喷砂机自带滤筒除尘器＋</w:t>
                  </w:r>
                  <w:r>
                    <w:rPr>
                      <w:rFonts w:hint="eastAsia"/>
                      <w:szCs w:val="21"/>
                      <w:lang w:val="en-US" w:eastAsia="zh-CN"/>
                    </w:rPr>
                    <w:t>15</w:t>
                  </w:r>
                  <w:r>
                    <w:rPr>
                      <w:rFonts w:hint="eastAsia"/>
                      <w:szCs w:val="21"/>
                    </w:rPr>
                    <w:t>m高排气筒</w:t>
                  </w:r>
                </w:p>
              </w:tc>
              <w:tc>
                <w:tcPr>
                  <w:tcW w:w="761" w:type="pct"/>
                  <w:noWrap w:val="0"/>
                  <w:vAlign w:val="center"/>
                </w:tcPr>
                <w:p w14:paraId="557B6B37">
                  <w:pPr>
                    <w:jc w:val="center"/>
                    <w:rPr>
                      <w:szCs w:val="21"/>
                    </w:rPr>
                  </w:pPr>
                  <w:r>
                    <w:rPr>
                      <w:rFonts w:hint="eastAsia"/>
                      <w:szCs w:val="21"/>
                    </w:rPr>
                    <w:t>1</w:t>
                  </w:r>
                </w:p>
              </w:tc>
            </w:tr>
            <w:tr w14:paraId="4F9C2E5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31" w:type="pct"/>
                  <w:noWrap w:val="0"/>
                  <w:vAlign w:val="center"/>
                </w:tcPr>
                <w:p w14:paraId="38E7BBF0">
                  <w:pPr>
                    <w:jc w:val="center"/>
                    <w:rPr>
                      <w:rFonts w:hint="eastAsia"/>
                      <w:szCs w:val="21"/>
                    </w:rPr>
                  </w:pPr>
                  <w:r>
                    <w:rPr>
                      <w:rFonts w:hint="eastAsia"/>
                      <w:szCs w:val="21"/>
                    </w:rPr>
                    <w:t>噪声</w:t>
                  </w:r>
                </w:p>
              </w:tc>
              <w:tc>
                <w:tcPr>
                  <w:tcW w:w="1181" w:type="pct"/>
                  <w:noWrap w:val="0"/>
                  <w:vAlign w:val="center"/>
                </w:tcPr>
                <w:p w14:paraId="768CDED9">
                  <w:pPr>
                    <w:jc w:val="center"/>
                    <w:rPr>
                      <w:szCs w:val="21"/>
                    </w:rPr>
                  </w:pPr>
                  <w:r>
                    <w:rPr>
                      <w:rFonts w:hint="eastAsia"/>
                      <w:szCs w:val="21"/>
                    </w:rPr>
                    <w:t>设备噪声</w:t>
                  </w:r>
                </w:p>
              </w:tc>
              <w:tc>
                <w:tcPr>
                  <w:tcW w:w="2626" w:type="pct"/>
                  <w:noWrap w:val="0"/>
                  <w:vAlign w:val="center"/>
                </w:tcPr>
                <w:p w14:paraId="5DA8F1DF">
                  <w:pPr>
                    <w:jc w:val="center"/>
                    <w:rPr>
                      <w:rFonts w:hint="eastAsia"/>
                      <w:szCs w:val="21"/>
                    </w:rPr>
                  </w:pPr>
                  <w:r>
                    <w:rPr>
                      <w:rFonts w:hint="eastAsia"/>
                      <w:szCs w:val="21"/>
                    </w:rPr>
                    <w:t>选用低噪声设备，并采取相应的减振、隔声措施</w:t>
                  </w:r>
                </w:p>
              </w:tc>
              <w:tc>
                <w:tcPr>
                  <w:tcW w:w="761" w:type="pct"/>
                  <w:noWrap w:val="0"/>
                  <w:vAlign w:val="center"/>
                </w:tcPr>
                <w:p w14:paraId="748C5D4C">
                  <w:pPr>
                    <w:jc w:val="center"/>
                    <w:rPr>
                      <w:szCs w:val="21"/>
                    </w:rPr>
                  </w:pPr>
                  <w:r>
                    <w:rPr>
                      <w:rFonts w:hint="eastAsia"/>
                      <w:szCs w:val="21"/>
                    </w:rPr>
                    <w:t>1</w:t>
                  </w:r>
                </w:p>
              </w:tc>
            </w:tr>
            <w:tr w14:paraId="1BECFC9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31" w:type="pct"/>
                  <w:noWrap w:val="0"/>
                  <w:vAlign w:val="center"/>
                </w:tcPr>
                <w:p w14:paraId="6B0A2483">
                  <w:pPr>
                    <w:jc w:val="center"/>
                    <w:rPr>
                      <w:rFonts w:hint="eastAsia"/>
                      <w:szCs w:val="21"/>
                    </w:rPr>
                  </w:pPr>
                  <w:r>
                    <w:rPr>
                      <w:rFonts w:hint="eastAsia"/>
                      <w:szCs w:val="21"/>
                    </w:rPr>
                    <w:t>固体废物</w:t>
                  </w:r>
                </w:p>
              </w:tc>
              <w:tc>
                <w:tcPr>
                  <w:tcW w:w="1181" w:type="pct"/>
                  <w:noWrap w:val="0"/>
                  <w:vAlign w:val="center"/>
                </w:tcPr>
                <w:p w14:paraId="5513449E">
                  <w:pPr>
                    <w:jc w:val="center"/>
                    <w:rPr>
                      <w:szCs w:val="21"/>
                    </w:rPr>
                  </w:pPr>
                  <w:r>
                    <w:rPr>
                      <w:rFonts w:hint="eastAsia"/>
                      <w:szCs w:val="21"/>
                    </w:rPr>
                    <w:t>漆渣、废活性炭及过滤棉、</w:t>
                  </w:r>
                  <w:r>
                    <w:rPr>
                      <w:rFonts w:hint="eastAsia"/>
                      <w:szCs w:val="21"/>
                      <w:lang w:eastAsia="zh-CN"/>
                    </w:rPr>
                    <w:t>过滤杂质、</w:t>
                  </w:r>
                  <w:r>
                    <w:rPr>
                      <w:rFonts w:hint="eastAsia" w:eastAsia="宋体"/>
                    </w:rPr>
                    <w:t>实验设备</w:t>
                  </w:r>
                  <w:r>
                    <w:rPr>
                      <w:rFonts w:hint="eastAsia" w:eastAsia="宋体"/>
                      <w:lang w:eastAsia="zh-CN"/>
                    </w:rPr>
                    <w:t>及实验室地面清洗废水</w:t>
                  </w:r>
                </w:p>
              </w:tc>
              <w:tc>
                <w:tcPr>
                  <w:tcW w:w="2626" w:type="pct"/>
                  <w:noWrap w:val="0"/>
                  <w:vAlign w:val="center"/>
                </w:tcPr>
                <w:p w14:paraId="474C55C5">
                  <w:pPr>
                    <w:jc w:val="center"/>
                    <w:rPr>
                      <w:szCs w:val="21"/>
                    </w:rPr>
                  </w:pPr>
                  <w:r>
                    <w:rPr>
                      <w:rFonts w:hint="eastAsia"/>
                      <w:szCs w:val="21"/>
                    </w:rPr>
                    <w:t>暂存于</w:t>
                  </w:r>
                  <w:r>
                    <w:rPr>
                      <w:rFonts w:hint="eastAsia"/>
                      <w:szCs w:val="21"/>
                      <w:lang w:eastAsia="zh-CN"/>
                    </w:rPr>
                    <w:t>危废贮存库</w:t>
                  </w:r>
                  <w:r>
                    <w:rPr>
                      <w:rFonts w:hint="eastAsia"/>
                      <w:szCs w:val="21"/>
                    </w:rPr>
                    <w:t>，委托有资质单位处理</w:t>
                  </w:r>
                </w:p>
              </w:tc>
              <w:tc>
                <w:tcPr>
                  <w:tcW w:w="761" w:type="pct"/>
                  <w:noWrap w:val="0"/>
                  <w:vAlign w:val="center"/>
                </w:tcPr>
                <w:p w14:paraId="393D0DA4">
                  <w:pPr>
                    <w:jc w:val="center"/>
                    <w:rPr>
                      <w:szCs w:val="21"/>
                    </w:rPr>
                  </w:pPr>
                  <w:r>
                    <w:rPr>
                      <w:rFonts w:hint="eastAsia"/>
                      <w:szCs w:val="21"/>
                    </w:rPr>
                    <w:t>8</w:t>
                  </w:r>
                </w:p>
              </w:tc>
            </w:tr>
            <w:tr w14:paraId="029CF20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238" w:type="pct"/>
                  <w:gridSpan w:val="3"/>
                  <w:noWrap w:val="0"/>
                  <w:vAlign w:val="center"/>
                </w:tcPr>
                <w:p w14:paraId="77017699">
                  <w:pPr>
                    <w:jc w:val="center"/>
                    <w:rPr>
                      <w:szCs w:val="21"/>
                    </w:rPr>
                  </w:pPr>
                  <w:r>
                    <w:rPr>
                      <w:rFonts w:hint="eastAsia"/>
                      <w:szCs w:val="21"/>
                    </w:rPr>
                    <w:t>合计</w:t>
                  </w:r>
                </w:p>
              </w:tc>
              <w:tc>
                <w:tcPr>
                  <w:tcW w:w="761" w:type="pct"/>
                  <w:noWrap w:val="0"/>
                  <w:vAlign w:val="center"/>
                </w:tcPr>
                <w:p w14:paraId="12E49310">
                  <w:pPr>
                    <w:jc w:val="center"/>
                    <w:rPr>
                      <w:szCs w:val="21"/>
                    </w:rPr>
                  </w:pPr>
                  <w:r>
                    <w:rPr>
                      <w:rFonts w:hint="eastAsia"/>
                      <w:szCs w:val="21"/>
                    </w:rPr>
                    <w:t>16</w:t>
                  </w:r>
                </w:p>
              </w:tc>
            </w:tr>
          </w:tbl>
          <w:p w14:paraId="26EBC49D">
            <w:pPr>
              <w:spacing w:line="360" w:lineRule="auto"/>
              <w:ind w:firstLine="480" w:firstLineChars="200"/>
              <w:rPr>
                <w:bCs/>
                <w:sz w:val="24"/>
                <w:szCs w:val="22"/>
              </w:rPr>
            </w:pPr>
          </w:p>
          <w:p w14:paraId="6EA34406">
            <w:pPr>
              <w:spacing w:line="360" w:lineRule="auto"/>
              <w:ind w:firstLine="482" w:firstLineChars="200"/>
              <w:rPr>
                <w:b/>
                <w:sz w:val="24"/>
                <w:szCs w:val="22"/>
              </w:rPr>
            </w:pPr>
            <w:r>
              <w:rPr>
                <w:b/>
                <w:sz w:val="24"/>
                <w:szCs w:val="22"/>
              </w:rPr>
              <w:t>2、排污许可管理要求</w:t>
            </w:r>
          </w:p>
          <w:p w14:paraId="06D8391D">
            <w:pPr>
              <w:spacing w:line="360" w:lineRule="auto"/>
              <w:ind w:firstLine="480" w:firstLineChars="200"/>
              <w:rPr>
                <w:rFonts w:hint="eastAsia"/>
                <w:bCs/>
                <w:sz w:val="24"/>
                <w:szCs w:val="22"/>
              </w:rPr>
            </w:pPr>
            <w:r>
              <w:rPr>
                <w:sz w:val="24"/>
                <w:szCs w:val="18"/>
              </w:rPr>
              <w:t>根据《固定污染源排污许可分类管理名录》（2019年版），本项目</w:t>
            </w:r>
            <w:r>
              <w:rPr>
                <w:rFonts w:hint="eastAsia"/>
                <w:sz w:val="24"/>
                <w:szCs w:val="18"/>
                <w:lang w:eastAsia="zh-CN"/>
              </w:rPr>
              <w:t>无需申请</w:t>
            </w:r>
            <w:r>
              <w:rPr>
                <w:rFonts w:hint="eastAsia"/>
                <w:sz w:val="24"/>
                <w:szCs w:val="18"/>
              </w:rPr>
              <w:t>排污许可</w:t>
            </w:r>
            <w:r>
              <w:rPr>
                <w:rFonts w:hint="eastAsia"/>
                <w:bCs/>
                <w:sz w:val="24"/>
                <w:szCs w:val="22"/>
              </w:rPr>
              <w:t>。</w:t>
            </w:r>
          </w:p>
          <w:p w14:paraId="42F60CF0">
            <w:pPr>
              <w:snapToGrid w:val="0"/>
              <w:spacing w:line="360" w:lineRule="auto"/>
              <w:ind w:firstLine="482" w:firstLineChars="200"/>
              <w:rPr>
                <w:b/>
                <w:bCs/>
                <w:sz w:val="24"/>
              </w:rPr>
            </w:pPr>
            <w:r>
              <w:rPr>
                <w:rFonts w:hint="eastAsia"/>
                <w:b/>
                <w:bCs/>
                <w:sz w:val="24"/>
              </w:rPr>
              <w:t>3、竣工环境环保验收</w:t>
            </w:r>
          </w:p>
          <w:p w14:paraId="17EF69C9">
            <w:pPr>
              <w:spacing w:line="360" w:lineRule="auto"/>
              <w:ind w:firstLine="480" w:firstLineChars="200"/>
              <w:rPr>
                <w:rFonts w:hint="eastAsia"/>
                <w:bCs/>
                <w:sz w:val="24"/>
                <w:szCs w:val="22"/>
              </w:rPr>
            </w:pPr>
            <w:r>
              <w:rPr>
                <w:rFonts w:hint="eastAsia"/>
                <w:sz w:val="24"/>
              </w:rPr>
              <w:t>根据《建设项目竣工环境保护验收暂行办法》的规定，建设项目竣工后，建设单位应该如实查验、监测、记载建设项目环境保护设施建设和调试情况，编制验收监测报告表。</w:t>
            </w:r>
          </w:p>
          <w:p w14:paraId="6727F9EA">
            <w:pPr>
              <w:spacing w:line="360" w:lineRule="auto"/>
              <w:rPr>
                <w:rFonts w:hint="eastAsia"/>
                <w:bCs/>
                <w:sz w:val="24"/>
                <w:szCs w:val="22"/>
              </w:rPr>
            </w:pPr>
          </w:p>
          <w:p w14:paraId="2010E2C4">
            <w:pPr>
              <w:adjustRightInd w:val="0"/>
              <w:snapToGrid w:val="0"/>
              <w:rPr>
                <w:rFonts w:ascii="Mongolian Baiti" w:hAnsi="Mongolian Baiti" w:cs="Mongolian Baiti"/>
                <w:sz w:val="24"/>
              </w:rPr>
            </w:pPr>
          </w:p>
        </w:tc>
      </w:tr>
    </w:tbl>
    <w:p w14:paraId="688B6F51">
      <w:pPr>
        <w:pStyle w:val="23"/>
        <w:spacing w:before="120" w:beforeLines="50" w:beforeAutospacing="0" w:after="120" w:afterLines="50" w:afterAutospacing="0"/>
        <w:jc w:val="center"/>
        <w:outlineLvl w:val="0"/>
        <w:rPr>
          <w:rFonts w:ascii="黑体" w:hAnsi="黑体" w:eastAsia="黑体"/>
          <w:snapToGrid w:val="0"/>
          <w:sz w:val="30"/>
          <w:szCs w:val="30"/>
        </w:rPr>
      </w:pPr>
      <w:r>
        <w:rPr>
          <w:snapToGrid w:val="0"/>
        </w:rPr>
        <w:br w:type="page"/>
      </w:r>
      <w:r>
        <w:rPr>
          <w:rFonts w:hint="eastAsia" w:ascii="黑体" w:hAnsi="黑体" w:eastAsia="黑体"/>
          <w:snapToGrid w:val="0"/>
          <w:sz w:val="30"/>
          <w:szCs w:val="30"/>
        </w:rPr>
        <w:t>六、结论</w:t>
      </w:r>
    </w:p>
    <w:tbl>
      <w:tblPr>
        <w:tblStyle w:val="27"/>
        <w:tblW w:w="88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72C656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top"/>
          </w:tcPr>
          <w:p w14:paraId="587415DF">
            <w:pPr>
              <w:spacing w:line="360" w:lineRule="auto"/>
              <w:ind w:firstLine="482" w:firstLineChars="200"/>
              <w:outlineLvl w:val="1"/>
              <w:rPr>
                <w:b/>
                <w:bCs/>
                <w:sz w:val="24"/>
              </w:rPr>
            </w:pPr>
            <w:r>
              <w:rPr>
                <w:rFonts w:hint="eastAsia"/>
                <w:b/>
                <w:bCs/>
                <w:sz w:val="24"/>
              </w:rPr>
              <w:t>1、结论</w:t>
            </w:r>
          </w:p>
          <w:p w14:paraId="7248A334">
            <w:pPr>
              <w:spacing w:line="360" w:lineRule="auto"/>
              <w:ind w:firstLine="480" w:firstLineChars="200"/>
              <w:outlineLvl w:val="1"/>
              <w:rPr>
                <w:rFonts w:hint="eastAsia"/>
                <w:sz w:val="24"/>
              </w:rPr>
            </w:pPr>
            <w:r>
              <w:rPr>
                <w:rFonts w:hint="eastAsia"/>
                <w:sz w:val="24"/>
              </w:rPr>
              <w:t>本项目符合产业政策要求，用地性质符合长春北湖科技开发区规划，项目符合“三线一单”要求，只要项目在实施过程中，切实落实本报告提出的施工期及运营期各项污染防治措施，确保环境保护措施与主体工程同时设计、同时施工、同时投运，生产过程中产生的废气、废水和噪声均能达标排放，固体废物有效的处理/处置，对环境的影响可接受，从环境保护角度分析，本项目是可行的。</w:t>
            </w:r>
          </w:p>
          <w:p w14:paraId="337DAB67">
            <w:pPr>
              <w:spacing w:line="360" w:lineRule="auto"/>
              <w:ind w:firstLine="482" w:firstLineChars="200"/>
              <w:outlineLvl w:val="1"/>
              <w:rPr>
                <w:rFonts w:hint="eastAsia"/>
                <w:b/>
                <w:bCs/>
                <w:sz w:val="24"/>
              </w:rPr>
            </w:pPr>
            <w:r>
              <w:rPr>
                <w:rFonts w:hint="eastAsia"/>
                <w:b/>
                <w:bCs/>
                <w:sz w:val="24"/>
              </w:rPr>
              <w:t>2、附图</w:t>
            </w:r>
          </w:p>
          <w:p w14:paraId="7E5C808E">
            <w:pPr>
              <w:spacing w:line="360" w:lineRule="auto"/>
              <w:ind w:firstLine="480" w:firstLineChars="200"/>
              <w:outlineLvl w:val="1"/>
              <w:rPr>
                <w:rFonts w:hint="eastAsia"/>
                <w:sz w:val="24"/>
              </w:rPr>
            </w:pPr>
            <w:r>
              <w:rPr>
                <w:rFonts w:hint="eastAsia"/>
                <w:sz w:val="24"/>
              </w:rPr>
              <w:t>附图1   建设项目地理位置示意图</w:t>
            </w:r>
          </w:p>
          <w:p w14:paraId="60952E18">
            <w:pPr>
              <w:spacing w:line="360" w:lineRule="auto"/>
              <w:ind w:firstLine="480" w:firstLineChars="200"/>
              <w:outlineLvl w:val="1"/>
              <w:rPr>
                <w:rFonts w:hint="eastAsia"/>
                <w:sz w:val="24"/>
              </w:rPr>
            </w:pPr>
            <w:r>
              <w:rPr>
                <w:rFonts w:hint="eastAsia"/>
                <w:sz w:val="24"/>
              </w:rPr>
              <w:t>附图2   项目在北湖科技开发区建设用地规划图中的位置</w:t>
            </w:r>
          </w:p>
          <w:p w14:paraId="18339034">
            <w:pPr>
              <w:spacing w:line="360" w:lineRule="auto"/>
              <w:ind w:firstLine="480" w:firstLineChars="200"/>
              <w:outlineLvl w:val="1"/>
              <w:rPr>
                <w:rFonts w:hint="eastAsia"/>
                <w:sz w:val="24"/>
              </w:rPr>
            </w:pPr>
            <w:r>
              <w:rPr>
                <w:rFonts w:hint="eastAsia"/>
                <w:sz w:val="24"/>
              </w:rPr>
              <w:t>附图3   项目在北湖科技开发区产业布局图中的位置</w:t>
            </w:r>
          </w:p>
          <w:p w14:paraId="6F14F92D">
            <w:pPr>
              <w:spacing w:line="360" w:lineRule="auto"/>
              <w:ind w:firstLine="480" w:firstLineChars="200"/>
              <w:outlineLvl w:val="1"/>
              <w:rPr>
                <w:rFonts w:hint="eastAsia"/>
                <w:sz w:val="24"/>
              </w:rPr>
            </w:pPr>
            <w:r>
              <w:rPr>
                <w:rFonts w:hint="eastAsia"/>
                <w:sz w:val="24"/>
              </w:rPr>
              <w:t>附图4</w:t>
            </w:r>
            <w:r>
              <w:rPr>
                <w:sz w:val="24"/>
              </w:rPr>
              <w:t xml:space="preserve"> </w:t>
            </w:r>
            <w:r>
              <w:rPr>
                <w:rFonts w:hint="eastAsia"/>
                <w:sz w:val="24"/>
              </w:rPr>
              <w:t xml:space="preserve">  实验室平面布置图</w:t>
            </w:r>
          </w:p>
          <w:p w14:paraId="2923CC54">
            <w:pPr>
              <w:autoSpaceDE w:val="0"/>
              <w:adjustRightInd w:val="0"/>
              <w:snapToGrid w:val="0"/>
              <w:spacing w:line="360" w:lineRule="auto"/>
              <w:ind w:firstLine="480" w:firstLineChars="200"/>
              <w:rPr>
                <w:sz w:val="24"/>
                <w:lang w:bidi="ar"/>
              </w:rPr>
            </w:pPr>
            <w:r>
              <w:rPr>
                <w:sz w:val="24"/>
                <w:lang w:bidi="ar"/>
              </w:rPr>
              <w:t>附图</w:t>
            </w:r>
            <w:r>
              <w:rPr>
                <w:rFonts w:hint="eastAsia"/>
                <w:sz w:val="24"/>
                <w:lang w:bidi="ar"/>
              </w:rPr>
              <w:t>5</w:t>
            </w:r>
            <w:r>
              <w:rPr>
                <w:sz w:val="24"/>
                <w:lang w:bidi="ar"/>
              </w:rPr>
              <w:t xml:space="preserve">   </w:t>
            </w:r>
            <w:r>
              <w:rPr>
                <w:rFonts w:hint="eastAsia" w:ascii="宋体" w:hAnsi="宋体" w:cs="宋体"/>
                <w:sz w:val="24"/>
                <w:lang w:bidi="ar"/>
              </w:rPr>
              <w:t>项目在长春市声环境功能区划的位置图</w:t>
            </w:r>
          </w:p>
          <w:p w14:paraId="300A09BB">
            <w:pPr>
              <w:autoSpaceDE w:val="0"/>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lang w:bidi="ar"/>
              </w:rPr>
              <w:t>附图6</w:t>
            </w:r>
            <w:r>
              <w:rPr>
                <w:rFonts w:hint="default" w:ascii="Times New Roman" w:hAnsi="Times New Roman" w:cs="Times New Roman"/>
                <w:sz w:val="24"/>
                <w:lang w:val="en-US" w:eastAsia="zh-CN" w:bidi="ar"/>
              </w:rPr>
              <w:t xml:space="preserve">  </w:t>
            </w:r>
            <w:r>
              <w:rPr>
                <w:rFonts w:hint="default" w:ascii="Times New Roman" w:hAnsi="Times New Roman" w:cs="Times New Roman"/>
                <w:sz w:val="24"/>
                <w:lang w:bidi="ar"/>
              </w:rPr>
              <w:t xml:space="preserve"> 项目在三线一单数据应用平台落位图</w:t>
            </w:r>
          </w:p>
          <w:p w14:paraId="72C14CD6">
            <w:pPr>
              <w:autoSpaceDE w:val="0"/>
              <w:adjustRightInd w:val="0"/>
              <w:snapToGrid w:val="0"/>
              <w:spacing w:line="360" w:lineRule="auto"/>
              <w:ind w:firstLine="480" w:firstLineChars="200"/>
              <w:rPr>
                <w:sz w:val="24"/>
              </w:rPr>
            </w:pPr>
            <w:r>
              <w:rPr>
                <w:rFonts w:hint="eastAsia" w:ascii="宋体" w:hAnsi="宋体" w:cs="宋体"/>
                <w:sz w:val="24"/>
                <w:lang w:bidi="ar"/>
              </w:rPr>
              <w:t>附图</w:t>
            </w:r>
            <w:r>
              <w:rPr>
                <w:rFonts w:hint="eastAsia"/>
                <w:sz w:val="24"/>
                <w:lang w:bidi="ar"/>
              </w:rPr>
              <w:t>7</w:t>
            </w:r>
            <w:r>
              <w:rPr>
                <w:sz w:val="24"/>
                <w:lang w:bidi="ar"/>
              </w:rPr>
              <w:t xml:space="preserve">   </w:t>
            </w:r>
            <w:r>
              <w:rPr>
                <w:rFonts w:hint="eastAsia" w:ascii="宋体" w:hAnsi="宋体" w:cs="宋体"/>
                <w:sz w:val="24"/>
                <w:lang w:bidi="ar"/>
              </w:rPr>
              <w:t>周围情况示意图</w:t>
            </w:r>
          </w:p>
          <w:p w14:paraId="54558979">
            <w:pPr>
              <w:autoSpaceDE w:val="0"/>
              <w:adjustRightInd w:val="0"/>
              <w:snapToGrid w:val="0"/>
              <w:spacing w:line="360" w:lineRule="auto"/>
              <w:ind w:firstLine="480" w:firstLineChars="200"/>
              <w:rPr>
                <w:rFonts w:hint="eastAsia" w:ascii="宋体" w:hAnsi="宋体" w:cs="宋体"/>
                <w:sz w:val="24"/>
                <w:lang w:bidi="ar"/>
              </w:rPr>
            </w:pPr>
            <w:r>
              <w:rPr>
                <w:rFonts w:hint="eastAsia" w:ascii="宋体" w:hAnsi="宋体" w:cs="宋体"/>
                <w:sz w:val="24"/>
                <w:lang w:bidi="ar"/>
              </w:rPr>
              <w:t>附图</w:t>
            </w:r>
            <w:r>
              <w:rPr>
                <w:rFonts w:hint="eastAsia"/>
                <w:sz w:val="24"/>
                <w:lang w:bidi="ar"/>
              </w:rPr>
              <w:t>8</w:t>
            </w:r>
            <w:r>
              <w:rPr>
                <w:sz w:val="24"/>
                <w:lang w:bidi="ar"/>
              </w:rPr>
              <w:t xml:space="preserve">   </w:t>
            </w:r>
            <w:r>
              <w:rPr>
                <w:rFonts w:hint="eastAsia" w:ascii="宋体" w:hAnsi="宋体" w:cs="宋体"/>
                <w:sz w:val="24"/>
                <w:lang w:bidi="ar"/>
              </w:rPr>
              <w:t>引用环境空气监测点位示意图</w:t>
            </w:r>
          </w:p>
          <w:p w14:paraId="35B964A6">
            <w:pPr>
              <w:autoSpaceDE w:val="0"/>
              <w:adjustRightInd w:val="0"/>
              <w:snapToGrid w:val="0"/>
              <w:spacing w:line="360" w:lineRule="auto"/>
              <w:ind w:firstLine="480" w:firstLineChars="200"/>
            </w:pPr>
            <w:r>
              <w:rPr>
                <w:rFonts w:hint="eastAsia" w:ascii="宋体" w:hAnsi="宋体" w:cs="宋体"/>
                <w:sz w:val="24"/>
                <w:lang w:bidi="ar"/>
              </w:rPr>
              <w:t>附图</w:t>
            </w:r>
            <w:r>
              <w:rPr>
                <w:rFonts w:hint="eastAsia"/>
                <w:sz w:val="24"/>
                <w:lang w:bidi="ar"/>
              </w:rPr>
              <w:t>9</w:t>
            </w:r>
            <w:r>
              <w:rPr>
                <w:sz w:val="24"/>
                <w:lang w:bidi="ar"/>
              </w:rPr>
              <w:t xml:space="preserve">   </w:t>
            </w:r>
            <w:r>
              <w:rPr>
                <w:rFonts w:hint="eastAsia" w:ascii="宋体" w:hAnsi="宋体" w:cs="宋体"/>
                <w:sz w:val="24"/>
                <w:lang w:bidi="ar"/>
              </w:rPr>
              <w:t>建设项目现场照片</w:t>
            </w:r>
          </w:p>
          <w:p w14:paraId="62E507C1">
            <w:pPr>
              <w:autoSpaceDE w:val="0"/>
              <w:adjustRightInd w:val="0"/>
              <w:snapToGrid w:val="0"/>
              <w:spacing w:line="360" w:lineRule="auto"/>
              <w:ind w:firstLine="480" w:firstLineChars="200"/>
              <w:rPr>
                <w:sz w:val="24"/>
              </w:rPr>
            </w:pPr>
            <w:r>
              <w:rPr>
                <w:sz w:val="24"/>
              </w:rPr>
              <w:t>附件：</w:t>
            </w:r>
          </w:p>
          <w:p w14:paraId="4A85A49F">
            <w:pPr>
              <w:autoSpaceDE w:val="0"/>
              <w:adjustRightInd w:val="0"/>
              <w:snapToGrid w:val="0"/>
              <w:spacing w:line="360" w:lineRule="auto"/>
              <w:ind w:firstLine="480" w:firstLineChars="200"/>
              <w:rPr>
                <w:sz w:val="24"/>
              </w:rPr>
            </w:pPr>
            <w:r>
              <w:rPr>
                <w:rFonts w:hint="eastAsia"/>
                <w:sz w:val="24"/>
              </w:rPr>
              <w:t>附件</w:t>
            </w:r>
            <w:r>
              <w:rPr>
                <w:sz w:val="24"/>
              </w:rPr>
              <w:t xml:space="preserve">1   </w:t>
            </w:r>
            <w:r>
              <w:rPr>
                <w:rFonts w:hint="eastAsia"/>
                <w:sz w:val="24"/>
              </w:rPr>
              <w:t>长春北湖科技开发区分区规划（2018-2030）审查意见</w:t>
            </w:r>
          </w:p>
          <w:p w14:paraId="54CE5C7D">
            <w:pPr>
              <w:autoSpaceDE w:val="0"/>
              <w:adjustRightInd w:val="0"/>
              <w:snapToGrid w:val="0"/>
              <w:spacing w:line="360" w:lineRule="auto"/>
              <w:ind w:firstLine="480" w:firstLineChars="200"/>
              <w:rPr>
                <w:rFonts w:hint="eastAsia"/>
                <w:sz w:val="24"/>
              </w:rPr>
            </w:pPr>
            <w:r>
              <w:rPr>
                <w:rFonts w:hint="eastAsia"/>
                <w:sz w:val="24"/>
              </w:rPr>
              <w:t>附件2   环境空气监测报告</w:t>
            </w:r>
          </w:p>
          <w:p w14:paraId="2BA171EA">
            <w:pPr>
              <w:autoSpaceDE w:val="0"/>
              <w:adjustRightInd w:val="0"/>
              <w:snapToGrid w:val="0"/>
              <w:spacing w:line="360" w:lineRule="auto"/>
              <w:ind w:firstLine="480" w:firstLineChars="200"/>
              <w:rPr>
                <w:rFonts w:hint="eastAsia"/>
                <w:sz w:val="24"/>
                <w:highlight w:val="none"/>
                <w:lang w:eastAsia="zh-CN"/>
              </w:rPr>
            </w:pPr>
            <w:r>
              <w:rPr>
                <w:rFonts w:hint="eastAsia"/>
                <w:sz w:val="24"/>
                <w:highlight w:val="none"/>
              </w:rPr>
              <w:t xml:space="preserve">附件3   </w:t>
            </w:r>
            <w:r>
              <w:rPr>
                <w:rFonts w:hint="eastAsia"/>
                <w:sz w:val="24"/>
                <w:highlight w:val="none"/>
                <w:lang w:eastAsia="zh-CN"/>
              </w:rPr>
              <w:t>租赁协议</w:t>
            </w:r>
          </w:p>
          <w:p w14:paraId="089382BF">
            <w:pPr>
              <w:autoSpaceDE w:val="0"/>
              <w:adjustRightInd w:val="0"/>
              <w:snapToGrid w:val="0"/>
              <w:spacing w:line="360" w:lineRule="auto"/>
              <w:ind w:firstLine="480" w:firstLineChars="200"/>
              <w:rPr>
                <w:rFonts w:hint="eastAsia"/>
                <w:sz w:val="24"/>
                <w:highlight w:val="yellow"/>
                <w:lang w:eastAsia="zh-CN"/>
              </w:rPr>
            </w:pPr>
          </w:p>
          <w:p w14:paraId="7BAF4609">
            <w:pPr>
              <w:autoSpaceDE w:val="0"/>
              <w:adjustRightInd w:val="0"/>
              <w:snapToGrid w:val="0"/>
              <w:spacing w:line="360" w:lineRule="auto"/>
              <w:ind w:firstLine="480" w:firstLineChars="200"/>
              <w:rPr>
                <w:sz w:val="24"/>
              </w:rPr>
            </w:pPr>
          </w:p>
        </w:tc>
      </w:tr>
    </w:tbl>
    <w:p w14:paraId="5E7AD016">
      <w:pPr>
        <w:rPr>
          <w:rFonts w:ascii="宋体"/>
        </w:rPr>
        <w:sectPr>
          <w:pgSz w:w="11906" w:h="16838"/>
          <w:pgMar w:top="1440" w:right="1080" w:bottom="1440" w:left="1080" w:header="851" w:footer="851" w:gutter="0"/>
          <w:cols w:space="720" w:num="1"/>
          <w:docGrid w:linePitch="312" w:charSpace="0"/>
        </w:sectPr>
      </w:pPr>
    </w:p>
    <w:p w14:paraId="7C150F78">
      <w:pPr>
        <w:pStyle w:val="23"/>
        <w:adjustRightInd w:val="0"/>
        <w:snapToGrid w:val="0"/>
        <w:spacing w:before="0" w:beforeAutospacing="0" w:after="0" w:afterAutospacing="0"/>
        <w:outlineLvl w:val="0"/>
        <w:rPr>
          <w:rFonts w:hint="eastAsia" w:cs="宋体"/>
          <w:b/>
          <w:bCs/>
          <w:snapToGrid w:val="0"/>
          <w:sz w:val="32"/>
          <w:szCs w:val="32"/>
        </w:rPr>
      </w:pPr>
      <w:r>
        <w:rPr>
          <w:rFonts w:hint="eastAsia" w:cs="宋体"/>
          <w:b/>
          <w:bCs/>
          <w:snapToGrid w:val="0"/>
          <w:sz w:val="32"/>
          <w:szCs w:val="32"/>
        </w:rPr>
        <w:t>附表</w:t>
      </w:r>
    </w:p>
    <w:p w14:paraId="336A066B">
      <w:pPr>
        <w:pStyle w:val="23"/>
        <w:adjustRightInd w:val="0"/>
        <w:snapToGrid w:val="0"/>
        <w:spacing w:before="0" w:beforeAutospacing="0" w:after="0" w:afterAutospacing="0"/>
        <w:jc w:val="center"/>
        <w:outlineLvl w:val="9"/>
        <w:rPr>
          <w:rFonts w:hint="eastAsia" w:cs="宋体"/>
          <w:b/>
          <w:bCs/>
          <w:snapToGrid w:val="0"/>
          <w:sz w:val="38"/>
          <w:szCs w:val="38"/>
        </w:rPr>
      </w:pPr>
      <w:r>
        <w:rPr>
          <w:rFonts w:hint="eastAsia" w:cs="宋体"/>
          <w:b/>
          <w:bCs/>
          <w:snapToGrid w:val="0"/>
          <w:sz w:val="38"/>
          <w:szCs w:val="38"/>
        </w:rPr>
        <w:t>建设项目污染物排放量汇总表</w:t>
      </w:r>
    </w:p>
    <w:tbl>
      <w:tblPr>
        <w:tblStyle w:val="27"/>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1998"/>
        <w:gridCol w:w="1575"/>
        <w:gridCol w:w="1110"/>
        <w:gridCol w:w="1590"/>
        <w:gridCol w:w="1665"/>
        <w:gridCol w:w="1665"/>
        <w:gridCol w:w="1625"/>
        <w:gridCol w:w="1398"/>
      </w:tblGrid>
      <w:tr w14:paraId="1C26F7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1162" w:type="dxa"/>
            <w:tcBorders>
              <w:tl2br w:val="single" w:color="auto" w:sz="4" w:space="0"/>
            </w:tcBorders>
            <w:noWrap w:val="0"/>
            <w:tcMar>
              <w:left w:w="28" w:type="dxa"/>
              <w:right w:w="28" w:type="dxa"/>
            </w:tcMar>
            <w:vAlign w:val="center"/>
          </w:tcPr>
          <w:p w14:paraId="74A9FC27">
            <w:pPr>
              <w:pStyle w:val="53"/>
              <w:spacing w:beforeLines="0" w:afterLines="0" w:line="240" w:lineRule="auto"/>
              <w:ind w:left="396" w:hanging="396"/>
              <w:jc w:val="right"/>
              <w:rPr>
                <w:rFonts w:ascii="Times New Roman" w:eastAsia="宋体"/>
                <w:snapToGrid w:val="0"/>
                <w:color w:val="auto"/>
                <w:spacing w:val="-6"/>
                <w:kern w:val="21"/>
                <w:szCs w:val="21"/>
              </w:rPr>
            </w:pPr>
            <w:r>
              <w:rPr>
                <w:rFonts w:ascii="Times New Roman" w:eastAsia="宋体"/>
                <w:snapToGrid w:val="0"/>
                <w:color w:val="auto"/>
                <w:spacing w:val="-6"/>
                <w:kern w:val="21"/>
                <w:szCs w:val="21"/>
              </w:rPr>
              <w:t>项目</w:t>
            </w:r>
          </w:p>
          <w:p w14:paraId="1E7A002B">
            <w:pPr>
              <w:pStyle w:val="53"/>
              <w:spacing w:beforeLines="0" w:afterLines="0" w:line="240" w:lineRule="auto"/>
              <w:ind w:left="396" w:hanging="396"/>
              <w:jc w:val="left"/>
              <w:rPr>
                <w:rFonts w:ascii="Times New Roman" w:eastAsia="宋体"/>
                <w:snapToGrid w:val="0"/>
                <w:color w:val="auto"/>
                <w:spacing w:val="-6"/>
                <w:kern w:val="21"/>
                <w:szCs w:val="21"/>
              </w:rPr>
            </w:pPr>
            <w:r>
              <w:rPr>
                <w:rFonts w:ascii="Times New Roman" w:eastAsia="宋体"/>
                <w:snapToGrid w:val="0"/>
                <w:color w:val="auto"/>
                <w:spacing w:val="-6"/>
                <w:kern w:val="21"/>
                <w:szCs w:val="21"/>
              </w:rPr>
              <w:t>分类</w:t>
            </w:r>
          </w:p>
        </w:tc>
        <w:tc>
          <w:tcPr>
            <w:tcW w:w="1998" w:type="dxa"/>
            <w:noWrap w:val="0"/>
            <w:tcMar>
              <w:left w:w="28" w:type="dxa"/>
              <w:right w:w="28" w:type="dxa"/>
            </w:tcMar>
            <w:vAlign w:val="center"/>
          </w:tcPr>
          <w:p w14:paraId="7E836691">
            <w:pPr>
              <w:pStyle w:val="53"/>
              <w:spacing w:beforeLines="0" w:afterLines="0" w:line="240" w:lineRule="auto"/>
              <w:ind w:left="396" w:hanging="396"/>
              <w:rPr>
                <w:rFonts w:ascii="Times New Roman" w:eastAsia="宋体"/>
                <w:snapToGrid w:val="0"/>
                <w:color w:val="auto"/>
                <w:spacing w:val="-6"/>
                <w:kern w:val="21"/>
                <w:szCs w:val="21"/>
              </w:rPr>
            </w:pPr>
            <w:r>
              <w:rPr>
                <w:rFonts w:ascii="Times New Roman" w:eastAsia="宋体"/>
                <w:snapToGrid w:val="0"/>
                <w:color w:val="auto"/>
                <w:spacing w:val="-6"/>
                <w:kern w:val="21"/>
                <w:szCs w:val="21"/>
              </w:rPr>
              <w:t>污染物名称</w:t>
            </w:r>
          </w:p>
        </w:tc>
        <w:tc>
          <w:tcPr>
            <w:tcW w:w="1575" w:type="dxa"/>
            <w:noWrap w:val="0"/>
            <w:tcMar>
              <w:left w:w="28" w:type="dxa"/>
              <w:right w:w="28" w:type="dxa"/>
            </w:tcMar>
            <w:vAlign w:val="center"/>
          </w:tcPr>
          <w:p w14:paraId="637DA637">
            <w:pPr>
              <w:pStyle w:val="53"/>
              <w:spacing w:beforeLines="0" w:afterLines="0" w:line="240" w:lineRule="auto"/>
              <w:ind w:left="396" w:hanging="396"/>
              <w:rPr>
                <w:rFonts w:ascii="Times New Roman" w:eastAsia="宋体"/>
                <w:snapToGrid w:val="0"/>
                <w:color w:val="auto"/>
                <w:spacing w:val="-6"/>
                <w:kern w:val="21"/>
                <w:szCs w:val="21"/>
              </w:rPr>
            </w:pPr>
            <w:r>
              <w:rPr>
                <w:rFonts w:ascii="Times New Roman" w:eastAsia="宋体"/>
                <w:snapToGrid w:val="0"/>
                <w:color w:val="auto"/>
                <w:spacing w:val="-6"/>
                <w:kern w:val="21"/>
                <w:szCs w:val="21"/>
              </w:rPr>
              <w:t>现有工程</w:t>
            </w:r>
          </w:p>
          <w:p w14:paraId="7B27B6DB">
            <w:pPr>
              <w:pStyle w:val="53"/>
              <w:spacing w:beforeLines="0" w:afterLines="0" w:line="240" w:lineRule="auto"/>
              <w:ind w:left="396" w:hanging="396"/>
              <w:rPr>
                <w:rFonts w:ascii="Times New Roman" w:eastAsia="宋体"/>
                <w:snapToGrid w:val="0"/>
                <w:color w:val="auto"/>
                <w:spacing w:val="-6"/>
                <w:kern w:val="21"/>
                <w:szCs w:val="21"/>
              </w:rPr>
            </w:pPr>
            <w:r>
              <w:rPr>
                <w:rFonts w:ascii="Times New Roman" w:eastAsia="宋体"/>
                <w:snapToGrid w:val="0"/>
                <w:color w:val="auto"/>
                <w:spacing w:val="-6"/>
                <w:kern w:val="21"/>
                <w:szCs w:val="21"/>
              </w:rPr>
              <w:t>排放量（固体废物产生量）</w:t>
            </w:r>
            <w:r>
              <w:rPr>
                <w:rFonts w:ascii="Times New Roman" w:eastAsia="宋体"/>
                <w:snapToGrid w:val="0"/>
                <w:color w:val="auto"/>
                <w:spacing w:val="-6"/>
                <w:kern w:val="21"/>
                <w:szCs w:val="21"/>
              </w:rPr>
              <w:fldChar w:fldCharType="begin"/>
            </w:r>
            <w:r>
              <w:rPr>
                <w:rFonts w:ascii="Times New Roman" w:eastAsia="宋体"/>
                <w:snapToGrid w:val="0"/>
                <w:color w:val="auto"/>
                <w:spacing w:val="-6"/>
                <w:kern w:val="21"/>
                <w:szCs w:val="21"/>
              </w:rPr>
              <w:instrText xml:space="preserve"> = 1 \* GB3 \* MERGEFORMAT </w:instrText>
            </w:r>
            <w:r>
              <w:rPr>
                <w:rFonts w:ascii="Times New Roman" w:eastAsia="宋体"/>
                <w:snapToGrid w:val="0"/>
                <w:color w:val="auto"/>
                <w:spacing w:val="-6"/>
                <w:kern w:val="21"/>
                <w:szCs w:val="21"/>
              </w:rPr>
              <w:fldChar w:fldCharType="separate"/>
            </w:r>
            <w:r>
              <w:rPr>
                <w:rFonts w:ascii="Times New Roman" w:eastAsia="宋体"/>
                <w:color w:val="auto"/>
                <w:kern w:val="2"/>
                <w:szCs w:val="21"/>
              </w:rPr>
              <w:t>①</w:t>
            </w:r>
            <w:r>
              <w:rPr>
                <w:rFonts w:ascii="Times New Roman" w:eastAsia="宋体"/>
                <w:snapToGrid w:val="0"/>
                <w:color w:val="auto"/>
                <w:spacing w:val="-6"/>
                <w:kern w:val="21"/>
                <w:szCs w:val="21"/>
              </w:rPr>
              <w:fldChar w:fldCharType="end"/>
            </w:r>
          </w:p>
        </w:tc>
        <w:tc>
          <w:tcPr>
            <w:tcW w:w="1110" w:type="dxa"/>
            <w:noWrap w:val="0"/>
            <w:tcMar>
              <w:left w:w="28" w:type="dxa"/>
              <w:right w:w="28" w:type="dxa"/>
            </w:tcMar>
            <w:vAlign w:val="center"/>
          </w:tcPr>
          <w:p w14:paraId="173D90E4">
            <w:pPr>
              <w:pStyle w:val="53"/>
              <w:spacing w:beforeLines="0" w:afterLines="0" w:line="240" w:lineRule="auto"/>
              <w:ind w:left="396" w:hanging="396"/>
              <w:rPr>
                <w:rFonts w:ascii="Times New Roman" w:eastAsia="宋体"/>
                <w:snapToGrid w:val="0"/>
                <w:color w:val="auto"/>
                <w:spacing w:val="-6"/>
                <w:kern w:val="21"/>
                <w:szCs w:val="21"/>
              </w:rPr>
            </w:pPr>
            <w:r>
              <w:rPr>
                <w:rFonts w:ascii="Times New Roman" w:eastAsia="宋体"/>
                <w:snapToGrid w:val="0"/>
                <w:color w:val="auto"/>
                <w:spacing w:val="-6"/>
                <w:kern w:val="21"/>
                <w:szCs w:val="21"/>
              </w:rPr>
              <w:t>现有工程</w:t>
            </w:r>
          </w:p>
          <w:p w14:paraId="5B004511">
            <w:pPr>
              <w:pStyle w:val="53"/>
              <w:spacing w:beforeLines="0" w:afterLines="0" w:line="240" w:lineRule="auto"/>
              <w:ind w:left="396" w:hanging="396"/>
              <w:rPr>
                <w:rFonts w:ascii="Times New Roman" w:eastAsia="宋体"/>
                <w:snapToGrid w:val="0"/>
                <w:color w:val="auto"/>
                <w:spacing w:val="-6"/>
                <w:kern w:val="21"/>
                <w:szCs w:val="21"/>
              </w:rPr>
            </w:pPr>
            <w:r>
              <w:rPr>
                <w:rFonts w:ascii="Times New Roman" w:eastAsia="宋体"/>
                <w:snapToGrid w:val="0"/>
                <w:color w:val="auto"/>
                <w:spacing w:val="-6"/>
                <w:kern w:val="21"/>
                <w:szCs w:val="21"/>
              </w:rPr>
              <w:t>许可排放量</w:t>
            </w:r>
          </w:p>
          <w:p w14:paraId="7B81425E">
            <w:pPr>
              <w:pStyle w:val="53"/>
              <w:spacing w:beforeLines="0" w:afterLines="0" w:line="240" w:lineRule="auto"/>
              <w:ind w:left="420" w:hanging="420"/>
              <w:rPr>
                <w:rFonts w:ascii="Times New Roman" w:eastAsia="宋体"/>
                <w:snapToGrid w:val="0"/>
                <w:color w:val="auto"/>
                <w:spacing w:val="-6"/>
                <w:kern w:val="21"/>
                <w:szCs w:val="21"/>
              </w:rPr>
            </w:pPr>
            <w:r>
              <w:rPr>
                <w:rFonts w:ascii="Times New Roman" w:eastAsia="宋体"/>
                <w:snapToGrid w:val="0"/>
                <w:color w:val="auto"/>
                <w:spacing w:val="-6"/>
                <w:kern w:val="21"/>
                <w:szCs w:val="21"/>
              </w:rPr>
              <w:fldChar w:fldCharType="begin"/>
            </w:r>
            <w:r>
              <w:rPr>
                <w:rFonts w:ascii="Times New Roman" w:eastAsia="宋体"/>
                <w:snapToGrid w:val="0"/>
                <w:color w:val="auto"/>
                <w:spacing w:val="-6"/>
                <w:kern w:val="21"/>
                <w:szCs w:val="21"/>
              </w:rPr>
              <w:instrText xml:space="preserve"> = 2 \* GB3 \* MERGEFORMAT </w:instrText>
            </w:r>
            <w:r>
              <w:rPr>
                <w:rFonts w:ascii="Times New Roman" w:eastAsia="宋体"/>
                <w:snapToGrid w:val="0"/>
                <w:color w:val="auto"/>
                <w:spacing w:val="-6"/>
                <w:kern w:val="21"/>
                <w:szCs w:val="21"/>
              </w:rPr>
              <w:fldChar w:fldCharType="separate"/>
            </w:r>
            <w:r>
              <w:rPr>
                <w:rFonts w:ascii="Times New Roman" w:eastAsia="宋体"/>
                <w:snapToGrid w:val="0"/>
                <w:color w:val="auto"/>
                <w:spacing w:val="-6"/>
                <w:kern w:val="21"/>
                <w:szCs w:val="21"/>
              </w:rPr>
              <w:t>②</w:t>
            </w:r>
            <w:r>
              <w:rPr>
                <w:rFonts w:ascii="Times New Roman" w:eastAsia="宋体"/>
                <w:snapToGrid w:val="0"/>
                <w:color w:val="auto"/>
                <w:spacing w:val="-6"/>
                <w:kern w:val="21"/>
                <w:szCs w:val="21"/>
              </w:rPr>
              <w:fldChar w:fldCharType="end"/>
            </w:r>
          </w:p>
        </w:tc>
        <w:tc>
          <w:tcPr>
            <w:tcW w:w="1590" w:type="dxa"/>
            <w:noWrap w:val="0"/>
            <w:tcMar>
              <w:left w:w="28" w:type="dxa"/>
              <w:right w:w="28" w:type="dxa"/>
            </w:tcMar>
            <w:vAlign w:val="center"/>
          </w:tcPr>
          <w:p w14:paraId="2E33A88D">
            <w:pPr>
              <w:pStyle w:val="53"/>
              <w:spacing w:beforeLines="0" w:afterLines="0" w:line="240" w:lineRule="auto"/>
              <w:ind w:left="396" w:hanging="396"/>
              <w:rPr>
                <w:rFonts w:ascii="Times New Roman" w:eastAsia="宋体"/>
                <w:snapToGrid w:val="0"/>
                <w:color w:val="auto"/>
                <w:spacing w:val="-6"/>
                <w:kern w:val="21"/>
                <w:szCs w:val="21"/>
              </w:rPr>
            </w:pPr>
            <w:r>
              <w:rPr>
                <w:rFonts w:ascii="Times New Roman" w:eastAsia="宋体"/>
                <w:snapToGrid w:val="0"/>
                <w:color w:val="auto"/>
                <w:spacing w:val="-6"/>
                <w:kern w:val="21"/>
                <w:szCs w:val="21"/>
              </w:rPr>
              <w:t>在建工程</w:t>
            </w:r>
          </w:p>
          <w:p w14:paraId="1C7BBBE6">
            <w:pPr>
              <w:pStyle w:val="53"/>
              <w:spacing w:beforeLines="0" w:afterLines="0" w:line="240" w:lineRule="auto"/>
              <w:ind w:left="396" w:hanging="396"/>
              <w:rPr>
                <w:rFonts w:ascii="Times New Roman" w:eastAsia="宋体"/>
                <w:snapToGrid w:val="0"/>
                <w:color w:val="auto"/>
                <w:spacing w:val="-6"/>
                <w:kern w:val="21"/>
                <w:szCs w:val="21"/>
              </w:rPr>
            </w:pPr>
            <w:r>
              <w:rPr>
                <w:rFonts w:ascii="Times New Roman" w:eastAsia="宋体"/>
                <w:snapToGrid w:val="0"/>
                <w:color w:val="auto"/>
                <w:spacing w:val="-6"/>
                <w:kern w:val="21"/>
                <w:szCs w:val="21"/>
              </w:rPr>
              <w:t>排放量（固体废物产生量）</w:t>
            </w:r>
            <w:r>
              <w:rPr>
                <w:rFonts w:ascii="Times New Roman" w:eastAsia="宋体"/>
                <w:snapToGrid w:val="0"/>
                <w:color w:val="auto"/>
                <w:spacing w:val="-6"/>
                <w:kern w:val="21"/>
                <w:szCs w:val="21"/>
              </w:rPr>
              <w:fldChar w:fldCharType="begin"/>
            </w:r>
            <w:r>
              <w:rPr>
                <w:rFonts w:ascii="Times New Roman" w:eastAsia="宋体"/>
                <w:snapToGrid w:val="0"/>
                <w:color w:val="auto"/>
                <w:spacing w:val="-6"/>
                <w:kern w:val="21"/>
                <w:szCs w:val="21"/>
              </w:rPr>
              <w:instrText xml:space="preserve"> = 3 \* GB3 \* MERGEFORMAT </w:instrText>
            </w:r>
            <w:r>
              <w:rPr>
                <w:rFonts w:ascii="Times New Roman" w:eastAsia="宋体"/>
                <w:snapToGrid w:val="0"/>
                <w:color w:val="auto"/>
                <w:spacing w:val="-6"/>
                <w:kern w:val="21"/>
                <w:szCs w:val="21"/>
              </w:rPr>
              <w:fldChar w:fldCharType="separate"/>
            </w:r>
            <w:r>
              <w:rPr>
                <w:rFonts w:ascii="Times New Roman" w:eastAsia="宋体"/>
                <w:color w:val="auto"/>
                <w:kern w:val="2"/>
                <w:szCs w:val="21"/>
              </w:rPr>
              <w:t>③</w:t>
            </w:r>
            <w:r>
              <w:rPr>
                <w:rFonts w:ascii="Times New Roman" w:eastAsia="宋体"/>
                <w:snapToGrid w:val="0"/>
                <w:color w:val="auto"/>
                <w:spacing w:val="-6"/>
                <w:kern w:val="21"/>
                <w:szCs w:val="21"/>
              </w:rPr>
              <w:fldChar w:fldCharType="end"/>
            </w:r>
          </w:p>
        </w:tc>
        <w:tc>
          <w:tcPr>
            <w:tcW w:w="1665" w:type="dxa"/>
            <w:noWrap w:val="0"/>
            <w:tcMar>
              <w:left w:w="28" w:type="dxa"/>
              <w:right w:w="28" w:type="dxa"/>
            </w:tcMar>
            <w:vAlign w:val="center"/>
          </w:tcPr>
          <w:p w14:paraId="4F162E76">
            <w:pPr>
              <w:pStyle w:val="53"/>
              <w:spacing w:beforeLines="0" w:afterLines="0" w:line="240" w:lineRule="auto"/>
              <w:ind w:left="396" w:hanging="396"/>
              <w:rPr>
                <w:rFonts w:ascii="Times New Roman" w:eastAsia="宋体"/>
                <w:snapToGrid w:val="0"/>
                <w:color w:val="auto"/>
                <w:spacing w:val="-6"/>
                <w:kern w:val="21"/>
                <w:szCs w:val="21"/>
              </w:rPr>
            </w:pPr>
            <w:r>
              <w:rPr>
                <w:rFonts w:ascii="Times New Roman" w:eastAsia="宋体"/>
                <w:snapToGrid w:val="0"/>
                <w:color w:val="auto"/>
                <w:spacing w:val="-6"/>
                <w:kern w:val="21"/>
                <w:szCs w:val="21"/>
              </w:rPr>
              <w:t>本项目</w:t>
            </w:r>
          </w:p>
          <w:p w14:paraId="7EA5EDE9">
            <w:pPr>
              <w:pStyle w:val="53"/>
              <w:spacing w:beforeLines="0" w:afterLines="0" w:line="240" w:lineRule="auto"/>
              <w:ind w:left="396" w:hanging="396"/>
              <w:rPr>
                <w:rFonts w:ascii="Times New Roman" w:eastAsia="宋体"/>
                <w:snapToGrid w:val="0"/>
                <w:color w:val="auto"/>
                <w:spacing w:val="-6"/>
                <w:kern w:val="21"/>
                <w:szCs w:val="21"/>
              </w:rPr>
            </w:pPr>
            <w:r>
              <w:rPr>
                <w:rFonts w:ascii="Times New Roman" w:eastAsia="宋体"/>
                <w:snapToGrid w:val="0"/>
                <w:color w:val="auto"/>
                <w:spacing w:val="-6"/>
                <w:kern w:val="21"/>
                <w:szCs w:val="21"/>
              </w:rPr>
              <w:t>排放量（固体废物产生量）</w:t>
            </w:r>
            <w:r>
              <w:rPr>
                <w:rFonts w:ascii="Times New Roman" w:eastAsia="宋体"/>
                <w:snapToGrid w:val="0"/>
                <w:color w:val="auto"/>
                <w:spacing w:val="-6"/>
                <w:kern w:val="21"/>
                <w:szCs w:val="21"/>
              </w:rPr>
              <w:fldChar w:fldCharType="begin"/>
            </w:r>
            <w:r>
              <w:rPr>
                <w:rFonts w:ascii="Times New Roman" w:eastAsia="宋体"/>
                <w:snapToGrid w:val="0"/>
                <w:color w:val="auto"/>
                <w:spacing w:val="-6"/>
                <w:kern w:val="21"/>
                <w:szCs w:val="21"/>
              </w:rPr>
              <w:instrText xml:space="preserve"> = 4 \* GB3 \* MERGEFORMAT </w:instrText>
            </w:r>
            <w:r>
              <w:rPr>
                <w:rFonts w:ascii="Times New Roman" w:eastAsia="宋体"/>
                <w:snapToGrid w:val="0"/>
                <w:color w:val="auto"/>
                <w:spacing w:val="-6"/>
                <w:kern w:val="21"/>
                <w:szCs w:val="21"/>
              </w:rPr>
              <w:fldChar w:fldCharType="separate"/>
            </w:r>
            <w:r>
              <w:rPr>
                <w:rFonts w:ascii="Times New Roman" w:eastAsia="宋体"/>
                <w:color w:val="auto"/>
                <w:kern w:val="2"/>
                <w:szCs w:val="21"/>
              </w:rPr>
              <w:t>④</w:t>
            </w:r>
            <w:r>
              <w:rPr>
                <w:rFonts w:ascii="Times New Roman" w:eastAsia="宋体"/>
                <w:snapToGrid w:val="0"/>
                <w:color w:val="auto"/>
                <w:spacing w:val="-6"/>
                <w:kern w:val="21"/>
                <w:szCs w:val="21"/>
              </w:rPr>
              <w:fldChar w:fldCharType="end"/>
            </w:r>
          </w:p>
        </w:tc>
        <w:tc>
          <w:tcPr>
            <w:tcW w:w="1665" w:type="dxa"/>
            <w:noWrap w:val="0"/>
            <w:tcMar>
              <w:left w:w="28" w:type="dxa"/>
              <w:right w:w="28" w:type="dxa"/>
            </w:tcMar>
            <w:vAlign w:val="center"/>
          </w:tcPr>
          <w:p w14:paraId="2B40C505">
            <w:pPr>
              <w:pStyle w:val="53"/>
              <w:spacing w:beforeLines="0" w:afterLines="0" w:line="240" w:lineRule="auto"/>
              <w:ind w:left="356" w:hanging="356"/>
              <w:rPr>
                <w:rFonts w:ascii="Times New Roman" w:eastAsia="宋体"/>
                <w:snapToGrid w:val="0"/>
                <w:color w:val="auto"/>
                <w:spacing w:val="-16"/>
                <w:kern w:val="21"/>
                <w:szCs w:val="21"/>
              </w:rPr>
            </w:pPr>
            <w:r>
              <w:rPr>
                <w:rFonts w:ascii="Times New Roman" w:eastAsia="宋体"/>
                <w:snapToGrid w:val="0"/>
                <w:color w:val="auto"/>
                <w:spacing w:val="-16"/>
                <w:kern w:val="21"/>
                <w:szCs w:val="21"/>
              </w:rPr>
              <w:t>以新带老削减量</w:t>
            </w:r>
          </w:p>
          <w:p w14:paraId="167FB442">
            <w:pPr>
              <w:pStyle w:val="53"/>
              <w:spacing w:beforeLines="0" w:afterLines="0" w:line="240" w:lineRule="auto"/>
              <w:ind w:left="356" w:hanging="356"/>
              <w:rPr>
                <w:rFonts w:ascii="Times New Roman" w:eastAsia="宋体"/>
                <w:snapToGrid w:val="0"/>
                <w:color w:val="auto"/>
                <w:spacing w:val="-16"/>
                <w:kern w:val="21"/>
                <w:szCs w:val="21"/>
              </w:rPr>
            </w:pPr>
            <w:r>
              <w:rPr>
                <w:rFonts w:ascii="Times New Roman" w:eastAsia="宋体"/>
                <w:snapToGrid w:val="0"/>
                <w:color w:val="auto"/>
                <w:spacing w:val="-16"/>
                <w:kern w:val="21"/>
                <w:szCs w:val="21"/>
              </w:rPr>
              <w:t>（新建项目不填）</w:t>
            </w:r>
            <w:r>
              <w:rPr>
                <w:rFonts w:ascii="Times New Roman" w:eastAsia="宋体"/>
                <w:snapToGrid w:val="0"/>
                <w:color w:val="auto"/>
                <w:spacing w:val="-16"/>
                <w:kern w:val="21"/>
                <w:szCs w:val="21"/>
              </w:rPr>
              <w:fldChar w:fldCharType="begin"/>
            </w:r>
            <w:r>
              <w:rPr>
                <w:rFonts w:ascii="Times New Roman" w:eastAsia="宋体"/>
                <w:snapToGrid w:val="0"/>
                <w:color w:val="auto"/>
                <w:spacing w:val="-16"/>
                <w:kern w:val="21"/>
                <w:szCs w:val="21"/>
              </w:rPr>
              <w:instrText xml:space="preserve"> = 5 \* GB3 \* MERGEFORMAT </w:instrText>
            </w:r>
            <w:r>
              <w:rPr>
                <w:rFonts w:ascii="Times New Roman" w:eastAsia="宋体"/>
                <w:snapToGrid w:val="0"/>
                <w:color w:val="auto"/>
                <w:spacing w:val="-16"/>
                <w:kern w:val="21"/>
                <w:szCs w:val="21"/>
              </w:rPr>
              <w:fldChar w:fldCharType="separate"/>
            </w:r>
            <w:r>
              <w:rPr>
                <w:rFonts w:ascii="Times New Roman" w:eastAsia="宋体"/>
                <w:color w:val="auto"/>
                <w:kern w:val="2"/>
                <w:szCs w:val="21"/>
              </w:rPr>
              <w:t>⑤</w:t>
            </w:r>
            <w:r>
              <w:rPr>
                <w:rFonts w:ascii="Times New Roman" w:eastAsia="宋体"/>
                <w:snapToGrid w:val="0"/>
                <w:color w:val="auto"/>
                <w:spacing w:val="-16"/>
                <w:kern w:val="21"/>
                <w:szCs w:val="21"/>
              </w:rPr>
              <w:fldChar w:fldCharType="end"/>
            </w:r>
          </w:p>
        </w:tc>
        <w:tc>
          <w:tcPr>
            <w:tcW w:w="1625" w:type="dxa"/>
            <w:noWrap w:val="0"/>
            <w:tcMar>
              <w:left w:w="28" w:type="dxa"/>
              <w:right w:w="28" w:type="dxa"/>
            </w:tcMar>
            <w:vAlign w:val="center"/>
          </w:tcPr>
          <w:p w14:paraId="4B68714F">
            <w:pPr>
              <w:pStyle w:val="53"/>
              <w:spacing w:beforeLines="0" w:afterLines="0" w:line="240" w:lineRule="auto"/>
              <w:ind w:left="356" w:hanging="356"/>
              <w:rPr>
                <w:rFonts w:ascii="Times New Roman" w:eastAsia="宋体"/>
                <w:snapToGrid w:val="0"/>
                <w:color w:val="auto"/>
                <w:spacing w:val="-16"/>
                <w:kern w:val="21"/>
                <w:szCs w:val="21"/>
              </w:rPr>
            </w:pPr>
            <w:r>
              <w:rPr>
                <w:rFonts w:ascii="Times New Roman" w:eastAsia="宋体"/>
                <w:snapToGrid w:val="0"/>
                <w:color w:val="auto"/>
                <w:spacing w:val="-16"/>
                <w:kern w:val="21"/>
                <w:szCs w:val="21"/>
              </w:rPr>
              <w:t>本项目建成后</w:t>
            </w:r>
          </w:p>
          <w:p w14:paraId="25753513">
            <w:pPr>
              <w:pStyle w:val="53"/>
              <w:spacing w:beforeLines="0" w:afterLines="0" w:line="240" w:lineRule="auto"/>
              <w:ind w:left="356" w:hanging="356"/>
              <w:rPr>
                <w:rFonts w:ascii="Times New Roman" w:eastAsia="宋体"/>
                <w:snapToGrid w:val="0"/>
                <w:color w:val="auto"/>
                <w:spacing w:val="-16"/>
                <w:kern w:val="21"/>
                <w:szCs w:val="21"/>
              </w:rPr>
            </w:pPr>
            <w:r>
              <w:rPr>
                <w:rFonts w:ascii="Times New Roman" w:eastAsia="宋体"/>
                <w:snapToGrid w:val="0"/>
                <w:color w:val="auto"/>
                <w:spacing w:val="-16"/>
                <w:kern w:val="21"/>
                <w:szCs w:val="21"/>
              </w:rPr>
              <w:t>全厂排放量（固体废物产生量）</w:t>
            </w:r>
            <w:r>
              <w:rPr>
                <w:rFonts w:ascii="Times New Roman" w:eastAsia="宋体"/>
                <w:snapToGrid w:val="0"/>
                <w:color w:val="auto"/>
                <w:spacing w:val="-16"/>
                <w:kern w:val="21"/>
                <w:szCs w:val="21"/>
              </w:rPr>
              <w:fldChar w:fldCharType="begin"/>
            </w:r>
            <w:r>
              <w:rPr>
                <w:rFonts w:ascii="Times New Roman" w:eastAsia="宋体"/>
                <w:snapToGrid w:val="0"/>
                <w:color w:val="auto"/>
                <w:spacing w:val="-16"/>
                <w:kern w:val="21"/>
                <w:szCs w:val="21"/>
              </w:rPr>
              <w:instrText xml:space="preserve"> = 6 \* GB3 \* MERGEFORMAT </w:instrText>
            </w:r>
            <w:r>
              <w:rPr>
                <w:rFonts w:ascii="Times New Roman" w:eastAsia="宋体"/>
                <w:snapToGrid w:val="0"/>
                <w:color w:val="auto"/>
                <w:spacing w:val="-16"/>
                <w:kern w:val="21"/>
                <w:szCs w:val="21"/>
              </w:rPr>
              <w:fldChar w:fldCharType="separate"/>
            </w:r>
            <w:r>
              <w:rPr>
                <w:rFonts w:ascii="Times New Roman" w:eastAsia="宋体"/>
                <w:color w:val="auto"/>
                <w:kern w:val="2"/>
                <w:szCs w:val="21"/>
              </w:rPr>
              <w:t>⑥</w:t>
            </w:r>
            <w:r>
              <w:rPr>
                <w:rFonts w:ascii="Times New Roman" w:eastAsia="宋体"/>
                <w:snapToGrid w:val="0"/>
                <w:color w:val="auto"/>
                <w:spacing w:val="-16"/>
                <w:kern w:val="21"/>
                <w:szCs w:val="21"/>
              </w:rPr>
              <w:fldChar w:fldCharType="end"/>
            </w:r>
          </w:p>
        </w:tc>
        <w:tc>
          <w:tcPr>
            <w:tcW w:w="1398" w:type="dxa"/>
            <w:noWrap w:val="0"/>
            <w:tcMar>
              <w:left w:w="28" w:type="dxa"/>
              <w:right w:w="28" w:type="dxa"/>
            </w:tcMar>
            <w:vAlign w:val="center"/>
          </w:tcPr>
          <w:p w14:paraId="43698E15">
            <w:pPr>
              <w:pStyle w:val="53"/>
              <w:spacing w:beforeLines="0" w:afterLines="0" w:line="240" w:lineRule="auto"/>
              <w:ind w:left="396" w:hanging="396"/>
              <w:rPr>
                <w:rFonts w:ascii="Times New Roman" w:eastAsia="宋体"/>
                <w:snapToGrid w:val="0"/>
                <w:color w:val="auto"/>
                <w:spacing w:val="-6"/>
                <w:kern w:val="21"/>
                <w:szCs w:val="21"/>
              </w:rPr>
            </w:pPr>
            <w:r>
              <w:rPr>
                <w:rFonts w:ascii="Times New Roman" w:eastAsia="宋体"/>
                <w:snapToGrid w:val="0"/>
                <w:color w:val="auto"/>
                <w:spacing w:val="-6"/>
                <w:kern w:val="21"/>
                <w:szCs w:val="21"/>
              </w:rPr>
              <w:t>变化量</w:t>
            </w:r>
          </w:p>
          <w:p w14:paraId="2B19A9C9">
            <w:pPr>
              <w:pStyle w:val="53"/>
              <w:spacing w:beforeLines="0" w:afterLines="0" w:line="240" w:lineRule="auto"/>
              <w:ind w:left="420" w:hanging="420"/>
              <w:rPr>
                <w:rFonts w:ascii="Times New Roman" w:eastAsia="宋体"/>
                <w:snapToGrid w:val="0"/>
                <w:color w:val="auto"/>
                <w:spacing w:val="-6"/>
                <w:kern w:val="21"/>
                <w:szCs w:val="21"/>
              </w:rPr>
            </w:pPr>
            <w:r>
              <w:rPr>
                <w:rFonts w:ascii="Times New Roman" w:eastAsia="宋体"/>
                <w:snapToGrid w:val="0"/>
                <w:color w:val="auto"/>
                <w:spacing w:val="-6"/>
                <w:kern w:val="21"/>
                <w:szCs w:val="21"/>
              </w:rPr>
              <w:fldChar w:fldCharType="begin"/>
            </w:r>
            <w:r>
              <w:rPr>
                <w:rFonts w:ascii="Times New Roman" w:eastAsia="宋体"/>
                <w:snapToGrid w:val="0"/>
                <w:color w:val="auto"/>
                <w:spacing w:val="-6"/>
                <w:kern w:val="21"/>
                <w:szCs w:val="21"/>
              </w:rPr>
              <w:instrText xml:space="preserve"> = 7 \* GB3 \* MERGEFORMAT </w:instrText>
            </w:r>
            <w:r>
              <w:rPr>
                <w:rFonts w:ascii="Times New Roman" w:eastAsia="宋体"/>
                <w:snapToGrid w:val="0"/>
                <w:color w:val="auto"/>
                <w:spacing w:val="-6"/>
                <w:kern w:val="21"/>
                <w:szCs w:val="21"/>
              </w:rPr>
              <w:fldChar w:fldCharType="separate"/>
            </w:r>
            <w:r>
              <w:rPr>
                <w:rFonts w:ascii="Times New Roman" w:eastAsia="宋体"/>
                <w:color w:val="auto"/>
                <w:kern w:val="2"/>
                <w:szCs w:val="21"/>
              </w:rPr>
              <w:t>⑦</w:t>
            </w:r>
            <w:r>
              <w:rPr>
                <w:rFonts w:ascii="Times New Roman" w:eastAsia="宋体"/>
                <w:snapToGrid w:val="0"/>
                <w:color w:val="auto"/>
                <w:spacing w:val="-6"/>
                <w:kern w:val="21"/>
                <w:szCs w:val="21"/>
              </w:rPr>
              <w:fldChar w:fldCharType="end"/>
            </w:r>
          </w:p>
        </w:tc>
      </w:tr>
      <w:tr w14:paraId="0FA2B9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2" w:type="dxa"/>
            <w:vMerge w:val="restart"/>
            <w:noWrap w:val="0"/>
            <w:vAlign w:val="center"/>
          </w:tcPr>
          <w:p w14:paraId="130D5586">
            <w:pPr>
              <w:pStyle w:val="53"/>
              <w:spacing w:beforeLines="0" w:afterLines="0" w:line="240" w:lineRule="auto"/>
              <w:ind w:left="420" w:hanging="420"/>
              <w:rPr>
                <w:rFonts w:ascii="Times New Roman" w:eastAsia="宋体"/>
                <w:snapToGrid w:val="0"/>
                <w:color w:val="auto"/>
                <w:kern w:val="21"/>
                <w:szCs w:val="21"/>
              </w:rPr>
            </w:pPr>
            <w:r>
              <w:rPr>
                <w:rFonts w:ascii="Times New Roman" w:eastAsia="宋体"/>
                <w:snapToGrid w:val="0"/>
                <w:color w:val="auto"/>
                <w:kern w:val="21"/>
                <w:szCs w:val="21"/>
              </w:rPr>
              <w:t>废气</w:t>
            </w:r>
          </w:p>
        </w:tc>
        <w:tc>
          <w:tcPr>
            <w:tcW w:w="1998" w:type="dxa"/>
            <w:noWrap w:val="0"/>
            <w:vAlign w:val="center"/>
          </w:tcPr>
          <w:p w14:paraId="71BC669E">
            <w:pPr>
              <w:pStyle w:val="53"/>
              <w:spacing w:beforeLines="0" w:afterLines="0" w:line="240" w:lineRule="auto"/>
              <w:ind w:left="420" w:hanging="420"/>
              <w:rPr>
                <w:rFonts w:ascii="Times New Roman" w:eastAsia="宋体"/>
                <w:color w:val="auto"/>
                <w:szCs w:val="21"/>
              </w:rPr>
            </w:pPr>
            <w:r>
              <w:rPr>
                <w:rFonts w:ascii="Times New Roman" w:eastAsia="宋体"/>
                <w:color w:val="auto"/>
                <w:szCs w:val="21"/>
              </w:rPr>
              <w:t>NMHC</w:t>
            </w:r>
          </w:p>
        </w:tc>
        <w:tc>
          <w:tcPr>
            <w:tcW w:w="1575" w:type="dxa"/>
            <w:noWrap w:val="0"/>
            <w:vAlign w:val="center"/>
          </w:tcPr>
          <w:p w14:paraId="7B401125">
            <w:pPr>
              <w:pStyle w:val="53"/>
              <w:spacing w:beforeLines="0" w:afterLines="0" w:line="240" w:lineRule="auto"/>
              <w:ind w:left="420" w:hanging="420"/>
              <w:rPr>
                <w:rFonts w:ascii="Times New Roman" w:eastAsia="宋体"/>
                <w:snapToGrid w:val="0"/>
                <w:color w:val="auto"/>
                <w:kern w:val="21"/>
                <w:szCs w:val="21"/>
              </w:rPr>
            </w:pPr>
            <w:r>
              <w:rPr>
                <w:rFonts w:ascii="Times New Roman" w:eastAsia="宋体"/>
                <w:color w:val="auto"/>
              </w:rPr>
              <w:t>0</w:t>
            </w:r>
          </w:p>
        </w:tc>
        <w:tc>
          <w:tcPr>
            <w:tcW w:w="1110" w:type="dxa"/>
            <w:noWrap w:val="0"/>
            <w:vAlign w:val="center"/>
          </w:tcPr>
          <w:p w14:paraId="32790737">
            <w:pPr>
              <w:pStyle w:val="53"/>
              <w:spacing w:beforeLines="0" w:afterLines="0" w:line="240" w:lineRule="auto"/>
              <w:ind w:left="420" w:hanging="420"/>
              <w:rPr>
                <w:rFonts w:ascii="Times New Roman" w:eastAsia="宋体"/>
                <w:snapToGrid w:val="0"/>
                <w:color w:val="auto"/>
                <w:kern w:val="21"/>
                <w:szCs w:val="21"/>
              </w:rPr>
            </w:pPr>
            <w:r>
              <w:rPr>
                <w:rFonts w:ascii="Times New Roman" w:eastAsia="宋体"/>
                <w:snapToGrid w:val="0"/>
                <w:color w:val="auto"/>
                <w:kern w:val="21"/>
                <w:szCs w:val="21"/>
              </w:rPr>
              <w:t>/</w:t>
            </w:r>
          </w:p>
        </w:tc>
        <w:tc>
          <w:tcPr>
            <w:tcW w:w="1590" w:type="dxa"/>
            <w:noWrap w:val="0"/>
            <w:vAlign w:val="center"/>
          </w:tcPr>
          <w:p w14:paraId="50CD42CB">
            <w:pPr>
              <w:pStyle w:val="53"/>
              <w:spacing w:beforeLines="0" w:afterLines="0" w:line="240" w:lineRule="auto"/>
              <w:ind w:left="420" w:hanging="420"/>
              <w:rPr>
                <w:rFonts w:ascii="Times New Roman" w:eastAsia="宋体"/>
                <w:snapToGrid w:val="0"/>
                <w:color w:val="auto"/>
                <w:kern w:val="21"/>
                <w:szCs w:val="21"/>
              </w:rPr>
            </w:pPr>
            <w:r>
              <w:rPr>
                <w:rFonts w:ascii="Times New Roman" w:eastAsia="宋体"/>
                <w:color w:val="auto"/>
              </w:rPr>
              <w:t>0</w:t>
            </w:r>
          </w:p>
        </w:tc>
        <w:tc>
          <w:tcPr>
            <w:tcW w:w="1665" w:type="dxa"/>
            <w:noWrap w:val="0"/>
            <w:vAlign w:val="center"/>
          </w:tcPr>
          <w:p w14:paraId="04A0535A">
            <w:pPr>
              <w:pStyle w:val="53"/>
              <w:spacing w:beforeLines="0" w:afterLines="0" w:line="240" w:lineRule="auto"/>
              <w:ind w:left="420" w:hanging="420"/>
              <w:rPr>
                <w:rFonts w:ascii="Times New Roman" w:eastAsia="宋体"/>
                <w:color w:val="auto"/>
              </w:rPr>
            </w:pPr>
            <w:r>
              <w:rPr>
                <w:rFonts w:hint="eastAsia" w:ascii="Times New Roman" w:eastAsia="宋体"/>
                <w:color w:val="auto"/>
                <w:lang w:val="en-US" w:eastAsia="zh-CN"/>
              </w:rPr>
              <w:t>0.414</w:t>
            </w:r>
            <w:r>
              <w:rPr>
                <w:rFonts w:ascii="Times New Roman" w:eastAsia="宋体"/>
                <w:color w:val="auto"/>
              </w:rPr>
              <w:t>t/a</w:t>
            </w:r>
          </w:p>
        </w:tc>
        <w:tc>
          <w:tcPr>
            <w:tcW w:w="1665" w:type="dxa"/>
            <w:noWrap w:val="0"/>
            <w:vAlign w:val="center"/>
          </w:tcPr>
          <w:p w14:paraId="01C40EB6">
            <w:pPr>
              <w:pStyle w:val="53"/>
              <w:spacing w:beforeLines="0" w:afterLines="0" w:line="240" w:lineRule="auto"/>
              <w:ind w:left="420" w:hanging="420"/>
              <w:rPr>
                <w:rFonts w:ascii="Times New Roman" w:eastAsia="宋体"/>
                <w:color w:val="auto"/>
              </w:rPr>
            </w:pPr>
            <w:r>
              <w:rPr>
                <w:rFonts w:ascii="Times New Roman" w:eastAsia="宋体"/>
                <w:color w:val="auto"/>
              </w:rPr>
              <w:t>0</w:t>
            </w:r>
          </w:p>
        </w:tc>
        <w:tc>
          <w:tcPr>
            <w:tcW w:w="1625" w:type="dxa"/>
            <w:noWrap w:val="0"/>
            <w:vAlign w:val="center"/>
          </w:tcPr>
          <w:p w14:paraId="1E0BB921">
            <w:pPr>
              <w:pStyle w:val="53"/>
              <w:spacing w:beforeLines="0" w:afterLines="0" w:line="240" w:lineRule="auto"/>
              <w:ind w:left="420" w:hanging="420"/>
              <w:rPr>
                <w:rFonts w:ascii="Times New Roman" w:eastAsia="宋体"/>
                <w:color w:val="auto"/>
              </w:rPr>
            </w:pPr>
            <w:r>
              <w:rPr>
                <w:rFonts w:hint="eastAsia" w:ascii="Times New Roman" w:eastAsia="宋体"/>
                <w:color w:val="auto"/>
                <w:lang w:val="en-US" w:eastAsia="zh-CN"/>
              </w:rPr>
              <w:t>0.414</w:t>
            </w:r>
            <w:r>
              <w:rPr>
                <w:rFonts w:ascii="Times New Roman" w:eastAsia="宋体"/>
                <w:color w:val="auto"/>
              </w:rPr>
              <w:t>t/a</w:t>
            </w:r>
          </w:p>
        </w:tc>
        <w:tc>
          <w:tcPr>
            <w:tcW w:w="1398" w:type="dxa"/>
            <w:noWrap w:val="0"/>
            <w:vAlign w:val="center"/>
          </w:tcPr>
          <w:p w14:paraId="755936F1">
            <w:pPr>
              <w:pStyle w:val="53"/>
              <w:spacing w:beforeLines="0" w:afterLines="0" w:line="240" w:lineRule="auto"/>
              <w:ind w:left="420" w:hanging="420"/>
              <w:rPr>
                <w:rFonts w:ascii="Times New Roman" w:eastAsia="宋体"/>
                <w:color w:val="auto"/>
              </w:rPr>
            </w:pPr>
            <w:r>
              <w:rPr>
                <w:rFonts w:ascii="Times New Roman" w:eastAsia="宋体"/>
                <w:color w:val="auto"/>
                <w:szCs w:val="21"/>
              </w:rPr>
              <w:t>+</w:t>
            </w:r>
            <w:r>
              <w:rPr>
                <w:rFonts w:hint="eastAsia" w:ascii="Times New Roman" w:eastAsia="宋体"/>
                <w:color w:val="auto"/>
                <w:lang w:val="en-US" w:eastAsia="zh-CN"/>
              </w:rPr>
              <w:t>0.414</w:t>
            </w:r>
            <w:r>
              <w:rPr>
                <w:rFonts w:ascii="Times New Roman" w:eastAsia="宋体"/>
                <w:color w:val="auto"/>
              </w:rPr>
              <w:t>t/a</w:t>
            </w:r>
          </w:p>
        </w:tc>
      </w:tr>
      <w:tr w14:paraId="6731F4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2" w:type="dxa"/>
            <w:vMerge w:val="continue"/>
            <w:noWrap w:val="0"/>
            <w:vAlign w:val="center"/>
          </w:tcPr>
          <w:p w14:paraId="61911733">
            <w:pPr>
              <w:pStyle w:val="53"/>
              <w:spacing w:beforeLines="0" w:afterLines="0" w:line="240" w:lineRule="auto"/>
              <w:ind w:left="420" w:hanging="420"/>
              <w:rPr>
                <w:rFonts w:ascii="Times New Roman" w:eastAsia="宋体"/>
                <w:snapToGrid w:val="0"/>
                <w:color w:val="auto"/>
                <w:kern w:val="21"/>
                <w:szCs w:val="21"/>
              </w:rPr>
            </w:pPr>
          </w:p>
        </w:tc>
        <w:tc>
          <w:tcPr>
            <w:tcW w:w="1998" w:type="dxa"/>
            <w:noWrap w:val="0"/>
            <w:vAlign w:val="center"/>
          </w:tcPr>
          <w:p w14:paraId="5E8EE351">
            <w:pPr>
              <w:pStyle w:val="53"/>
              <w:spacing w:beforeLines="0" w:afterLines="0" w:line="240" w:lineRule="auto"/>
              <w:ind w:left="420" w:hanging="420"/>
              <w:rPr>
                <w:rFonts w:ascii="Times New Roman" w:eastAsia="宋体"/>
                <w:snapToGrid w:val="0"/>
                <w:color w:val="auto"/>
                <w:kern w:val="21"/>
                <w:szCs w:val="21"/>
              </w:rPr>
            </w:pPr>
            <w:r>
              <w:rPr>
                <w:rFonts w:ascii="Times New Roman" w:eastAsia="宋体"/>
                <w:color w:val="auto"/>
                <w:szCs w:val="21"/>
              </w:rPr>
              <w:t>颗粒物</w:t>
            </w:r>
          </w:p>
        </w:tc>
        <w:tc>
          <w:tcPr>
            <w:tcW w:w="1575" w:type="dxa"/>
            <w:noWrap w:val="0"/>
            <w:vAlign w:val="center"/>
          </w:tcPr>
          <w:p w14:paraId="633AA572">
            <w:pPr>
              <w:pStyle w:val="53"/>
              <w:spacing w:beforeLines="0" w:afterLines="0" w:line="240" w:lineRule="auto"/>
              <w:ind w:left="420" w:hanging="420"/>
              <w:rPr>
                <w:rFonts w:ascii="Times New Roman" w:eastAsia="宋体"/>
                <w:snapToGrid w:val="0"/>
                <w:color w:val="auto"/>
                <w:kern w:val="21"/>
                <w:szCs w:val="21"/>
              </w:rPr>
            </w:pPr>
            <w:r>
              <w:rPr>
                <w:rFonts w:ascii="Times New Roman" w:eastAsia="宋体"/>
                <w:snapToGrid w:val="0"/>
                <w:color w:val="auto"/>
                <w:kern w:val="21"/>
                <w:szCs w:val="21"/>
              </w:rPr>
              <w:t>0</w:t>
            </w:r>
          </w:p>
        </w:tc>
        <w:tc>
          <w:tcPr>
            <w:tcW w:w="1110" w:type="dxa"/>
            <w:noWrap w:val="0"/>
            <w:vAlign w:val="center"/>
          </w:tcPr>
          <w:p w14:paraId="7E30D543">
            <w:pPr>
              <w:pStyle w:val="53"/>
              <w:spacing w:beforeLines="0" w:afterLines="0" w:line="240" w:lineRule="auto"/>
              <w:ind w:left="420" w:hanging="420"/>
              <w:rPr>
                <w:rFonts w:ascii="Times New Roman" w:eastAsia="宋体"/>
                <w:snapToGrid w:val="0"/>
                <w:color w:val="auto"/>
                <w:kern w:val="21"/>
                <w:szCs w:val="21"/>
              </w:rPr>
            </w:pPr>
            <w:r>
              <w:rPr>
                <w:rFonts w:ascii="Times New Roman" w:eastAsia="宋体"/>
                <w:snapToGrid w:val="0"/>
                <w:color w:val="auto"/>
                <w:kern w:val="21"/>
                <w:szCs w:val="21"/>
              </w:rPr>
              <w:t>/</w:t>
            </w:r>
          </w:p>
        </w:tc>
        <w:tc>
          <w:tcPr>
            <w:tcW w:w="1590" w:type="dxa"/>
            <w:noWrap w:val="0"/>
            <w:vAlign w:val="center"/>
          </w:tcPr>
          <w:p w14:paraId="50CD5C61">
            <w:pPr>
              <w:pStyle w:val="53"/>
              <w:spacing w:beforeLines="0" w:afterLines="0" w:line="240" w:lineRule="auto"/>
              <w:ind w:left="420" w:hanging="420"/>
              <w:rPr>
                <w:rFonts w:ascii="Times New Roman" w:eastAsia="宋体"/>
                <w:color w:val="auto"/>
              </w:rPr>
            </w:pPr>
            <w:r>
              <w:rPr>
                <w:rFonts w:ascii="Times New Roman" w:eastAsia="宋体"/>
                <w:snapToGrid w:val="0"/>
                <w:color w:val="auto"/>
                <w:kern w:val="21"/>
                <w:szCs w:val="21"/>
              </w:rPr>
              <w:t>0</w:t>
            </w:r>
          </w:p>
        </w:tc>
        <w:tc>
          <w:tcPr>
            <w:tcW w:w="1665" w:type="dxa"/>
            <w:noWrap w:val="0"/>
            <w:vAlign w:val="center"/>
          </w:tcPr>
          <w:p w14:paraId="2069CD7D">
            <w:pPr>
              <w:pStyle w:val="53"/>
              <w:spacing w:beforeLines="0" w:afterLines="0" w:line="240" w:lineRule="auto"/>
              <w:ind w:left="420" w:hanging="420"/>
              <w:rPr>
                <w:rFonts w:ascii="Times New Roman" w:eastAsia="宋体"/>
                <w:color w:val="auto"/>
              </w:rPr>
            </w:pPr>
            <w:r>
              <w:rPr>
                <w:rFonts w:hint="eastAsia" w:ascii="Times New Roman" w:eastAsia="宋体"/>
                <w:snapToGrid w:val="0"/>
                <w:color w:val="auto"/>
                <w:kern w:val="21"/>
                <w:szCs w:val="21"/>
              </w:rPr>
              <w:t>0.</w:t>
            </w:r>
            <w:r>
              <w:rPr>
                <w:rFonts w:hint="eastAsia" w:ascii="Times New Roman" w:eastAsia="宋体"/>
                <w:snapToGrid w:val="0"/>
                <w:color w:val="auto"/>
                <w:kern w:val="21"/>
                <w:szCs w:val="21"/>
                <w:lang w:val="en-US" w:eastAsia="zh-CN"/>
              </w:rPr>
              <w:t>0228</w:t>
            </w:r>
            <w:r>
              <w:rPr>
                <w:rFonts w:ascii="Times New Roman" w:eastAsia="宋体"/>
                <w:snapToGrid w:val="0"/>
                <w:color w:val="auto"/>
                <w:kern w:val="21"/>
                <w:szCs w:val="21"/>
              </w:rPr>
              <w:t>t/a</w:t>
            </w:r>
          </w:p>
        </w:tc>
        <w:tc>
          <w:tcPr>
            <w:tcW w:w="1665" w:type="dxa"/>
            <w:noWrap w:val="0"/>
            <w:vAlign w:val="top"/>
          </w:tcPr>
          <w:p w14:paraId="437FCD89">
            <w:pPr>
              <w:pStyle w:val="53"/>
              <w:spacing w:beforeLines="0" w:afterLines="0" w:line="240" w:lineRule="auto"/>
              <w:ind w:left="420" w:hanging="420"/>
              <w:rPr>
                <w:rFonts w:ascii="Times New Roman" w:eastAsia="宋体"/>
                <w:snapToGrid w:val="0"/>
                <w:color w:val="auto"/>
                <w:kern w:val="21"/>
                <w:szCs w:val="21"/>
              </w:rPr>
            </w:pPr>
            <w:r>
              <w:rPr>
                <w:rFonts w:ascii="Times New Roman" w:eastAsia="宋体"/>
                <w:snapToGrid w:val="0"/>
                <w:color w:val="auto"/>
                <w:kern w:val="21"/>
                <w:szCs w:val="21"/>
              </w:rPr>
              <w:t>0</w:t>
            </w:r>
          </w:p>
        </w:tc>
        <w:tc>
          <w:tcPr>
            <w:tcW w:w="1625" w:type="dxa"/>
            <w:noWrap w:val="0"/>
            <w:vAlign w:val="center"/>
          </w:tcPr>
          <w:p w14:paraId="471EBB5C">
            <w:pPr>
              <w:pStyle w:val="53"/>
              <w:spacing w:beforeLines="0" w:afterLines="0" w:line="240" w:lineRule="auto"/>
              <w:ind w:left="420" w:hanging="420"/>
              <w:rPr>
                <w:rFonts w:ascii="Times New Roman" w:eastAsia="宋体"/>
                <w:snapToGrid w:val="0"/>
                <w:color w:val="auto"/>
                <w:kern w:val="21"/>
                <w:szCs w:val="21"/>
              </w:rPr>
            </w:pPr>
            <w:r>
              <w:rPr>
                <w:rFonts w:hint="eastAsia" w:ascii="Times New Roman" w:eastAsia="宋体"/>
                <w:snapToGrid w:val="0"/>
                <w:color w:val="auto"/>
                <w:kern w:val="21"/>
                <w:szCs w:val="21"/>
              </w:rPr>
              <w:t>0.</w:t>
            </w:r>
            <w:r>
              <w:rPr>
                <w:rFonts w:hint="eastAsia" w:ascii="Times New Roman" w:eastAsia="宋体"/>
                <w:snapToGrid w:val="0"/>
                <w:color w:val="auto"/>
                <w:kern w:val="21"/>
                <w:szCs w:val="21"/>
                <w:lang w:val="en-US" w:eastAsia="zh-CN"/>
              </w:rPr>
              <w:t>0228</w:t>
            </w:r>
            <w:r>
              <w:rPr>
                <w:rFonts w:ascii="Times New Roman" w:eastAsia="宋体"/>
                <w:snapToGrid w:val="0"/>
                <w:color w:val="auto"/>
                <w:kern w:val="21"/>
                <w:szCs w:val="21"/>
              </w:rPr>
              <w:t>t/a</w:t>
            </w:r>
          </w:p>
        </w:tc>
        <w:tc>
          <w:tcPr>
            <w:tcW w:w="1398" w:type="dxa"/>
            <w:noWrap w:val="0"/>
            <w:vAlign w:val="center"/>
          </w:tcPr>
          <w:p w14:paraId="2409F95D">
            <w:pPr>
              <w:pStyle w:val="53"/>
              <w:spacing w:beforeLines="0" w:afterLines="0" w:line="240" w:lineRule="auto"/>
              <w:ind w:left="420" w:hanging="420"/>
              <w:rPr>
                <w:rFonts w:ascii="Times New Roman" w:eastAsia="宋体"/>
                <w:color w:val="auto"/>
              </w:rPr>
            </w:pPr>
            <w:r>
              <w:rPr>
                <w:rFonts w:ascii="Times New Roman" w:eastAsia="宋体"/>
                <w:color w:val="auto"/>
                <w:szCs w:val="21"/>
              </w:rPr>
              <w:t>+</w:t>
            </w:r>
            <w:r>
              <w:rPr>
                <w:rFonts w:hint="eastAsia" w:ascii="Times New Roman" w:eastAsia="宋体"/>
                <w:snapToGrid w:val="0"/>
                <w:color w:val="auto"/>
                <w:kern w:val="21"/>
                <w:szCs w:val="21"/>
              </w:rPr>
              <w:t>0.</w:t>
            </w:r>
            <w:r>
              <w:rPr>
                <w:rFonts w:hint="eastAsia" w:ascii="Times New Roman" w:eastAsia="宋体"/>
                <w:snapToGrid w:val="0"/>
                <w:color w:val="auto"/>
                <w:kern w:val="21"/>
                <w:szCs w:val="21"/>
                <w:lang w:val="en-US" w:eastAsia="zh-CN"/>
              </w:rPr>
              <w:t>0228</w:t>
            </w:r>
            <w:r>
              <w:rPr>
                <w:rFonts w:ascii="Times New Roman" w:eastAsia="宋体"/>
                <w:snapToGrid w:val="0"/>
                <w:color w:val="auto"/>
                <w:kern w:val="21"/>
                <w:szCs w:val="21"/>
              </w:rPr>
              <w:t>t/a</w:t>
            </w:r>
          </w:p>
        </w:tc>
      </w:tr>
      <w:tr w14:paraId="48CA71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2" w:type="dxa"/>
            <w:vMerge w:val="continue"/>
            <w:noWrap w:val="0"/>
            <w:vAlign w:val="center"/>
          </w:tcPr>
          <w:p w14:paraId="2A67ECBE">
            <w:pPr>
              <w:pStyle w:val="53"/>
              <w:spacing w:beforeLines="0" w:afterLines="0" w:line="240" w:lineRule="auto"/>
              <w:ind w:left="420" w:hanging="420"/>
              <w:rPr>
                <w:rFonts w:ascii="Times New Roman" w:eastAsia="宋体"/>
                <w:snapToGrid w:val="0"/>
                <w:color w:val="auto"/>
                <w:kern w:val="21"/>
                <w:szCs w:val="21"/>
              </w:rPr>
            </w:pPr>
          </w:p>
        </w:tc>
        <w:tc>
          <w:tcPr>
            <w:tcW w:w="1998" w:type="dxa"/>
            <w:noWrap w:val="0"/>
            <w:vAlign w:val="center"/>
          </w:tcPr>
          <w:p w14:paraId="0E261CDC">
            <w:pPr>
              <w:pStyle w:val="53"/>
              <w:spacing w:beforeLines="0" w:afterLines="0" w:line="240" w:lineRule="auto"/>
              <w:ind w:left="420" w:hanging="420"/>
              <w:rPr>
                <w:rFonts w:ascii="Times New Roman" w:eastAsia="宋体"/>
                <w:color w:val="auto"/>
                <w:szCs w:val="21"/>
              </w:rPr>
            </w:pPr>
            <w:r>
              <w:rPr>
                <w:rFonts w:ascii="Times New Roman" w:eastAsia="宋体"/>
                <w:color w:val="auto"/>
                <w:szCs w:val="21"/>
              </w:rPr>
              <w:t>甲苯</w:t>
            </w:r>
          </w:p>
        </w:tc>
        <w:tc>
          <w:tcPr>
            <w:tcW w:w="1575" w:type="dxa"/>
            <w:noWrap w:val="0"/>
            <w:vAlign w:val="center"/>
          </w:tcPr>
          <w:p w14:paraId="7D482DC3">
            <w:pPr>
              <w:pStyle w:val="53"/>
              <w:spacing w:beforeLines="0" w:afterLines="0" w:line="240" w:lineRule="auto"/>
              <w:ind w:left="420" w:hanging="420"/>
              <w:rPr>
                <w:rFonts w:ascii="Times New Roman" w:eastAsia="宋体"/>
                <w:snapToGrid w:val="0"/>
                <w:color w:val="auto"/>
                <w:kern w:val="21"/>
                <w:szCs w:val="21"/>
              </w:rPr>
            </w:pPr>
            <w:r>
              <w:rPr>
                <w:rFonts w:ascii="Times New Roman" w:eastAsia="宋体"/>
                <w:snapToGrid w:val="0"/>
                <w:color w:val="auto"/>
                <w:kern w:val="21"/>
                <w:szCs w:val="21"/>
              </w:rPr>
              <w:t>0</w:t>
            </w:r>
          </w:p>
        </w:tc>
        <w:tc>
          <w:tcPr>
            <w:tcW w:w="1110" w:type="dxa"/>
            <w:noWrap w:val="0"/>
            <w:vAlign w:val="center"/>
          </w:tcPr>
          <w:p w14:paraId="159C7B8A">
            <w:pPr>
              <w:pStyle w:val="53"/>
              <w:spacing w:beforeLines="0" w:afterLines="0" w:line="240" w:lineRule="auto"/>
              <w:ind w:left="420" w:hanging="420"/>
              <w:rPr>
                <w:rFonts w:ascii="Times New Roman" w:eastAsia="宋体"/>
                <w:snapToGrid w:val="0"/>
                <w:color w:val="auto"/>
                <w:kern w:val="21"/>
                <w:szCs w:val="21"/>
              </w:rPr>
            </w:pPr>
            <w:r>
              <w:rPr>
                <w:rFonts w:ascii="Times New Roman" w:eastAsia="宋体"/>
                <w:snapToGrid w:val="0"/>
                <w:color w:val="auto"/>
                <w:kern w:val="21"/>
                <w:szCs w:val="21"/>
              </w:rPr>
              <w:t>/</w:t>
            </w:r>
          </w:p>
        </w:tc>
        <w:tc>
          <w:tcPr>
            <w:tcW w:w="1590" w:type="dxa"/>
            <w:noWrap w:val="0"/>
            <w:vAlign w:val="center"/>
          </w:tcPr>
          <w:p w14:paraId="64E76270">
            <w:pPr>
              <w:pStyle w:val="53"/>
              <w:spacing w:beforeLines="0" w:afterLines="0" w:line="240" w:lineRule="auto"/>
              <w:ind w:left="420" w:hanging="420"/>
              <w:rPr>
                <w:rFonts w:ascii="Times New Roman" w:eastAsia="宋体"/>
                <w:color w:val="auto"/>
              </w:rPr>
            </w:pPr>
            <w:r>
              <w:rPr>
                <w:rFonts w:ascii="Times New Roman" w:eastAsia="宋体"/>
                <w:snapToGrid w:val="0"/>
                <w:color w:val="auto"/>
                <w:kern w:val="21"/>
                <w:szCs w:val="21"/>
              </w:rPr>
              <w:t>0</w:t>
            </w:r>
          </w:p>
        </w:tc>
        <w:tc>
          <w:tcPr>
            <w:tcW w:w="1665" w:type="dxa"/>
            <w:noWrap w:val="0"/>
            <w:vAlign w:val="center"/>
          </w:tcPr>
          <w:p w14:paraId="4A07E5B4">
            <w:pPr>
              <w:pStyle w:val="53"/>
              <w:spacing w:beforeLines="0" w:afterLines="0" w:line="240" w:lineRule="auto"/>
              <w:ind w:left="420" w:hanging="420"/>
              <w:rPr>
                <w:rFonts w:ascii="Times New Roman" w:eastAsia="宋体"/>
                <w:snapToGrid w:val="0"/>
                <w:color w:val="auto"/>
                <w:kern w:val="21"/>
                <w:szCs w:val="21"/>
              </w:rPr>
            </w:pPr>
            <w:r>
              <w:rPr>
                <w:rFonts w:ascii="Times New Roman" w:eastAsia="宋体"/>
                <w:snapToGrid w:val="0"/>
                <w:color w:val="auto"/>
                <w:kern w:val="21"/>
                <w:szCs w:val="21"/>
              </w:rPr>
              <w:t>0.</w:t>
            </w:r>
            <w:r>
              <w:rPr>
                <w:rFonts w:hint="eastAsia" w:ascii="Times New Roman" w:eastAsia="宋体"/>
                <w:snapToGrid w:val="0"/>
                <w:color w:val="auto"/>
                <w:kern w:val="21"/>
                <w:szCs w:val="21"/>
                <w:lang w:val="en-US" w:eastAsia="zh-CN"/>
              </w:rPr>
              <w:t>112</w:t>
            </w:r>
            <w:r>
              <w:rPr>
                <w:rFonts w:ascii="Times New Roman" w:eastAsia="宋体"/>
                <w:snapToGrid w:val="0"/>
                <w:color w:val="auto"/>
                <w:kern w:val="21"/>
                <w:szCs w:val="21"/>
              </w:rPr>
              <w:t>t/a</w:t>
            </w:r>
          </w:p>
        </w:tc>
        <w:tc>
          <w:tcPr>
            <w:tcW w:w="1665" w:type="dxa"/>
            <w:noWrap w:val="0"/>
            <w:vAlign w:val="top"/>
          </w:tcPr>
          <w:p w14:paraId="65A909B6">
            <w:pPr>
              <w:pStyle w:val="53"/>
              <w:spacing w:beforeLines="0" w:afterLines="0" w:line="240" w:lineRule="auto"/>
              <w:ind w:left="420" w:hanging="420"/>
              <w:rPr>
                <w:rFonts w:ascii="Times New Roman" w:eastAsia="宋体"/>
                <w:snapToGrid w:val="0"/>
                <w:color w:val="auto"/>
                <w:kern w:val="21"/>
                <w:szCs w:val="21"/>
              </w:rPr>
            </w:pPr>
            <w:r>
              <w:rPr>
                <w:rFonts w:ascii="Times New Roman" w:eastAsia="宋体"/>
                <w:snapToGrid w:val="0"/>
                <w:color w:val="auto"/>
                <w:kern w:val="21"/>
                <w:szCs w:val="21"/>
              </w:rPr>
              <w:t>0</w:t>
            </w:r>
          </w:p>
        </w:tc>
        <w:tc>
          <w:tcPr>
            <w:tcW w:w="1625" w:type="dxa"/>
            <w:noWrap w:val="0"/>
            <w:vAlign w:val="center"/>
          </w:tcPr>
          <w:p w14:paraId="3F4795CF">
            <w:pPr>
              <w:pStyle w:val="53"/>
              <w:spacing w:beforeLines="0" w:afterLines="0" w:line="240" w:lineRule="auto"/>
              <w:ind w:left="420" w:hanging="420"/>
              <w:rPr>
                <w:rFonts w:ascii="Times New Roman" w:eastAsia="宋体"/>
                <w:snapToGrid w:val="0"/>
                <w:color w:val="auto"/>
                <w:kern w:val="21"/>
                <w:szCs w:val="21"/>
              </w:rPr>
            </w:pPr>
            <w:r>
              <w:rPr>
                <w:rFonts w:ascii="Times New Roman" w:eastAsia="宋体"/>
                <w:snapToGrid w:val="0"/>
                <w:color w:val="auto"/>
                <w:kern w:val="21"/>
                <w:szCs w:val="21"/>
              </w:rPr>
              <w:t>0.</w:t>
            </w:r>
            <w:r>
              <w:rPr>
                <w:rFonts w:hint="eastAsia" w:ascii="Times New Roman" w:eastAsia="宋体"/>
                <w:snapToGrid w:val="0"/>
                <w:color w:val="auto"/>
                <w:kern w:val="21"/>
                <w:szCs w:val="21"/>
                <w:lang w:val="en-US" w:eastAsia="zh-CN"/>
              </w:rPr>
              <w:t>112</w:t>
            </w:r>
            <w:r>
              <w:rPr>
                <w:rFonts w:ascii="Times New Roman" w:eastAsia="宋体"/>
                <w:snapToGrid w:val="0"/>
                <w:color w:val="auto"/>
                <w:kern w:val="21"/>
                <w:szCs w:val="21"/>
              </w:rPr>
              <w:t>t/a</w:t>
            </w:r>
          </w:p>
        </w:tc>
        <w:tc>
          <w:tcPr>
            <w:tcW w:w="1398" w:type="dxa"/>
            <w:noWrap w:val="0"/>
            <w:vAlign w:val="center"/>
          </w:tcPr>
          <w:p w14:paraId="46DCAE71">
            <w:pPr>
              <w:pStyle w:val="53"/>
              <w:spacing w:beforeLines="0" w:afterLines="0" w:line="240" w:lineRule="auto"/>
              <w:ind w:left="420" w:hanging="420"/>
              <w:rPr>
                <w:rFonts w:ascii="Times New Roman" w:eastAsia="宋体"/>
                <w:color w:val="auto"/>
                <w:szCs w:val="21"/>
              </w:rPr>
            </w:pPr>
            <w:r>
              <w:rPr>
                <w:rFonts w:ascii="Times New Roman" w:eastAsia="宋体"/>
                <w:color w:val="auto"/>
                <w:szCs w:val="21"/>
              </w:rPr>
              <w:t>+</w:t>
            </w:r>
            <w:r>
              <w:rPr>
                <w:rFonts w:ascii="Times New Roman" w:eastAsia="宋体"/>
                <w:snapToGrid w:val="0"/>
                <w:color w:val="auto"/>
                <w:kern w:val="21"/>
                <w:szCs w:val="21"/>
              </w:rPr>
              <w:t>0.</w:t>
            </w:r>
            <w:r>
              <w:rPr>
                <w:rFonts w:hint="eastAsia" w:ascii="Times New Roman" w:eastAsia="宋体"/>
                <w:snapToGrid w:val="0"/>
                <w:color w:val="auto"/>
                <w:kern w:val="21"/>
                <w:szCs w:val="21"/>
                <w:lang w:val="en-US" w:eastAsia="zh-CN"/>
              </w:rPr>
              <w:t>112</w:t>
            </w:r>
            <w:r>
              <w:rPr>
                <w:rFonts w:ascii="Times New Roman" w:eastAsia="宋体"/>
                <w:snapToGrid w:val="0"/>
                <w:color w:val="auto"/>
                <w:kern w:val="21"/>
                <w:szCs w:val="21"/>
              </w:rPr>
              <w:t>t/a</w:t>
            </w:r>
          </w:p>
        </w:tc>
      </w:tr>
      <w:tr w14:paraId="7EF809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2" w:type="dxa"/>
            <w:vMerge w:val="restart"/>
            <w:noWrap w:val="0"/>
            <w:vAlign w:val="center"/>
          </w:tcPr>
          <w:p w14:paraId="64992BFC">
            <w:pPr>
              <w:pStyle w:val="53"/>
              <w:spacing w:beforeLines="0" w:afterLines="0" w:line="240" w:lineRule="auto"/>
              <w:ind w:left="420" w:hanging="420"/>
              <w:rPr>
                <w:rFonts w:ascii="Times New Roman" w:eastAsia="宋体"/>
                <w:snapToGrid w:val="0"/>
                <w:color w:val="auto"/>
                <w:kern w:val="21"/>
                <w:szCs w:val="21"/>
              </w:rPr>
            </w:pPr>
            <w:r>
              <w:rPr>
                <w:rFonts w:ascii="Times New Roman" w:eastAsia="宋体"/>
                <w:snapToGrid w:val="0"/>
                <w:color w:val="auto"/>
                <w:kern w:val="21"/>
                <w:szCs w:val="21"/>
              </w:rPr>
              <w:t>废水</w:t>
            </w:r>
          </w:p>
        </w:tc>
        <w:tc>
          <w:tcPr>
            <w:tcW w:w="1998" w:type="dxa"/>
            <w:noWrap w:val="0"/>
            <w:vAlign w:val="center"/>
          </w:tcPr>
          <w:p w14:paraId="19E92EBB">
            <w:pPr>
              <w:pStyle w:val="53"/>
              <w:spacing w:beforeLines="0" w:afterLines="0" w:line="240" w:lineRule="auto"/>
              <w:ind w:left="420" w:hanging="420"/>
              <w:rPr>
                <w:rFonts w:ascii="Times New Roman" w:eastAsia="宋体"/>
                <w:color w:val="auto"/>
                <w:szCs w:val="21"/>
              </w:rPr>
            </w:pPr>
            <w:r>
              <w:rPr>
                <w:rFonts w:ascii="Times New Roman" w:eastAsia="宋体"/>
                <w:color w:val="auto"/>
                <w:szCs w:val="21"/>
              </w:rPr>
              <w:t>COD</w:t>
            </w:r>
          </w:p>
        </w:tc>
        <w:tc>
          <w:tcPr>
            <w:tcW w:w="1575" w:type="dxa"/>
            <w:noWrap w:val="0"/>
            <w:vAlign w:val="center"/>
          </w:tcPr>
          <w:p w14:paraId="70FEE33B">
            <w:pPr>
              <w:pStyle w:val="53"/>
              <w:spacing w:beforeLines="0" w:afterLines="0" w:line="240" w:lineRule="auto"/>
              <w:ind w:left="420" w:hanging="420"/>
              <w:rPr>
                <w:rFonts w:ascii="Times New Roman" w:eastAsia="宋体"/>
                <w:snapToGrid w:val="0"/>
                <w:color w:val="auto"/>
                <w:kern w:val="21"/>
                <w:szCs w:val="21"/>
              </w:rPr>
            </w:pPr>
            <w:r>
              <w:rPr>
                <w:rFonts w:ascii="Times New Roman" w:eastAsia="宋体"/>
                <w:color w:val="auto"/>
              </w:rPr>
              <w:t>0</w:t>
            </w:r>
          </w:p>
        </w:tc>
        <w:tc>
          <w:tcPr>
            <w:tcW w:w="1110" w:type="dxa"/>
            <w:noWrap w:val="0"/>
            <w:vAlign w:val="center"/>
          </w:tcPr>
          <w:p w14:paraId="6E913F6A">
            <w:pPr>
              <w:pStyle w:val="53"/>
              <w:spacing w:beforeLines="0" w:afterLines="0" w:line="240" w:lineRule="auto"/>
              <w:ind w:left="420" w:hanging="420"/>
              <w:rPr>
                <w:rFonts w:ascii="Times New Roman" w:eastAsia="宋体"/>
                <w:snapToGrid w:val="0"/>
                <w:color w:val="auto"/>
                <w:kern w:val="21"/>
                <w:szCs w:val="21"/>
              </w:rPr>
            </w:pPr>
            <w:r>
              <w:rPr>
                <w:rFonts w:ascii="Times New Roman" w:eastAsia="宋体"/>
                <w:snapToGrid w:val="0"/>
                <w:color w:val="auto"/>
                <w:kern w:val="21"/>
                <w:szCs w:val="21"/>
              </w:rPr>
              <w:t>/</w:t>
            </w:r>
          </w:p>
        </w:tc>
        <w:tc>
          <w:tcPr>
            <w:tcW w:w="1590" w:type="dxa"/>
            <w:noWrap w:val="0"/>
            <w:vAlign w:val="center"/>
          </w:tcPr>
          <w:p w14:paraId="3CE73C0E">
            <w:pPr>
              <w:pStyle w:val="53"/>
              <w:spacing w:beforeLines="0" w:afterLines="0" w:line="240" w:lineRule="auto"/>
              <w:ind w:left="420" w:hanging="420"/>
              <w:rPr>
                <w:rFonts w:ascii="Times New Roman" w:eastAsia="宋体"/>
                <w:color w:val="auto"/>
                <w:szCs w:val="21"/>
              </w:rPr>
            </w:pPr>
            <w:r>
              <w:rPr>
                <w:rFonts w:ascii="Times New Roman" w:eastAsia="宋体"/>
                <w:color w:val="auto"/>
              </w:rPr>
              <w:t>0</w:t>
            </w:r>
          </w:p>
        </w:tc>
        <w:tc>
          <w:tcPr>
            <w:tcW w:w="1665" w:type="dxa"/>
            <w:noWrap w:val="0"/>
            <w:vAlign w:val="center"/>
          </w:tcPr>
          <w:p w14:paraId="6D5582F9">
            <w:pPr>
              <w:pStyle w:val="53"/>
              <w:spacing w:beforeLines="0" w:afterLines="0" w:line="240" w:lineRule="auto"/>
              <w:ind w:left="420" w:hanging="420"/>
              <w:rPr>
                <w:rFonts w:ascii="Times New Roman" w:eastAsia="宋体"/>
                <w:color w:val="auto"/>
                <w:szCs w:val="21"/>
              </w:rPr>
            </w:pPr>
            <w:r>
              <w:rPr>
                <w:rFonts w:hint="eastAsia" w:ascii="Times New Roman" w:eastAsia="宋体"/>
                <w:color w:val="auto"/>
              </w:rPr>
              <w:t>0.02</w:t>
            </w:r>
            <w:r>
              <w:rPr>
                <w:rFonts w:ascii="Times New Roman" w:eastAsia="宋体"/>
                <w:color w:val="auto"/>
              </w:rPr>
              <w:t>t/a</w:t>
            </w:r>
          </w:p>
        </w:tc>
        <w:tc>
          <w:tcPr>
            <w:tcW w:w="1665" w:type="dxa"/>
            <w:noWrap w:val="0"/>
            <w:vAlign w:val="top"/>
          </w:tcPr>
          <w:p w14:paraId="4129E99D">
            <w:pPr>
              <w:pStyle w:val="53"/>
              <w:spacing w:beforeLines="0" w:afterLines="0" w:line="240" w:lineRule="auto"/>
              <w:ind w:left="420" w:hanging="420"/>
              <w:rPr>
                <w:rFonts w:ascii="Times New Roman" w:eastAsia="宋体"/>
                <w:color w:val="auto"/>
                <w:szCs w:val="21"/>
              </w:rPr>
            </w:pPr>
            <w:r>
              <w:rPr>
                <w:rFonts w:ascii="Times New Roman" w:eastAsia="宋体"/>
                <w:color w:val="auto"/>
              </w:rPr>
              <w:t>0</w:t>
            </w:r>
          </w:p>
        </w:tc>
        <w:tc>
          <w:tcPr>
            <w:tcW w:w="1625" w:type="dxa"/>
            <w:noWrap w:val="0"/>
            <w:vAlign w:val="center"/>
          </w:tcPr>
          <w:p w14:paraId="2C560F23">
            <w:pPr>
              <w:pStyle w:val="53"/>
              <w:spacing w:beforeLines="0" w:afterLines="0" w:line="240" w:lineRule="auto"/>
              <w:ind w:left="420" w:hanging="420"/>
              <w:rPr>
                <w:rFonts w:ascii="Times New Roman" w:eastAsia="宋体"/>
                <w:color w:val="auto"/>
                <w:szCs w:val="21"/>
              </w:rPr>
            </w:pPr>
            <w:r>
              <w:rPr>
                <w:rFonts w:hint="eastAsia" w:ascii="Times New Roman" w:eastAsia="宋体"/>
                <w:color w:val="auto"/>
              </w:rPr>
              <w:t>0.02</w:t>
            </w:r>
            <w:r>
              <w:rPr>
                <w:rFonts w:ascii="Times New Roman" w:eastAsia="宋体"/>
                <w:color w:val="auto"/>
              </w:rPr>
              <w:t>t/a</w:t>
            </w:r>
          </w:p>
        </w:tc>
        <w:tc>
          <w:tcPr>
            <w:tcW w:w="1398" w:type="dxa"/>
            <w:noWrap w:val="0"/>
            <w:vAlign w:val="center"/>
          </w:tcPr>
          <w:p w14:paraId="5C227F4E">
            <w:pPr>
              <w:pStyle w:val="53"/>
              <w:spacing w:beforeLines="0" w:afterLines="0" w:line="240" w:lineRule="auto"/>
              <w:ind w:left="420" w:hanging="420"/>
              <w:rPr>
                <w:rFonts w:ascii="Times New Roman" w:eastAsia="宋体"/>
                <w:color w:val="auto"/>
                <w:szCs w:val="21"/>
              </w:rPr>
            </w:pPr>
            <w:r>
              <w:rPr>
                <w:rFonts w:ascii="Times New Roman" w:eastAsia="宋体"/>
                <w:color w:val="auto"/>
                <w:szCs w:val="21"/>
              </w:rPr>
              <w:t>+</w:t>
            </w:r>
            <w:r>
              <w:rPr>
                <w:rFonts w:hint="eastAsia" w:ascii="Times New Roman" w:eastAsia="宋体"/>
                <w:color w:val="auto"/>
              </w:rPr>
              <w:t>0.02</w:t>
            </w:r>
            <w:r>
              <w:rPr>
                <w:rFonts w:ascii="Times New Roman" w:eastAsia="宋体"/>
                <w:color w:val="auto"/>
              </w:rPr>
              <w:t>t/a</w:t>
            </w:r>
          </w:p>
        </w:tc>
      </w:tr>
      <w:tr w14:paraId="1A377F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2" w:type="dxa"/>
            <w:vMerge w:val="continue"/>
            <w:noWrap w:val="0"/>
            <w:vAlign w:val="center"/>
          </w:tcPr>
          <w:p w14:paraId="1DBA793C">
            <w:pPr>
              <w:pStyle w:val="53"/>
              <w:spacing w:beforeLines="0" w:afterLines="0" w:line="240" w:lineRule="auto"/>
              <w:ind w:left="420" w:hanging="420"/>
              <w:rPr>
                <w:rFonts w:ascii="Times New Roman" w:eastAsia="宋体"/>
                <w:snapToGrid w:val="0"/>
                <w:color w:val="auto"/>
                <w:kern w:val="21"/>
                <w:szCs w:val="21"/>
              </w:rPr>
            </w:pPr>
          </w:p>
        </w:tc>
        <w:tc>
          <w:tcPr>
            <w:tcW w:w="1998" w:type="dxa"/>
            <w:noWrap w:val="0"/>
            <w:vAlign w:val="center"/>
          </w:tcPr>
          <w:p w14:paraId="403D29B8">
            <w:pPr>
              <w:pStyle w:val="53"/>
              <w:spacing w:beforeLines="0" w:afterLines="0" w:line="240" w:lineRule="auto"/>
              <w:ind w:left="420" w:hanging="420"/>
              <w:rPr>
                <w:rFonts w:ascii="Times New Roman" w:eastAsia="宋体"/>
                <w:color w:val="auto"/>
                <w:szCs w:val="21"/>
              </w:rPr>
            </w:pPr>
            <w:r>
              <w:rPr>
                <w:rFonts w:ascii="Times New Roman" w:eastAsia="宋体"/>
                <w:color w:val="auto"/>
                <w:szCs w:val="21"/>
              </w:rPr>
              <w:t>BOD</w:t>
            </w:r>
            <w:r>
              <w:rPr>
                <w:rFonts w:ascii="Times New Roman" w:eastAsia="宋体"/>
                <w:color w:val="auto"/>
                <w:szCs w:val="21"/>
                <w:vertAlign w:val="subscript"/>
              </w:rPr>
              <w:t>5</w:t>
            </w:r>
          </w:p>
        </w:tc>
        <w:tc>
          <w:tcPr>
            <w:tcW w:w="1575" w:type="dxa"/>
            <w:noWrap w:val="0"/>
            <w:vAlign w:val="center"/>
          </w:tcPr>
          <w:p w14:paraId="1F471F72">
            <w:pPr>
              <w:pStyle w:val="53"/>
              <w:spacing w:beforeLines="0" w:afterLines="0" w:line="240" w:lineRule="auto"/>
              <w:ind w:left="420" w:hanging="420"/>
              <w:rPr>
                <w:rFonts w:ascii="Times New Roman" w:eastAsia="宋体"/>
                <w:snapToGrid w:val="0"/>
                <w:color w:val="auto"/>
                <w:kern w:val="21"/>
                <w:szCs w:val="21"/>
              </w:rPr>
            </w:pPr>
            <w:r>
              <w:rPr>
                <w:rFonts w:ascii="Times New Roman" w:eastAsia="宋体"/>
                <w:snapToGrid w:val="0"/>
                <w:color w:val="auto"/>
                <w:kern w:val="21"/>
                <w:szCs w:val="21"/>
              </w:rPr>
              <w:t>0</w:t>
            </w:r>
          </w:p>
        </w:tc>
        <w:tc>
          <w:tcPr>
            <w:tcW w:w="1110" w:type="dxa"/>
            <w:noWrap w:val="0"/>
            <w:vAlign w:val="center"/>
          </w:tcPr>
          <w:p w14:paraId="10BE8645">
            <w:pPr>
              <w:pStyle w:val="53"/>
              <w:spacing w:beforeLines="0" w:afterLines="0" w:line="240" w:lineRule="auto"/>
              <w:ind w:left="420" w:hanging="420"/>
              <w:rPr>
                <w:rFonts w:ascii="Times New Roman" w:eastAsia="宋体"/>
                <w:snapToGrid w:val="0"/>
                <w:color w:val="auto"/>
                <w:kern w:val="21"/>
                <w:szCs w:val="21"/>
              </w:rPr>
            </w:pPr>
            <w:r>
              <w:rPr>
                <w:rFonts w:ascii="Times New Roman" w:eastAsia="宋体"/>
                <w:snapToGrid w:val="0"/>
                <w:color w:val="auto"/>
                <w:kern w:val="21"/>
                <w:szCs w:val="21"/>
              </w:rPr>
              <w:t>/</w:t>
            </w:r>
          </w:p>
        </w:tc>
        <w:tc>
          <w:tcPr>
            <w:tcW w:w="1590" w:type="dxa"/>
            <w:noWrap w:val="0"/>
            <w:vAlign w:val="center"/>
          </w:tcPr>
          <w:p w14:paraId="428812B1">
            <w:pPr>
              <w:pStyle w:val="53"/>
              <w:spacing w:beforeLines="0" w:afterLines="0" w:line="240" w:lineRule="auto"/>
              <w:ind w:left="420" w:hanging="420"/>
              <w:rPr>
                <w:rFonts w:ascii="Times New Roman" w:eastAsia="宋体"/>
                <w:color w:val="auto"/>
                <w:szCs w:val="21"/>
              </w:rPr>
            </w:pPr>
            <w:r>
              <w:rPr>
                <w:rFonts w:ascii="Times New Roman" w:eastAsia="宋体"/>
                <w:snapToGrid w:val="0"/>
                <w:color w:val="auto"/>
                <w:kern w:val="21"/>
                <w:szCs w:val="21"/>
              </w:rPr>
              <w:t>0</w:t>
            </w:r>
          </w:p>
        </w:tc>
        <w:tc>
          <w:tcPr>
            <w:tcW w:w="1665" w:type="dxa"/>
            <w:noWrap w:val="0"/>
            <w:vAlign w:val="center"/>
          </w:tcPr>
          <w:p w14:paraId="6F0706B7">
            <w:pPr>
              <w:pStyle w:val="53"/>
              <w:spacing w:beforeLines="0" w:afterLines="0" w:line="240" w:lineRule="auto"/>
              <w:ind w:left="420" w:hanging="420"/>
              <w:rPr>
                <w:rFonts w:ascii="Times New Roman" w:eastAsia="宋体"/>
                <w:color w:val="auto"/>
                <w:szCs w:val="21"/>
              </w:rPr>
            </w:pPr>
            <w:r>
              <w:rPr>
                <w:rFonts w:hint="eastAsia" w:ascii="Times New Roman" w:eastAsia="宋体"/>
                <w:color w:val="auto"/>
              </w:rPr>
              <w:t>0.012</w:t>
            </w:r>
            <w:r>
              <w:rPr>
                <w:rFonts w:ascii="Times New Roman" w:eastAsia="宋体"/>
                <w:color w:val="auto"/>
              </w:rPr>
              <w:t>t/a</w:t>
            </w:r>
          </w:p>
        </w:tc>
        <w:tc>
          <w:tcPr>
            <w:tcW w:w="1665" w:type="dxa"/>
            <w:noWrap w:val="0"/>
            <w:vAlign w:val="top"/>
          </w:tcPr>
          <w:p w14:paraId="2E97E49D">
            <w:pPr>
              <w:pStyle w:val="53"/>
              <w:spacing w:beforeLines="0" w:afterLines="0" w:line="240" w:lineRule="auto"/>
              <w:ind w:left="420" w:hanging="420"/>
              <w:rPr>
                <w:rFonts w:ascii="Times New Roman" w:eastAsia="宋体"/>
                <w:color w:val="auto"/>
                <w:szCs w:val="21"/>
              </w:rPr>
            </w:pPr>
            <w:r>
              <w:rPr>
                <w:rFonts w:ascii="Times New Roman" w:eastAsia="宋体"/>
                <w:color w:val="auto"/>
              </w:rPr>
              <w:t>0</w:t>
            </w:r>
          </w:p>
        </w:tc>
        <w:tc>
          <w:tcPr>
            <w:tcW w:w="1625" w:type="dxa"/>
            <w:noWrap w:val="0"/>
            <w:vAlign w:val="center"/>
          </w:tcPr>
          <w:p w14:paraId="631B02E7">
            <w:pPr>
              <w:pStyle w:val="53"/>
              <w:spacing w:beforeLines="0" w:afterLines="0" w:line="240" w:lineRule="auto"/>
              <w:ind w:left="420" w:hanging="420"/>
              <w:rPr>
                <w:rFonts w:ascii="Times New Roman" w:eastAsia="宋体"/>
                <w:color w:val="auto"/>
                <w:szCs w:val="21"/>
              </w:rPr>
            </w:pPr>
            <w:r>
              <w:rPr>
                <w:rFonts w:hint="eastAsia" w:ascii="Times New Roman" w:eastAsia="宋体"/>
                <w:color w:val="auto"/>
              </w:rPr>
              <w:t>0.012</w:t>
            </w:r>
            <w:r>
              <w:rPr>
                <w:rFonts w:ascii="Times New Roman" w:eastAsia="宋体"/>
                <w:color w:val="auto"/>
              </w:rPr>
              <w:t>t/a</w:t>
            </w:r>
          </w:p>
        </w:tc>
        <w:tc>
          <w:tcPr>
            <w:tcW w:w="1398" w:type="dxa"/>
            <w:noWrap w:val="0"/>
            <w:vAlign w:val="center"/>
          </w:tcPr>
          <w:p w14:paraId="332FA4E4">
            <w:pPr>
              <w:pStyle w:val="53"/>
              <w:spacing w:beforeLines="0" w:afterLines="0" w:line="240" w:lineRule="auto"/>
              <w:ind w:left="420" w:hanging="420"/>
              <w:rPr>
                <w:rFonts w:ascii="Times New Roman" w:eastAsia="宋体"/>
                <w:color w:val="auto"/>
                <w:szCs w:val="21"/>
              </w:rPr>
            </w:pPr>
            <w:r>
              <w:rPr>
                <w:rFonts w:ascii="Times New Roman" w:eastAsia="宋体"/>
                <w:color w:val="auto"/>
                <w:szCs w:val="21"/>
              </w:rPr>
              <w:t>+</w:t>
            </w:r>
            <w:r>
              <w:rPr>
                <w:rFonts w:hint="eastAsia" w:ascii="Times New Roman" w:eastAsia="宋体"/>
                <w:color w:val="auto"/>
              </w:rPr>
              <w:t>0.012</w:t>
            </w:r>
            <w:r>
              <w:rPr>
                <w:rFonts w:ascii="Times New Roman" w:eastAsia="宋体"/>
                <w:color w:val="auto"/>
              </w:rPr>
              <w:t>t/a</w:t>
            </w:r>
          </w:p>
        </w:tc>
      </w:tr>
      <w:tr w14:paraId="4488FF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2" w:type="dxa"/>
            <w:vMerge w:val="continue"/>
            <w:noWrap w:val="0"/>
            <w:vAlign w:val="center"/>
          </w:tcPr>
          <w:p w14:paraId="2CAD613D">
            <w:pPr>
              <w:pStyle w:val="53"/>
              <w:spacing w:beforeLines="0" w:afterLines="0" w:line="240" w:lineRule="auto"/>
              <w:ind w:left="420" w:hanging="420"/>
              <w:rPr>
                <w:rFonts w:ascii="Times New Roman" w:eastAsia="宋体"/>
                <w:snapToGrid w:val="0"/>
                <w:color w:val="auto"/>
                <w:kern w:val="21"/>
                <w:szCs w:val="21"/>
              </w:rPr>
            </w:pPr>
          </w:p>
        </w:tc>
        <w:tc>
          <w:tcPr>
            <w:tcW w:w="1998" w:type="dxa"/>
            <w:noWrap w:val="0"/>
            <w:vAlign w:val="center"/>
          </w:tcPr>
          <w:p w14:paraId="0A67D628">
            <w:pPr>
              <w:pStyle w:val="53"/>
              <w:spacing w:beforeLines="0" w:afterLines="0" w:line="240" w:lineRule="auto"/>
              <w:ind w:left="420" w:hanging="420"/>
              <w:rPr>
                <w:rFonts w:ascii="Times New Roman" w:eastAsia="宋体"/>
                <w:color w:val="auto"/>
                <w:szCs w:val="21"/>
              </w:rPr>
            </w:pPr>
            <w:r>
              <w:rPr>
                <w:rFonts w:ascii="Times New Roman" w:eastAsia="宋体"/>
                <w:color w:val="auto"/>
                <w:szCs w:val="21"/>
              </w:rPr>
              <w:t>SS</w:t>
            </w:r>
          </w:p>
        </w:tc>
        <w:tc>
          <w:tcPr>
            <w:tcW w:w="1575" w:type="dxa"/>
            <w:noWrap w:val="0"/>
            <w:vAlign w:val="center"/>
          </w:tcPr>
          <w:p w14:paraId="0DBD54D9">
            <w:pPr>
              <w:pStyle w:val="53"/>
              <w:spacing w:beforeLines="0" w:afterLines="0" w:line="240" w:lineRule="auto"/>
              <w:ind w:left="420" w:hanging="420"/>
              <w:rPr>
                <w:rFonts w:ascii="Times New Roman" w:eastAsia="宋体"/>
                <w:snapToGrid w:val="0"/>
                <w:color w:val="auto"/>
                <w:kern w:val="21"/>
                <w:szCs w:val="21"/>
              </w:rPr>
            </w:pPr>
            <w:r>
              <w:rPr>
                <w:rFonts w:ascii="Times New Roman" w:eastAsia="宋体"/>
                <w:color w:val="auto"/>
              </w:rPr>
              <w:t>0</w:t>
            </w:r>
          </w:p>
        </w:tc>
        <w:tc>
          <w:tcPr>
            <w:tcW w:w="1110" w:type="dxa"/>
            <w:noWrap w:val="0"/>
            <w:vAlign w:val="center"/>
          </w:tcPr>
          <w:p w14:paraId="40A46655">
            <w:pPr>
              <w:pStyle w:val="53"/>
              <w:spacing w:beforeLines="0" w:afterLines="0" w:line="240" w:lineRule="auto"/>
              <w:ind w:left="420" w:hanging="420"/>
              <w:rPr>
                <w:rFonts w:ascii="Times New Roman" w:eastAsia="宋体"/>
                <w:snapToGrid w:val="0"/>
                <w:color w:val="auto"/>
                <w:kern w:val="21"/>
                <w:szCs w:val="21"/>
              </w:rPr>
            </w:pPr>
            <w:r>
              <w:rPr>
                <w:rFonts w:ascii="Times New Roman" w:eastAsia="宋体"/>
                <w:snapToGrid w:val="0"/>
                <w:color w:val="auto"/>
                <w:kern w:val="21"/>
                <w:szCs w:val="21"/>
              </w:rPr>
              <w:t>/</w:t>
            </w:r>
          </w:p>
        </w:tc>
        <w:tc>
          <w:tcPr>
            <w:tcW w:w="1590" w:type="dxa"/>
            <w:noWrap w:val="0"/>
            <w:vAlign w:val="center"/>
          </w:tcPr>
          <w:p w14:paraId="07B91FA9">
            <w:pPr>
              <w:pStyle w:val="53"/>
              <w:spacing w:beforeLines="0" w:afterLines="0" w:line="240" w:lineRule="auto"/>
              <w:ind w:left="420" w:hanging="420"/>
              <w:rPr>
                <w:rFonts w:ascii="Times New Roman" w:eastAsia="宋体"/>
                <w:color w:val="auto"/>
                <w:szCs w:val="21"/>
              </w:rPr>
            </w:pPr>
            <w:r>
              <w:rPr>
                <w:rFonts w:ascii="Times New Roman" w:eastAsia="宋体"/>
                <w:color w:val="auto"/>
              </w:rPr>
              <w:t>0</w:t>
            </w:r>
          </w:p>
        </w:tc>
        <w:tc>
          <w:tcPr>
            <w:tcW w:w="1665" w:type="dxa"/>
            <w:noWrap w:val="0"/>
            <w:vAlign w:val="center"/>
          </w:tcPr>
          <w:p w14:paraId="10365B2D">
            <w:pPr>
              <w:pStyle w:val="53"/>
              <w:spacing w:beforeLines="0" w:afterLines="0" w:line="240" w:lineRule="auto"/>
              <w:ind w:left="420" w:hanging="420"/>
              <w:rPr>
                <w:rFonts w:ascii="Times New Roman" w:eastAsia="宋体"/>
                <w:color w:val="auto"/>
                <w:szCs w:val="21"/>
              </w:rPr>
            </w:pPr>
            <w:r>
              <w:rPr>
                <w:rFonts w:ascii="Times New Roman" w:eastAsia="宋体"/>
                <w:color w:val="auto"/>
              </w:rPr>
              <w:t>0.0</w:t>
            </w:r>
            <w:r>
              <w:rPr>
                <w:rFonts w:hint="eastAsia" w:ascii="Times New Roman" w:eastAsia="宋体"/>
                <w:color w:val="auto"/>
              </w:rPr>
              <w:t>13</w:t>
            </w:r>
            <w:r>
              <w:rPr>
                <w:rFonts w:ascii="Times New Roman" w:eastAsia="宋体"/>
                <w:color w:val="auto"/>
              </w:rPr>
              <w:t>t/a</w:t>
            </w:r>
          </w:p>
        </w:tc>
        <w:tc>
          <w:tcPr>
            <w:tcW w:w="1665" w:type="dxa"/>
            <w:noWrap w:val="0"/>
            <w:vAlign w:val="top"/>
          </w:tcPr>
          <w:p w14:paraId="6971C9C1">
            <w:pPr>
              <w:pStyle w:val="53"/>
              <w:spacing w:beforeLines="0" w:afterLines="0" w:line="240" w:lineRule="auto"/>
              <w:ind w:left="420" w:hanging="420"/>
              <w:rPr>
                <w:rFonts w:ascii="Times New Roman" w:eastAsia="宋体"/>
                <w:color w:val="auto"/>
                <w:szCs w:val="21"/>
              </w:rPr>
            </w:pPr>
            <w:r>
              <w:rPr>
                <w:rFonts w:ascii="Times New Roman" w:eastAsia="宋体"/>
                <w:color w:val="auto"/>
              </w:rPr>
              <w:t>0</w:t>
            </w:r>
          </w:p>
        </w:tc>
        <w:tc>
          <w:tcPr>
            <w:tcW w:w="1625" w:type="dxa"/>
            <w:noWrap w:val="0"/>
            <w:vAlign w:val="center"/>
          </w:tcPr>
          <w:p w14:paraId="5C54B4BE">
            <w:pPr>
              <w:pStyle w:val="53"/>
              <w:spacing w:beforeLines="0" w:afterLines="0" w:line="240" w:lineRule="auto"/>
              <w:ind w:left="420" w:hanging="420"/>
              <w:rPr>
                <w:rFonts w:ascii="Times New Roman" w:eastAsia="宋体"/>
                <w:color w:val="auto"/>
                <w:szCs w:val="21"/>
              </w:rPr>
            </w:pPr>
            <w:r>
              <w:rPr>
                <w:rFonts w:ascii="Times New Roman" w:eastAsia="宋体"/>
                <w:color w:val="auto"/>
              </w:rPr>
              <w:t>0.0</w:t>
            </w:r>
            <w:r>
              <w:rPr>
                <w:rFonts w:hint="eastAsia" w:ascii="Times New Roman" w:eastAsia="宋体"/>
                <w:color w:val="auto"/>
              </w:rPr>
              <w:t>13</w:t>
            </w:r>
            <w:r>
              <w:rPr>
                <w:rFonts w:ascii="Times New Roman" w:eastAsia="宋体"/>
                <w:color w:val="auto"/>
              </w:rPr>
              <w:t>t/a</w:t>
            </w:r>
          </w:p>
        </w:tc>
        <w:tc>
          <w:tcPr>
            <w:tcW w:w="1398" w:type="dxa"/>
            <w:noWrap w:val="0"/>
            <w:vAlign w:val="center"/>
          </w:tcPr>
          <w:p w14:paraId="51099957">
            <w:pPr>
              <w:pStyle w:val="53"/>
              <w:spacing w:beforeLines="0" w:afterLines="0" w:line="240" w:lineRule="auto"/>
              <w:ind w:left="420" w:hanging="420"/>
              <w:rPr>
                <w:rFonts w:ascii="Times New Roman" w:eastAsia="宋体"/>
                <w:color w:val="auto"/>
                <w:szCs w:val="21"/>
              </w:rPr>
            </w:pPr>
            <w:r>
              <w:rPr>
                <w:rFonts w:ascii="Times New Roman" w:eastAsia="宋体"/>
                <w:color w:val="auto"/>
                <w:szCs w:val="21"/>
              </w:rPr>
              <w:t>+</w:t>
            </w:r>
            <w:r>
              <w:rPr>
                <w:rFonts w:ascii="Times New Roman" w:eastAsia="宋体"/>
                <w:color w:val="auto"/>
              </w:rPr>
              <w:t>0.0</w:t>
            </w:r>
            <w:r>
              <w:rPr>
                <w:rFonts w:hint="eastAsia" w:ascii="Times New Roman" w:eastAsia="宋体"/>
                <w:color w:val="auto"/>
              </w:rPr>
              <w:t>13</w:t>
            </w:r>
            <w:r>
              <w:rPr>
                <w:rFonts w:ascii="Times New Roman" w:eastAsia="宋体"/>
                <w:color w:val="auto"/>
              </w:rPr>
              <w:t>t/a</w:t>
            </w:r>
          </w:p>
        </w:tc>
      </w:tr>
      <w:tr w14:paraId="5BB363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2" w:type="dxa"/>
            <w:vMerge w:val="continue"/>
            <w:noWrap w:val="0"/>
            <w:vAlign w:val="center"/>
          </w:tcPr>
          <w:p w14:paraId="59D542CE">
            <w:pPr>
              <w:pStyle w:val="53"/>
              <w:spacing w:beforeLines="0" w:afterLines="0" w:line="240" w:lineRule="auto"/>
              <w:ind w:left="420" w:hanging="420"/>
              <w:rPr>
                <w:rFonts w:ascii="Times New Roman" w:eastAsia="宋体"/>
                <w:snapToGrid w:val="0"/>
                <w:color w:val="auto"/>
                <w:kern w:val="21"/>
                <w:szCs w:val="21"/>
              </w:rPr>
            </w:pPr>
          </w:p>
        </w:tc>
        <w:tc>
          <w:tcPr>
            <w:tcW w:w="1998" w:type="dxa"/>
            <w:noWrap w:val="0"/>
            <w:vAlign w:val="center"/>
          </w:tcPr>
          <w:p w14:paraId="56095720">
            <w:pPr>
              <w:pStyle w:val="53"/>
              <w:spacing w:beforeLines="0" w:afterLines="0" w:line="240" w:lineRule="auto"/>
              <w:ind w:left="420" w:hanging="420"/>
              <w:rPr>
                <w:rFonts w:ascii="Times New Roman" w:eastAsia="宋体"/>
                <w:color w:val="auto"/>
                <w:szCs w:val="21"/>
              </w:rPr>
            </w:pPr>
            <w:r>
              <w:rPr>
                <w:rFonts w:ascii="Times New Roman" w:eastAsia="宋体"/>
                <w:color w:val="auto"/>
                <w:szCs w:val="21"/>
              </w:rPr>
              <w:t>NH</w:t>
            </w:r>
            <w:r>
              <w:rPr>
                <w:rFonts w:ascii="Times New Roman" w:eastAsia="宋体"/>
                <w:color w:val="auto"/>
                <w:szCs w:val="21"/>
                <w:vertAlign w:val="subscript"/>
              </w:rPr>
              <w:t>3</w:t>
            </w:r>
            <w:r>
              <w:rPr>
                <w:rFonts w:ascii="Times New Roman" w:eastAsia="宋体"/>
                <w:color w:val="auto"/>
                <w:szCs w:val="21"/>
              </w:rPr>
              <w:t>-N</w:t>
            </w:r>
          </w:p>
        </w:tc>
        <w:tc>
          <w:tcPr>
            <w:tcW w:w="1575" w:type="dxa"/>
            <w:noWrap w:val="0"/>
            <w:vAlign w:val="center"/>
          </w:tcPr>
          <w:p w14:paraId="63BC6302">
            <w:pPr>
              <w:pStyle w:val="53"/>
              <w:spacing w:beforeLines="0" w:afterLines="0" w:line="240" w:lineRule="auto"/>
              <w:ind w:left="420" w:hanging="420"/>
              <w:rPr>
                <w:rFonts w:ascii="Times New Roman" w:eastAsia="宋体"/>
                <w:snapToGrid w:val="0"/>
                <w:color w:val="auto"/>
                <w:kern w:val="21"/>
                <w:szCs w:val="21"/>
              </w:rPr>
            </w:pPr>
            <w:r>
              <w:rPr>
                <w:rFonts w:ascii="Times New Roman" w:eastAsia="宋体"/>
                <w:snapToGrid w:val="0"/>
                <w:color w:val="auto"/>
                <w:kern w:val="21"/>
                <w:szCs w:val="21"/>
              </w:rPr>
              <w:t>0</w:t>
            </w:r>
          </w:p>
        </w:tc>
        <w:tc>
          <w:tcPr>
            <w:tcW w:w="1110" w:type="dxa"/>
            <w:noWrap w:val="0"/>
            <w:vAlign w:val="center"/>
          </w:tcPr>
          <w:p w14:paraId="3D320DD9">
            <w:pPr>
              <w:pStyle w:val="53"/>
              <w:spacing w:beforeLines="0" w:afterLines="0" w:line="240" w:lineRule="auto"/>
              <w:ind w:left="420" w:hanging="420"/>
              <w:rPr>
                <w:rFonts w:ascii="Times New Roman" w:eastAsia="宋体"/>
                <w:snapToGrid w:val="0"/>
                <w:color w:val="auto"/>
                <w:kern w:val="21"/>
                <w:szCs w:val="21"/>
              </w:rPr>
            </w:pPr>
            <w:r>
              <w:rPr>
                <w:rFonts w:ascii="Times New Roman" w:eastAsia="宋体"/>
                <w:snapToGrid w:val="0"/>
                <w:color w:val="auto"/>
                <w:kern w:val="21"/>
                <w:szCs w:val="21"/>
              </w:rPr>
              <w:t>/</w:t>
            </w:r>
          </w:p>
        </w:tc>
        <w:tc>
          <w:tcPr>
            <w:tcW w:w="1590" w:type="dxa"/>
            <w:noWrap w:val="0"/>
            <w:vAlign w:val="center"/>
          </w:tcPr>
          <w:p w14:paraId="268305E1">
            <w:pPr>
              <w:pStyle w:val="53"/>
              <w:spacing w:beforeLines="0" w:afterLines="0" w:line="240" w:lineRule="auto"/>
              <w:ind w:left="420" w:hanging="420"/>
              <w:rPr>
                <w:rFonts w:ascii="Times New Roman" w:eastAsia="宋体"/>
                <w:color w:val="auto"/>
                <w:szCs w:val="21"/>
              </w:rPr>
            </w:pPr>
            <w:r>
              <w:rPr>
                <w:rFonts w:ascii="Times New Roman" w:eastAsia="宋体"/>
                <w:snapToGrid w:val="0"/>
                <w:color w:val="auto"/>
                <w:kern w:val="21"/>
                <w:szCs w:val="21"/>
              </w:rPr>
              <w:t>0</w:t>
            </w:r>
          </w:p>
        </w:tc>
        <w:tc>
          <w:tcPr>
            <w:tcW w:w="1665" w:type="dxa"/>
            <w:noWrap w:val="0"/>
            <w:vAlign w:val="center"/>
          </w:tcPr>
          <w:p w14:paraId="719699C6">
            <w:pPr>
              <w:pStyle w:val="53"/>
              <w:spacing w:beforeLines="0" w:afterLines="0" w:line="240" w:lineRule="auto"/>
              <w:ind w:left="420" w:hanging="420"/>
              <w:rPr>
                <w:rFonts w:ascii="Times New Roman" w:eastAsia="宋体"/>
                <w:color w:val="auto"/>
                <w:szCs w:val="21"/>
              </w:rPr>
            </w:pPr>
            <w:r>
              <w:rPr>
                <w:rFonts w:ascii="Times New Roman" w:eastAsia="宋体"/>
                <w:color w:val="auto"/>
              </w:rPr>
              <w:t>0.0</w:t>
            </w:r>
            <w:r>
              <w:rPr>
                <w:rFonts w:hint="eastAsia" w:ascii="Times New Roman" w:eastAsia="宋体"/>
                <w:color w:val="auto"/>
              </w:rPr>
              <w:t>02</w:t>
            </w:r>
            <w:r>
              <w:rPr>
                <w:rFonts w:ascii="Times New Roman" w:eastAsia="宋体"/>
                <w:color w:val="auto"/>
              </w:rPr>
              <w:t>t/a</w:t>
            </w:r>
          </w:p>
        </w:tc>
        <w:tc>
          <w:tcPr>
            <w:tcW w:w="1665" w:type="dxa"/>
            <w:noWrap w:val="0"/>
            <w:vAlign w:val="top"/>
          </w:tcPr>
          <w:p w14:paraId="157EFC01">
            <w:pPr>
              <w:pStyle w:val="53"/>
              <w:spacing w:beforeLines="0" w:afterLines="0" w:line="240" w:lineRule="auto"/>
              <w:ind w:left="420" w:hanging="420"/>
              <w:rPr>
                <w:rFonts w:ascii="Times New Roman" w:eastAsia="宋体"/>
                <w:color w:val="auto"/>
                <w:szCs w:val="21"/>
              </w:rPr>
            </w:pPr>
            <w:r>
              <w:rPr>
                <w:rFonts w:ascii="Times New Roman" w:eastAsia="宋体"/>
                <w:color w:val="auto"/>
              </w:rPr>
              <w:t>0</w:t>
            </w:r>
          </w:p>
        </w:tc>
        <w:tc>
          <w:tcPr>
            <w:tcW w:w="1625" w:type="dxa"/>
            <w:noWrap w:val="0"/>
            <w:vAlign w:val="center"/>
          </w:tcPr>
          <w:p w14:paraId="22528D94">
            <w:pPr>
              <w:pStyle w:val="53"/>
              <w:spacing w:beforeLines="0" w:afterLines="0" w:line="240" w:lineRule="auto"/>
              <w:ind w:left="420" w:hanging="420"/>
              <w:rPr>
                <w:rFonts w:ascii="Times New Roman" w:eastAsia="宋体"/>
                <w:color w:val="auto"/>
                <w:szCs w:val="21"/>
              </w:rPr>
            </w:pPr>
            <w:r>
              <w:rPr>
                <w:rFonts w:ascii="Times New Roman" w:eastAsia="宋体"/>
                <w:color w:val="auto"/>
              </w:rPr>
              <w:t>0.0</w:t>
            </w:r>
            <w:r>
              <w:rPr>
                <w:rFonts w:hint="eastAsia" w:ascii="Times New Roman" w:eastAsia="宋体"/>
                <w:color w:val="auto"/>
              </w:rPr>
              <w:t>02</w:t>
            </w:r>
            <w:r>
              <w:rPr>
                <w:rFonts w:ascii="Times New Roman" w:eastAsia="宋体"/>
                <w:color w:val="auto"/>
              </w:rPr>
              <w:t>t/a</w:t>
            </w:r>
          </w:p>
        </w:tc>
        <w:tc>
          <w:tcPr>
            <w:tcW w:w="1398" w:type="dxa"/>
            <w:noWrap w:val="0"/>
            <w:vAlign w:val="center"/>
          </w:tcPr>
          <w:p w14:paraId="404CE63A">
            <w:pPr>
              <w:pStyle w:val="53"/>
              <w:spacing w:beforeLines="0" w:afterLines="0" w:line="240" w:lineRule="auto"/>
              <w:ind w:left="420" w:hanging="420"/>
              <w:rPr>
                <w:rFonts w:ascii="Times New Roman" w:eastAsia="宋体"/>
                <w:color w:val="auto"/>
                <w:szCs w:val="21"/>
              </w:rPr>
            </w:pPr>
            <w:r>
              <w:rPr>
                <w:rFonts w:ascii="Times New Roman" w:eastAsia="宋体"/>
                <w:color w:val="auto"/>
                <w:szCs w:val="21"/>
              </w:rPr>
              <w:t>+</w:t>
            </w:r>
            <w:r>
              <w:rPr>
                <w:rFonts w:ascii="Times New Roman" w:eastAsia="宋体"/>
                <w:color w:val="auto"/>
              </w:rPr>
              <w:t>0.0</w:t>
            </w:r>
            <w:r>
              <w:rPr>
                <w:rFonts w:hint="eastAsia" w:ascii="Times New Roman" w:eastAsia="宋体"/>
                <w:color w:val="auto"/>
              </w:rPr>
              <w:t>02</w:t>
            </w:r>
            <w:r>
              <w:rPr>
                <w:rFonts w:ascii="Times New Roman" w:eastAsia="宋体"/>
                <w:color w:val="auto"/>
              </w:rPr>
              <w:t>t/a</w:t>
            </w:r>
          </w:p>
        </w:tc>
      </w:tr>
      <w:tr w14:paraId="4A2982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2" w:type="dxa"/>
            <w:vMerge w:val="restart"/>
            <w:noWrap w:val="0"/>
            <w:vAlign w:val="center"/>
          </w:tcPr>
          <w:p w14:paraId="7D0F81A7">
            <w:pPr>
              <w:pStyle w:val="53"/>
              <w:spacing w:beforeLines="0" w:afterLines="0" w:line="240" w:lineRule="auto"/>
              <w:ind w:left="420" w:hanging="420"/>
              <w:rPr>
                <w:rFonts w:ascii="Times New Roman" w:eastAsia="宋体"/>
                <w:snapToGrid w:val="0"/>
                <w:color w:val="auto"/>
                <w:kern w:val="21"/>
                <w:szCs w:val="21"/>
              </w:rPr>
            </w:pPr>
            <w:r>
              <w:rPr>
                <w:rFonts w:ascii="Times New Roman" w:eastAsia="宋体"/>
                <w:snapToGrid w:val="0"/>
                <w:color w:val="auto"/>
                <w:kern w:val="21"/>
                <w:szCs w:val="21"/>
              </w:rPr>
              <w:t>一般工业</w:t>
            </w:r>
          </w:p>
          <w:p w14:paraId="5A7C02BD">
            <w:pPr>
              <w:pStyle w:val="53"/>
              <w:spacing w:beforeLines="0" w:afterLines="0" w:line="240" w:lineRule="auto"/>
              <w:ind w:left="420" w:hanging="420"/>
              <w:rPr>
                <w:rFonts w:ascii="Times New Roman" w:eastAsia="宋体"/>
                <w:snapToGrid w:val="0"/>
                <w:color w:val="auto"/>
                <w:kern w:val="21"/>
                <w:szCs w:val="21"/>
              </w:rPr>
            </w:pPr>
            <w:r>
              <w:rPr>
                <w:rFonts w:ascii="Times New Roman" w:eastAsia="宋体"/>
                <w:snapToGrid w:val="0"/>
                <w:color w:val="auto"/>
                <w:kern w:val="21"/>
                <w:szCs w:val="21"/>
              </w:rPr>
              <w:t>固体废物</w:t>
            </w:r>
          </w:p>
        </w:tc>
        <w:tc>
          <w:tcPr>
            <w:tcW w:w="1998" w:type="dxa"/>
            <w:noWrap w:val="0"/>
            <w:vAlign w:val="center"/>
          </w:tcPr>
          <w:p w14:paraId="0025A400">
            <w:pPr>
              <w:jc w:val="center"/>
              <w:rPr>
                <w:bCs/>
                <w:kern w:val="0"/>
                <w:szCs w:val="21"/>
              </w:rPr>
            </w:pPr>
            <w:r>
              <w:rPr>
                <w:rFonts w:hint="eastAsia"/>
                <w:bCs/>
                <w:kern w:val="0"/>
                <w:szCs w:val="21"/>
              </w:rPr>
              <w:t>生活垃圾</w:t>
            </w:r>
          </w:p>
        </w:tc>
        <w:tc>
          <w:tcPr>
            <w:tcW w:w="1575" w:type="dxa"/>
            <w:noWrap w:val="0"/>
            <w:vAlign w:val="center"/>
          </w:tcPr>
          <w:p w14:paraId="0B398BFE">
            <w:pPr>
              <w:pStyle w:val="53"/>
              <w:spacing w:beforeLines="0" w:afterLines="0" w:line="240" w:lineRule="auto"/>
              <w:ind w:left="420" w:hanging="420"/>
              <w:rPr>
                <w:rFonts w:ascii="Times New Roman" w:eastAsia="宋体"/>
                <w:snapToGrid w:val="0"/>
                <w:color w:val="auto"/>
                <w:kern w:val="21"/>
                <w:szCs w:val="21"/>
              </w:rPr>
            </w:pPr>
            <w:r>
              <w:rPr>
                <w:rFonts w:ascii="Times New Roman" w:eastAsia="宋体"/>
                <w:snapToGrid w:val="0"/>
                <w:color w:val="auto"/>
                <w:kern w:val="21"/>
                <w:szCs w:val="21"/>
              </w:rPr>
              <w:t>0</w:t>
            </w:r>
          </w:p>
        </w:tc>
        <w:tc>
          <w:tcPr>
            <w:tcW w:w="1110" w:type="dxa"/>
            <w:noWrap w:val="0"/>
            <w:vAlign w:val="center"/>
          </w:tcPr>
          <w:p w14:paraId="51E38D11">
            <w:pPr>
              <w:pStyle w:val="53"/>
              <w:spacing w:beforeLines="0" w:afterLines="0" w:line="240" w:lineRule="auto"/>
              <w:ind w:left="420" w:hanging="420"/>
              <w:rPr>
                <w:rFonts w:ascii="Times New Roman" w:eastAsia="宋体"/>
                <w:snapToGrid w:val="0"/>
                <w:color w:val="auto"/>
                <w:kern w:val="21"/>
                <w:szCs w:val="21"/>
              </w:rPr>
            </w:pPr>
            <w:r>
              <w:rPr>
                <w:rFonts w:ascii="Times New Roman" w:eastAsia="宋体"/>
                <w:snapToGrid w:val="0"/>
                <w:color w:val="auto"/>
                <w:kern w:val="21"/>
                <w:szCs w:val="21"/>
              </w:rPr>
              <w:t>/</w:t>
            </w:r>
          </w:p>
        </w:tc>
        <w:tc>
          <w:tcPr>
            <w:tcW w:w="1590" w:type="dxa"/>
            <w:noWrap w:val="0"/>
            <w:vAlign w:val="center"/>
          </w:tcPr>
          <w:p w14:paraId="7A91CBFD">
            <w:pPr>
              <w:pStyle w:val="53"/>
              <w:spacing w:beforeLines="0" w:afterLines="0" w:line="240" w:lineRule="auto"/>
              <w:ind w:left="420" w:hanging="420"/>
              <w:rPr>
                <w:rFonts w:ascii="Times New Roman" w:eastAsia="宋体"/>
                <w:color w:val="auto"/>
              </w:rPr>
            </w:pPr>
            <w:r>
              <w:rPr>
                <w:rFonts w:ascii="Times New Roman" w:eastAsia="宋体"/>
                <w:iCs/>
                <w:color w:val="auto"/>
                <w:szCs w:val="21"/>
              </w:rPr>
              <w:t>0</w:t>
            </w:r>
          </w:p>
        </w:tc>
        <w:tc>
          <w:tcPr>
            <w:tcW w:w="1665" w:type="dxa"/>
            <w:noWrap w:val="0"/>
            <w:vAlign w:val="center"/>
          </w:tcPr>
          <w:p w14:paraId="25FA7D00">
            <w:pPr>
              <w:jc w:val="center"/>
            </w:pPr>
            <w:r>
              <w:rPr>
                <w:rFonts w:hint="eastAsia"/>
                <w:iCs/>
                <w:kern w:val="0"/>
                <w:szCs w:val="21"/>
              </w:rPr>
              <w:t>1.05</w:t>
            </w:r>
            <w:r>
              <w:t>t/a</w:t>
            </w:r>
          </w:p>
        </w:tc>
        <w:tc>
          <w:tcPr>
            <w:tcW w:w="1665" w:type="dxa"/>
            <w:noWrap w:val="0"/>
            <w:vAlign w:val="top"/>
          </w:tcPr>
          <w:p w14:paraId="3BB058AF">
            <w:pPr>
              <w:pStyle w:val="53"/>
              <w:spacing w:beforeLines="0" w:afterLines="0" w:line="240" w:lineRule="auto"/>
              <w:ind w:left="420" w:hanging="420"/>
              <w:rPr>
                <w:rFonts w:ascii="Times New Roman" w:eastAsia="宋体"/>
                <w:color w:val="auto"/>
              </w:rPr>
            </w:pPr>
            <w:r>
              <w:rPr>
                <w:rFonts w:ascii="Times New Roman" w:eastAsia="宋体"/>
                <w:color w:val="auto"/>
              </w:rPr>
              <w:t>0</w:t>
            </w:r>
          </w:p>
        </w:tc>
        <w:tc>
          <w:tcPr>
            <w:tcW w:w="1625" w:type="dxa"/>
            <w:noWrap w:val="0"/>
            <w:vAlign w:val="center"/>
          </w:tcPr>
          <w:p w14:paraId="67D39570">
            <w:pPr>
              <w:jc w:val="center"/>
              <w:rPr>
                <w:szCs w:val="21"/>
              </w:rPr>
            </w:pPr>
            <w:r>
              <w:rPr>
                <w:rFonts w:hint="eastAsia"/>
                <w:iCs/>
                <w:kern w:val="0"/>
                <w:szCs w:val="21"/>
              </w:rPr>
              <w:t>1.05</w:t>
            </w:r>
            <w:r>
              <w:t>t/a</w:t>
            </w:r>
          </w:p>
        </w:tc>
        <w:tc>
          <w:tcPr>
            <w:tcW w:w="1398" w:type="dxa"/>
            <w:noWrap w:val="0"/>
            <w:vAlign w:val="center"/>
          </w:tcPr>
          <w:p w14:paraId="6F7D68C7">
            <w:pPr>
              <w:jc w:val="center"/>
            </w:pPr>
            <w:r>
              <w:rPr>
                <w:szCs w:val="21"/>
              </w:rPr>
              <w:t>+</w:t>
            </w:r>
            <w:r>
              <w:rPr>
                <w:rFonts w:hint="eastAsia"/>
                <w:iCs/>
                <w:kern w:val="0"/>
                <w:szCs w:val="21"/>
              </w:rPr>
              <w:t>1.05</w:t>
            </w:r>
            <w:r>
              <w:t>t/a</w:t>
            </w:r>
          </w:p>
        </w:tc>
      </w:tr>
      <w:tr w14:paraId="4C8322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2" w:type="dxa"/>
            <w:vMerge w:val="continue"/>
            <w:noWrap w:val="0"/>
            <w:vAlign w:val="center"/>
          </w:tcPr>
          <w:p w14:paraId="0070D04D">
            <w:pPr>
              <w:pStyle w:val="53"/>
              <w:spacing w:beforeLines="0" w:afterLines="0" w:line="240" w:lineRule="auto"/>
              <w:ind w:left="420" w:hanging="420"/>
              <w:rPr>
                <w:rFonts w:ascii="Times New Roman" w:eastAsia="宋体"/>
                <w:snapToGrid w:val="0"/>
                <w:color w:val="auto"/>
                <w:kern w:val="21"/>
                <w:szCs w:val="21"/>
              </w:rPr>
            </w:pPr>
          </w:p>
        </w:tc>
        <w:tc>
          <w:tcPr>
            <w:tcW w:w="1998" w:type="dxa"/>
            <w:noWrap w:val="0"/>
            <w:vAlign w:val="center"/>
          </w:tcPr>
          <w:p w14:paraId="7D02A89A">
            <w:pPr>
              <w:jc w:val="center"/>
              <w:rPr>
                <w:bCs/>
                <w:kern w:val="0"/>
                <w:szCs w:val="21"/>
              </w:rPr>
            </w:pPr>
            <w:r>
              <w:rPr>
                <w:rFonts w:hint="eastAsia"/>
                <w:bCs/>
                <w:kern w:val="0"/>
                <w:szCs w:val="21"/>
              </w:rPr>
              <w:t>废磨料</w:t>
            </w:r>
          </w:p>
        </w:tc>
        <w:tc>
          <w:tcPr>
            <w:tcW w:w="1575" w:type="dxa"/>
            <w:noWrap w:val="0"/>
            <w:vAlign w:val="center"/>
          </w:tcPr>
          <w:p w14:paraId="0D2A815F">
            <w:pPr>
              <w:pStyle w:val="53"/>
              <w:spacing w:beforeLines="0" w:afterLines="0" w:line="240" w:lineRule="auto"/>
              <w:ind w:left="420" w:hanging="420"/>
              <w:rPr>
                <w:rFonts w:ascii="Times New Roman" w:eastAsia="宋体"/>
                <w:snapToGrid w:val="0"/>
                <w:color w:val="auto"/>
                <w:kern w:val="21"/>
                <w:szCs w:val="21"/>
              </w:rPr>
            </w:pPr>
            <w:r>
              <w:rPr>
                <w:rFonts w:ascii="Times New Roman" w:eastAsia="宋体"/>
                <w:snapToGrid w:val="0"/>
                <w:color w:val="auto"/>
                <w:kern w:val="21"/>
                <w:szCs w:val="21"/>
              </w:rPr>
              <w:t>0</w:t>
            </w:r>
          </w:p>
        </w:tc>
        <w:tc>
          <w:tcPr>
            <w:tcW w:w="1110" w:type="dxa"/>
            <w:noWrap w:val="0"/>
            <w:vAlign w:val="center"/>
          </w:tcPr>
          <w:p w14:paraId="67668762">
            <w:pPr>
              <w:pStyle w:val="53"/>
              <w:spacing w:beforeLines="0" w:afterLines="0" w:line="240" w:lineRule="auto"/>
              <w:ind w:left="420" w:hanging="420"/>
              <w:rPr>
                <w:rFonts w:ascii="Times New Roman" w:eastAsia="宋体"/>
                <w:snapToGrid w:val="0"/>
                <w:color w:val="auto"/>
                <w:kern w:val="21"/>
                <w:szCs w:val="21"/>
              </w:rPr>
            </w:pPr>
            <w:r>
              <w:rPr>
                <w:rFonts w:ascii="Times New Roman" w:eastAsia="宋体"/>
                <w:snapToGrid w:val="0"/>
                <w:color w:val="auto"/>
                <w:kern w:val="21"/>
                <w:szCs w:val="21"/>
              </w:rPr>
              <w:t>/</w:t>
            </w:r>
          </w:p>
        </w:tc>
        <w:tc>
          <w:tcPr>
            <w:tcW w:w="1590" w:type="dxa"/>
            <w:noWrap w:val="0"/>
            <w:vAlign w:val="center"/>
          </w:tcPr>
          <w:p w14:paraId="085D496A">
            <w:pPr>
              <w:pStyle w:val="53"/>
              <w:spacing w:beforeLines="0" w:afterLines="0" w:line="240" w:lineRule="auto"/>
              <w:ind w:left="420" w:hanging="420"/>
              <w:rPr>
                <w:rFonts w:ascii="Times New Roman" w:eastAsia="宋体"/>
                <w:iCs/>
                <w:color w:val="auto"/>
                <w:szCs w:val="21"/>
              </w:rPr>
            </w:pPr>
            <w:r>
              <w:rPr>
                <w:rFonts w:ascii="Times New Roman" w:eastAsia="宋体"/>
                <w:iCs/>
                <w:color w:val="auto"/>
                <w:szCs w:val="21"/>
              </w:rPr>
              <w:t>0</w:t>
            </w:r>
          </w:p>
        </w:tc>
        <w:tc>
          <w:tcPr>
            <w:tcW w:w="1665" w:type="dxa"/>
            <w:noWrap w:val="0"/>
            <w:vAlign w:val="center"/>
          </w:tcPr>
          <w:p w14:paraId="6ECE607D">
            <w:pPr>
              <w:jc w:val="center"/>
              <w:rPr>
                <w:iCs/>
                <w:szCs w:val="21"/>
              </w:rPr>
            </w:pPr>
            <w:r>
              <w:rPr>
                <w:rFonts w:hint="eastAsia"/>
                <w:iCs/>
                <w:kern w:val="0"/>
                <w:szCs w:val="21"/>
              </w:rPr>
              <w:t>0.2</w:t>
            </w:r>
            <w:r>
              <w:t>t/a</w:t>
            </w:r>
          </w:p>
        </w:tc>
        <w:tc>
          <w:tcPr>
            <w:tcW w:w="1665" w:type="dxa"/>
            <w:noWrap w:val="0"/>
            <w:vAlign w:val="top"/>
          </w:tcPr>
          <w:p w14:paraId="0DFB5DB5">
            <w:pPr>
              <w:pStyle w:val="53"/>
              <w:spacing w:beforeLines="0" w:afterLines="0" w:line="240" w:lineRule="auto"/>
              <w:ind w:left="420" w:hanging="420"/>
              <w:rPr>
                <w:rFonts w:ascii="Times New Roman" w:eastAsia="宋体"/>
                <w:color w:val="auto"/>
              </w:rPr>
            </w:pPr>
            <w:r>
              <w:rPr>
                <w:rFonts w:ascii="Times New Roman" w:eastAsia="宋体"/>
                <w:color w:val="auto"/>
              </w:rPr>
              <w:t>0</w:t>
            </w:r>
          </w:p>
        </w:tc>
        <w:tc>
          <w:tcPr>
            <w:tcW w:w="1625" w:type="dxa"/>
            <w:noWrap w:val="0"/>
            <w:vAlign w:val="center"/>
          </w:tcPr>
          <w:p w14:paraId="21C47443">
            <w:pPr>
              <w:jc w:val="center"/>
              <w:rPr>
                <w:iCs/>
                <w:szCs w:val="21"/>
              </w:rPr>
            </w:pPr>
            <w:r>
              <w:rPr>
                <w:rFonts w:hint="eastAsia"/>
                <w:iCs/>
                <w:kern w:val="0"/>
                <w:szCs w:val="21"/>
              </w:rPr>
              <w:t>0.2</w:t>
            </w:r>
            <w:r>
              <w:t>t/a</w:t>
            </w:r>
          </w:p>
        </w:tc>
        <w:tc>
          <w:tcPr>
            <w:tcW w:w="1398" w:type="dxa"/>
            <w:noWrap w:val="0"/>
            <w:vAlign w:val="center"/>
          </w:tcPr>
          <w:p w14:paraId="43586C37">
            <w:pPr>
              <w:jc w:val="center"/>
              <w:rPr>
                <w:iCs/>
                <w:szCs w:val="21"/>
              </w:rPr>
            </w:pPr>
            <w:r>
              <w:rPr>
                <w:szCs w:val="21"/>
              </w:rPr>
              <w:t>+</w:t>
            </w:r>
            <w:r>
              <w:rPr>
                <w:rFonts w:hint="eastAsia"/>
                <w:iCs/>
                <w:kern w:val="0"/>
                <w:szCs w:val="21"/>
              </w:rPr>
              <w:t>0.2</w:t>
            </w:r>
            <w:r>
              <w:t>t/a</w:t>
            </w:r>
          </w:p>
        </w:tc>
      </w:tr>
      <w:tr w14:paraId="3812F8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2" w:type="dxa"/>
            <w:vMerge w:val="continue"/>
            <w:noWrap w:val="0"/>
            <w:vAlign w:val="center"/>
          </w:tcPr>
          <w:p w14:paraId="284456A9">
            <w:pPr>
              <w:pStyle w:val="53"/>
              <w:spacing w:beforeLines="0" w:afterLines="0" w:line="240" w:lineRule="auto"/>
              <w:ind w:left="420" w:hanging="420"/>
              <w:rPr>
                <w:rFonts w:ascii="Times New Roman" w:eastAsia="宋体"/>
                <w:snapToGrid w:val="0"/>
                <w:color w:val="auto"/>
                <w:kern w:val="21"/>
                <w:szCs w:val="21"/>
              </w:rPr>
            </w:pPr>
          </w:p>
        </w:tc>
        <w:tc>
          <w:tcPr>
            <w:tcW w:w="1998" w:type="dxa"/>
            <w:noWrap w:val="0"/>
            <w:vAlign w:val="center"/>
          </w:tcPr>
          <w:p w14:paraId="78205EE2">
            <w:pPr>
              <w:jc w:val="center"/>
              <w:rPr>
                <w:bCs/>
                <w:kern w:val="0"/>
                <w:szCs w:val="21"/>
              </w:rPr>
            </w:pPr>
            <w:r>
              <w:rPr>
                <w:bCs/>
                <w:kern w:val="0"/>
                <w:szCs w:val="21"/>
              </w:rPr>
              <w:t>废</w:t>
            </w:r>
            <w:r>
              <w:rPr>
                <w:rFonts w:hint="eastAsia"/>
                <w:bCs/>
                <w:kern w:val="0"/>
                <w:szCs w:val="21"/>
              </w:rPr>
              <w:t>滤筒</w:t>
            </w:r>
          </w:p>
        </w:tc>
        <w:tc>
          <w:tcPr>
            <w:tcW w:w="1575" w:type="dxa"/>
            <w:noWrap w:val="0"/>
            <w:vAlign w:val="center"/>
          </w:tcPr>
          <w:p w14:paraId="00A99691">
            <w:pPr>
              <w:pStyle w:val="53"/>
              <w:spacing w:beforeLines="0" w:afterLines="0" w:line="240" w:lineRule="auto"/>
              <w:ind w:left="420" w:hanging="420"/>
              <w:rPr>
                <w:rFonts w:ascii="Times New Roman" w:eastAsia="宋体"/>
                <w:snapToGrid w:val="0"/>
                <w:color w:val="auto"/>
                <w:kern w:val="21"/>
                <w:szCs w:val="21"/>
              </w:rPr>
            </w:pPr>
            <w:r>
              <w:rPr>
                <w:rFonts w:ascii="Times New Roman" w:eastAsia="宋体"/>
                <w:snapToGrid w:val="0"/>
                <w:color w:val="auto"/>
                <w:kern w:val="21"/>
                <w:szCs w:val="21"/>
              </w:rPr>
              <w:t>0</w:t>
            </w:r>
          </w:p>
        </w:tc>
        <w:tc>
          <w:tcPr>
            <w:tcW w:w="1110" w:type="dxa"/>
            <w:noWrap w:val="0"/>
            <w:vAlign w:val="center"/>
          </w:tcPr>
          <w:p w14:paraId="7B5E6281">
            <w:pPr>
              <w:pStyle w:val="53"/>
              <w:spacing w:beforeLines="0" w:afterLines="0" w:line="240" w:lineRule="auto"/>
              <w:ind w:left="420" w:hanging="420"/>
              <w:rPr>
                <w:rFonts w:ascii="Times New Roman" w:eastAsia="宋体"/>
                <w:snapToGrid w:val="0"/>
                <w:color w:val="auto"/>
                <w:kern w:val="21"/>
                <w:szCs w:val="21"/>
              </w:rPr>
            </w:pPr>
            <w:r>
              <w:rPr>
                <w:rFonts w:ascii="Times New Roman" w:eastAsia="宋体"/>
                <w:snapToGrid w:val="0"/>
                <w:color w:val="auto"/>
                <w:kern w:val="21"/>
                <w:szCs w:val="21"/>
              </w:rPr>
              <w:t>/</w:t>
            </w:r>
          </w:p>
        </w:tc>
        <w:tc>
          <w:tcPr>
            <w:tcW w:w="1590" w:type="dxa"/>
            <w:noWrap w:val="0"/>
            <w:vAlign w:val="center"/>
          </w:tcPr>
          <w:p w14:paraId="0400F77D">
            <w:pPr>
              <w:pStyle w:val="53"/>
              <w:spacing w:beforeLines="0" w:afterLines="0" w:line="240" w:lineRule="auto"/>
              <w:ind w:left="420" w:hanging="420"/>
              <w:rPr>
                <w:rFonts w:ascii="Times New Roman" w:eastAsia="宋体"/>
                <w:color w:val="auto"/>
              </w:rPr>
            </w:pPr>
            <w:r>
              <w:rPr>
                <w:rFonts w:ascii="Times New Roman" w:eastAsia="宋体"/>
                <w:iCs/>
                <w:color w:val="auto"/>
                <w:szCs w:val="21"/>
              </w:rPr>
              <w:t>0</w:t>
            </w:r>
          </w:p>
        </w:tc>
        <w:tc>
          <w:tcPr>
            <w:tcW w:w="1665" w:type="dxa"/>
            <w:noWrap w:val="0"/>
            <w:vAlign w:val="center"/>
          </w:tcPr>
          <w:p w14:paraId="2D863B82">
            <w:pPr>
              <w:jc w:val="center"/>
            </w:pPr>
            <w:r>
              <w:rPr>
                <w:rFonts w:hint="eastAsia"/>
                <w:iCs/>
                <w:kern w:val="0"/>
                <w:szCs w:val="21"/>
              </w:rPr>
              <w:t>0.1</w:t>
            </w:r>
            <w:r>
              <w:t>t/a</w:t>
            </w:r>
          </w:p>
        </w:tc>
        <w:tc>
          <w:tcPr>
            <w:tcW w:w="1665" w:type="dxa"/>
            <w:noWrap w:val="0"/>
            <w:vAlign w:val="top"/>
          </w:tcPr>
          <w:p w14:paraId="2B1033B1">
            <w:pPr>
              <w:pStyle w:val="53"/>
              <w:spacing w:beforeLines="0" w:afterLines="0" w:line="240" w:lineRule="auto"/>
              <w:ind w:left="420" w:hanging="420"/>
              <w:rPr>
                <w:rFonts w:ascii="Times New Roman" w:eastAsia="宋体"/>
                <w:color w:val="auto"/>
              </w:rPr>
            </w:pPr>
            <w:r>
              <w:rPr>
                <w:rFonts w:ascii="Times New Roman" w:eastAsia="宋体"/>
                <w:color w:val="auto"/>
              </w:rPr>
              <w:t>0</w:t>
            </w:r>
          </w:p>
        </w:tc>
        <w:tc>
          <w:tcPr>
            <w:tcW w:w="1625" w:type="dxa"/>
            <w:noWrap w:val="0"/>
            <w:vAlign w:val="center"/>
          </w:tcPr>
          <w:p w14:paraId="6E58120A">
            <w:pPr>
              <w:jc w:val="center"/>
              <w:rPr>
                <w:szCs w:val="21"/>
              </w:rPr>
            </w:pPr>
            <w:r>
              <w:rPr>
                <w:rFonts w:hint="eastAsia"/>
                <w:iCs/>
                <w:kern w:val="0"/>
                <w:szCs w:val="21"/>
              </w:rPr>
              <w:t>0.1</w:t>
            </w:r>
            <w:r>
              <w:t>t/a</w:t>
            </w:r>
          </w:p>
        </w:tc>
        <w:tc>
          <w:tcPr>
            <w:tcW w:w="1398" w:type="dxa"/>
            <w:noWrap w:val="0"/>
            <w:vAlign w:val="center"/>
          </w:tcPr>
          <w:p w14:paraId="75347F87">
            <w:pPr>
              <w:jc w:val="center"/>
            </w:pPr>
            <w:r>
              <w:rPr>
                <w:szCs w:val="21"/>
              </w:rPr>
              <w:t>+</w:t>
            </w:r>
            <w:r>
              <w:rPr>
                <w:rFonts w:hint="eastAsia"/>
                <w:iCs/>
                <w:kern w:val="0"/>
                <w:szCs w:val="21"/>
              </w:rPr>
              <w:t>0.1</w:t>
            </w:r>
            <w:r>
              <w:t>t/a</w:t>
            </w:r>
          </w:p>
        </w:tc>
      </w:tr>
      <w:tr w14:paraId="29B4B4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162" w:type="dxa"/>
            <w:vMerge w:val="continue"/>
            <w:noWrap w:val="0"/>
            <w:vAlign w:val="center"/>
          </w:tcPr>
          <w:p w14:paraId="46835CAE">
            <w:pPr>
              <w:pStyle w:val="53"/>
              <w:spacing w:beforeLines="0" w:afterLines="0" w:line="240" w:lineRule="auto"/>
              <w:ind w:left="420" w:hanging="420"/>
              <w:rPr>
                <w:rFonts w:ascii="Times New Roman" w:eastAsia="宋体"/>
                <w:snapToGrid w:val="0"/>
                <w:color w:val="auto"/>
                <w:kern w:val="21"/>
                <w:szCs w:val="21"/>
              </w:rPr>
            </w:pPr>
          </w:p>
        </w:tc>
        <w:tc>
          <w:tcPr>
            <w:tcW w:w="1998" w:type="dxa"/>
            <w:noWrap w:val="0"/>
            <w:vAlign w:val="center"/>
          </w:tcPr>
          <w:p w14:paraId="0E2903A4">
            <w:pPr>
              <w:jc w:val="center"/>
              <w:rPr>
                <w:bCs/>
                <w:kern w:val="0"/>
                <w:szCs w:val="21"/>
              </w:rPr>
            </w:pPr>
            <w:r>
              <w:rPr>
                <w:rFonts w:hint="eastAsia"/>
                <w:bCs/>
                <w:kern w:val="0"/>
                <w:szCs w:val="21"/>
              </w:rPr>
              <w:t>滤筒收集粉尘</w:t>
            </w:r>
          </w:p>
        </w:tc>
        <w:tc>
          <w:tcPr>
            <w:tcW w:w="1575" w:type="dxa"/>
            <w:noWrap w:val="0"/>
            <w:vAlign w:val="center"/>
          </w:tcPr>
          <w:p w14:paraId="6B8C27CF">
            <w:pPr>
              <w:pStyle w:val="53"/>
              <w:spacing w:beforeLines="0" w:afterLines="0" w:line="240" w:lineRule="auto"/>
              <w:ind w:left="420" w:hanging="420"/>
              <w:rPr>
                <w:rFonts w:ascii="Times New Roman" w:eastAsia="宋体"/>
                <w:color w:val="auto"/>
                <w:szCs w:val="21"/>
              </w:rPr>
            </w:pPr>
            <w:r>
              <w:rPr>
                <w:rFonts w:ascii="Times New Roman" w:eastAsia="宋体"/>
                <w:color w:val="auto"/>
                <w:szCs w:val="21"/>
              </w:rPr>
              <w:t>0</w:t>
            </w:r>
          </w:p>
        </w:tc>
        <w:tc>
          <w:tcPr>
            <w:tcW w:w="1110" w:type="dxa"/>
            <w:noWrap w:val="0"/>
            <w:vAlign w:val="center"/>
          </w:tcPr>
          <w:p w14:paraId="25B4601D">
            <w:pPr>
              <w:pStyle w:val="53"/>
              <w:spacing w:beforeLines="0" w:afterLines="0" w:line="240" w:lineRule="auto"/>
              <w:ind w:left="420" w:hanging="420"/>
              <w:rPr>
                <w:rFonts w:ascii="Times New Roman" w:eastAsia="宋体"/>
                <w:snapToGrid w:val="0"/>
                <w:color w:val="auto"/>
                <w:kern w:val="21"/>
                <w:szCs w:val="21"/>
              </w:rPr>
            </w:pPr>
            <w:r>
              <w:rPr>
                <w:rFonts w:ascii="Times New Roman" w:eastAsia="宋体"/>
                <w:snapToGrid w:val="0"/>
                <w:color w:val="auto"/>
                <w:kern w:val="21"/>
                <w:szCs w:val="21"/>
              </w:rPr>
              <w:t>/</w:t>
            </w:r>
          </w:p>
        </w:tc>
        <w:tc>
          <w:tcPr>
            <w:tcW w:w="1590" w:type="dxa"/>
            <w:noWrap w:val="0"/>
            <w:vAlign w:val="center"/>
          </w:tcPr>
          <w:p w14:paraId="4B50F5EF">
            <w:pPr>
              <w:pStyle w:val="53"/>
              <w:spacing w:beforeLines="0" w:afterLines="0" w:line="240" w:lineRule="auto"/>
              <w:ind w:left="420" w:hanging="420"/>
              <w:rPr>
                <w:rFonts w:ascii="Times New Roman" w:eastAsia="宋体"/>
                <w:iCs/>
                <w:color w:val="auto"/>
                <w:szCs w:val="21"/>
              </w:rPr>
            </w:pPr>
            <w:r>
              <w:rPr>
                <w:rFonts w:ascii="Times New Roman" w:eastAsia="宋体"/>
                <w:iCs/>
                <w:color w:val="auto"/>
                <w:szCs w:val="21"/>
              </w:rPr>
              <w:t>0</w:t>
            </w:r>
          </w:p>
        </w:tc>
        <w:tc>
          <w:tcPr>
            <w:tcW w:w="1665" w:type="dxa"/>
            <w:noWrap w:val="0"/>
            <w:vAlign w:val="center"/>
          </w:tcPr>
          <w:p w14:paraId="5735F84A">
            <w:pPr>
              <w:jc w:val="center"/>
              <w:rPr>
                <w:iCs/>
                <w:szCs w:val="21"/>
              </w:rPr>
            </w:pPr>
            <w:r>
              <w:rPr>
                <w:rFonts w:hint="eastAsia"/>
                <w:iCs/>
                <w:kern w:val="0"/>
                <w:szCs w:val="21"/>
              </w:rPr>
              <w:t>0.0762</w:t>
            </w:r>
            <w:r>
              <w:t>t/a</w:t>
            </w:r>
          </w:p>
        </w:tc>
        <w:tc>
          <w:tcPr>
            <w:tcW w:w="1665" w:type="dxa"/>
            <w:noWrap w:val="0"/>
            <w:vAlign w:val="top"/>
          </w:tcPr>
          <w:p w14:paraId="15361C7F">
            <w:pPr>
              <w:pStyle w:val="53"/>
              <w:spacing w:beforeLines="0" w:afterLines="0" w:line="240" w:lineRule="auto"/>
              <w:ind w:left="420" w:hanging="420"/>
              <w:rPr>
                <w:rFonts w:ascii="Times New Roman" w:eastAsia="宋体"/>
                <w:color w:val="auto"/>
              </w:rPr>
            </w:pPr>
            <w:r>
              <w:rPr>
                <w:rFonts w:ascii="Times New Roman" w:eastAsia="宋体"/>
                <w:color w:val="auto"/>
              </w:rPr>
              <w:t>0</w:t>
            </w:r>
          </w:p>
        </w:tc>
        <w:tc>
          <w:tcPr>
            <w:tcW w:w="1625" w:type="dxa"/>
            <w:noWrap w:val="0"/>
            <w:vAlign w:val="center"/>
          </w:tcPr>
          <w:p w14:paraId="391953EE">
            <w:pPr>
              <w:jc w:val="center"/>
            </w:pPr>
            <w:r>
              <w:rPr>
                <w:rFonts w:hint="eastAsia"/>
                <w:iCs/>
                <w:kern w:val="0"/>
                <w:szCs w:val="21"/>
              </w:rPr>
              <w:t>0.0762</w:t>
            </w:r>
            <w:r>
              <w:t>t/a</w:t>
            </w:r>
          </w:p>
        </w:tc>
        <w:tc>
          <w:tcPr>
            <w:tcW w:w="1398" w:type="dxa"/>
            <w:noWrap w:val="0"/>
            <w:vAlign w:val="center"/>
          </w:tcPr>
          <w:p w14:paraId="3AF20C58">
            <w:pPr>
              <w:jc w:val="center"/>
              <w:rPr>
                <w:iCs/>
                <w:szCs w:val="21"/>
              </w:rPr>
            </w:pPr>
            <w:r>
              <w:rPr>
                <w:szCs w:val="21"/>
              </w:rPr>
              <w:t>+</w:t>
            </w:r>
            <w:r>
              <w:rPr>
                <w:rFonts w:hint="eastAsia"/>
                <w:iCs/>
                <w:kern w:val="0"/>
                <w:szCs w:val="21"/>
              </w:rPr>
              <w:t>0.0762</w:t>
            </w:r>
            <w:r>
              <w:t>t/a</w:t>
            </w:r>
          </w:p>
        </w:tc>
      </w:tr>
      <w:tr w14:paraId="0C74EE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162" w:type="dxa"/>
            <w:vMerge w:val="continue"/>
            <w:noWrap w:val="0"/>
            <w:vAlign w:val="center"/>
          </w:tcPr>
          <w:p w14:paraId="63B59DE6">
            <w:pPr>
              <w:pStyle w:val="53"/>
              <w:spacing w:beforeLines="0" w:afterLines="0" w:line="240" w:lineRule="auto"/>
              <w:ind w:left="420" w:hanging="420"/>
              <w:rPr>
                <w:rFonts w:ascii="Times New Roman" w:eastAsia="宋体"/>
                <w:snapToGrid w:val="0"/>
                <w:color w:val="auto"/>
                <w:kern w:val="21"/>
                <w:szCs w:val="21"/>
              </w:rPr>
            </w:pPr>
          </w:p>
        </w:tc>
        <w:tc>
          <w:tcPr>
            <w:tcW w:w="1998" w:type="dxa"/>
            <w:noWrap w:val="0"/>
            <w:vAlign w:val="center"/>
          </w:tcPr>
          <w:p w14:paraId="1AF6054B">
            <w:pPr>
              <w:jc w:val="center"/>
              <w:rPr>
                <w:rFonts w:hint="eastAsia"/>
                <w:bCs/>
                <w:kern w:val="0"/>
                <w:szCs w:val="21"/>
              </w:rPr>
            </w:pPr>
            <w:r>
              <w:rPr>
                <w:rFonts w:hint="eastAsia" w:ascii="Times New Roman" w:hAnsi="Times New Roman" w:eastAsia="宋体" w:cs="Times New Roman"/>
                <w:bCs/>
                <w:kern w:val="0"/>
                <w:szCs w:val="21"/>
              </w:rPr>
              <w:t>不合格实验品</w:t>
            </w:r>
          </w:p>
        </w:tc>
        <w:tc>
          <w:tcPr>
            <w:tcW w:w="1575" w:type="dxa"/>
            <w:noWrap w:val="0"/>
            <w:vAlign w:val="center"/>
          </w:tcPr>
          <w:p w14:paraId="29373C02">
            <w:pPr>
              <w:pStyle w:val="53"/>
              <w:spacing w:beforeLines="0" w:afterLines="0" w:line="240" w:lineRule="auto"/>
              <w:ind w:left="420" w:leftChars="0" w:hanging="420" w:firstLineChars="0"/>
              <w:rPr>
                <w:rFonts w:ascii="Times New Roman" w:eastAsia="宋体"/>
                <w:bCs/>
                <w:color w:val="auto"/>
                <w:kern w:val="0"/>
                <w:sz w:val="21"/>
                <w:szCs w:val="21"/>
                <w:lang w:val="en-US" w:eastAsia="zh-CN" w:bidi="ar-SA"/>
              </w:rPr>
            </w:pPr>
            <w:r>
              <w:rPr>
                <w:rFonts w:ascii="Times New Roman" w:eastAsia="宋体"/>
                <w:color w:val="auto"/>
                <w:szCs w:val="21"/>
              </w:rPr>
              <w:t>0</w:t>
            </w:r>
          </w:p>
        </w:tc>
        <w:tc>
          <w:tcPr>
            <w:tcW w:w="1110" w:type="dxa"/>
            <w:noWrap w:val="0"/>
            <w:vAlign w:val="center"/>
          </w:tcPr>
          <w:p w14:paraId="30D436FB">
            <w:pPr>
              <w:pStyle w:val="53"/>
              <w:spacing w:beforeLines="0" w:afterLines="0" w:line="240" w:lineRule="auto"/>
              <w:ind w:left="420" w:leftChars="0" w:hanging="420" w:firstLineChars="0"/>
              <w:rPr>
                <w:rFonts w:ascii="Times New Roman" w:eastAsia="宋体"/>
                <w:bCs/>
                <w:snapToGrid w:val="0"/>
                <w:color w:val="auto"/>
                <w:kern w:val="21"/>
                <w:sz w:val="21"/>
                <w:szCs w:val="21"/>
                <w:lang w:val="en-US" w:eastAsia="zh-CN" w:bidi="ar-SA"/>
              </w:rPr>
            </w:pPr>
            <w:r>
              <w:rPr>
                <w:rFonts w:ascii="Times New Roman" w:eastAsia="宋体"/>
                <w:snapToGrid w:val="0"/>
                <w:color w:val="auto"/>
                <w:kern w:val="21"/>
                <w:szCs w:val="21"/>
              </w:rPr>
              <w:t>/</w:t>
            </w:r>
          </w:p>
        </w:tc>
        <w:tc>
          <w:tcPr>
            <w:tcW w:w="1590" w:type="dxa"/>
            <w:noWrap w:val="0"/>
            <w:vAlign w:val="center"/>
          </w:tcPr>
          <w:p w14:paraId="561AADA4">
            <w:pPr>
              <w:pStyle w:val="53"/>
              <w:spacing w:beforeLines="0" w:afterLines="0" w:line="240" w:lineRule="auto"/>
              <w:ind w:left="420" w:leftChars="0" w:hanging="420" w:firstLineChars="0"/>
              <w:rPr>
                <w:rFonts w:ascii="Times New Roman" w:eastAsia="宋体"/>
                <w:bCs/>
                <w:iCs/>
                <w:color w:val="auto"/>
                <w:kern w:val="0"/>
                <w:sz w:val="21"/>
                <w:szCs w:val="21"/>
                <w:lang w:val="en-US" w:eastAsia="zh-CN" w:bidi="ar-SA"/>
              </w:rPr>
            </w:pPr>
            <w:r>
              <w:rPr>
                <w:rFonts w:ascii="Times New Roman" w:eastAsia="宋体"/>
                <w:iCs/>
                <w:color w:val="auto"/>
                <w:szCs w:val="21"/>
              </w:rPr>
              <w:t>0</w:t>
            </w:r>
          </w:p>
        </w:tc>
        <w:tc>
          <w:tcPr>
            <w:tcW w:w="1665" w:type="dxa"/>
            <w:noWrap w:val="0"/>
            <w:vAlign w:val="center"/>
          </w:tcPr>
          <w:p w14:paraId="56F404FE">
            <w:pPr>
              <w:jc w:val="center"/>
              <w:rPr>
                <w:rFonts w:hint="default" w:eastAsia="宋体"/>
                <w:iCs/>
                <w:kern w:val="0"/>
                <w:szCs w:val="21"/>
                <w:lang w:val="en-US" w:eastAsia="zh-CN"/>
              </w:rPr>
            </w:pPr>
            <w:r>
              <w:rPr>
                <w:rFonts w:hint="eastAsia"/>
                <w:iCs/>
                <w:kern w:val="0"/>
                <w:szCs w:val="21"/>
                <w:lang w:val="en-US" w:eastAsia="zh-CN"/>
              </w:rPr>
              <w:t>10</w:t>
            </w:r>
            <w:r>
              <w:t>t/a</w:t>
            </w:r>
          </w:p>
        </w:tc>
        <w:tc>
          <w:tcPr>
            <w:tcW w:w="1665" w:type="dxa"/>
            <w:noWrap w:val="0"/>
            <w:vAlign w:val="top"/>
          </w:tcPr>
          <w:p w14:paraId="7AF1EE17">
            <w:pPr>
              <w:pStyle w:val="53"/>
              <w:spacing w:beforeLines="0" w:afterLines="0" w:line="240" w:lineRule="auto"/>
              <w:ind w:left="420" w:hanging="420"/>
              <w:rPr>
                <w:rFonts w:ascii="Times New Roman" w:eastAsia="宋体"/>
                <w:color w:val="auto"/>
              </w:rPr>
            </w:pPr>
            <w:r>
              <w:rPr>
                <w:rFonts w:ascii="Times New Roman" w:eastAsia="宋体"/>
                <w:color w:val="auto"/>
              </w:rPr>
              <w:t>0</w:t>
            </w:r>
          </w:p>
        </w:tc>
        <w:tc>
          <w:tcPr>
            <w:tcW w:w="1625" w:type="dxa"/>
            <w:noWrap w:val="0"/>
            <w:vAlign w:val="center"/>
          </w:tcPr>
          <w:p w14:paraId="6122D4F8">
            <w:pPr>
              <w:jc w:val="center"/>
              <w:rPr>
                <w:rFonts w:hint="eastAsia"/>
                <w:iCs/>
                <w:kern w:val="0"/>
                <w:szCs w:val="21"/>
              </w:rPr>
            </w:pPr>
            <w:r>
              <w:rPr>
                <w:rFonts w:hint="eastAsia"/>
                <w:iCs/>
                <w:kern w:val="0"/>
                <w:szCs w:val="21"/>
                <w:lang w:val="en-US" w:eastAsia="zh-CN"/>
              </w:rPr>
              <w:t>10</w:t>
            </w:r>
            <w:r>
              <w:t>t/a</w:t>
            </w:r>
          </w:p>
        </w:tc>
        <w:tc>
          <w:tcPr>
            <w:tcW w:w="1398" w:type="dxa"/>
            <w:noWrap w:val="0"/>
            <w:vAlign w:val="center"/>
          </w:tcPr>
          <w:p w14:paraId="3C974C35">
            <w:pPr>
              <w:jc w:val="center"/>
              <w:rPr>
                <w:szCs w:val="21"/>
              </w:rPr>
            </w:pPr>
            <w:r>
              <w:rPr>
                <w:szCs w:val="21"/>
              </w:rPr>
              <w:t>+</w:t>
            </w:r>
            <w:r>
              <w:rPr>
                <w:rFonts w:hint="eastAsia"/>
                <w:iCs/>
                <w:kern w:val="0"/>
                <w:szCs w:val="21"/>
                <w:lang w:val="en-US" w:eastAsia="zh-CN"/>
              </w:rPr>
              <w:t>10</w:t>
            </w:r>
            <w:r>
              <w:t>t/a</w:t>
            </w:r>
          </w:p>
        </w:tc>
      </w:tr>
      <w:tr w14:paraId="140119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162" w:type="dxa"/>
            <w:vMerge w:val="restart"/>
            <w:noWrap w:val="0"/>
            <w:vAlign w:val="center"/>
          </w:tcPr>
          <w:p w14:paraId="5BB492FE">
            <w:pPr>
              <w:pStyle w:val="53"/>
              <w:spacing w:before="24" w:after="24" w:line="240" w:lineRule="auto"/>
              <w:ind w:left="420" w:hanging="420"/>
              <w:rPr>
                <w:rFonts w:ascii="Times New Roman" w:eastAsia="宋体"/>
                <w:snapToGrid w:val="0"/>
                <w:color w:val="auto"/>
                <w:kern w:val="21"/>
                <w:szCs w:val="21"/>
              </w:rPr>
            </w:pPr>
            <w:r>
              <w:rPr>
                <w:rFonts w:ascii="Times New Roman" w:eastAsia="宋体"/>
                <w:snapToGrid w:val="0"/>
                <w:color w:val="auto"/>
                <w:kern w:val="21"/>
                <w:szCs w:val="21"/>
              </w:rPr>
              <w:t>危险废物</w:t>
            </w:r>
          </w:p>
        </w:tc>
        <w:tc>
          <w:tcPr>
            <w:tcW w:w="1998" w:type="dxa"/>
            <w:noWrap w:val="0"/>
            <w:vAlign w:val="center"/>
          </w:tcPr>
          <w:p w14:paraId="656BBD50">
            <w:pPr>
              <w:jc w:val="center"/>
              <w:rPr>
                <w:rFonts w:hint="eastAsia" w:ascii="Times New Roman" w:hAnsi="Times New Roman" w:eastAsia="宋体" w:cs="Times New Roman"/>
                <w:bCs/>
                <w:kern w:val="0"/>
                <w:szCs w:val="21"/>
              </w:rPr>
            </w:pPr>
            <w:r>
              <w:rPr>
                <w:rFonts w:hint="eastAsia" w:ascii="Times New Roman" w:hAnsi="Times New Roman" w:eastAsia="宋体" w:cs="Times New Roman"/>
                <w:bCs/>
                <w:kern w:val="0"/>
                <w:szCs w:val="21"/>
              </w:rPr>
              <w:t>漆渣</w:t>
            </w:r>
          </w:p>
        </w:tc>
        <w:tc>
          <w:tcPr>
            <w:tcW w:w="1575" w:type="dxa"/>
            <w:noWrap w:val="0"/>
            <w:vAlign w:val="center"/>
          </w:tcPr>
          <w:p w14:paraId="5EB15DC2">
            <w:pPr>
              <w:pStyle w:val="53"/>
              <w:spacing w:beforeLines="0" w:afterLines="0" w:line="240" w:lineRule="auto"/>
              <w:ind w:left="420" w:hanging="420"/>
              <w:rPr>
                <w:rFonts w:ascii="Times New Roman" w:eastAsia="宋体"/>
                <w:snapToGrid w:val="0"/>
                <w:color w:val="auto"/>
                <w:kern w:val="21"/>
                <w:szCs w:val="21"/>
              </w:rPr>
            </w:pPr>
            <w:r>
              <w:rPr>
                <w:rFonts w:ascii="Times New Roman" w:eastAsia="宋体"/>
                <w:snapToGrid w:val="0"/>
                <w:color w:val="auto"/>
                <w:kern w:val="21"/>
                <w:szCs w:val="21"/>
              </w:rPr>
              <w:t>0</w:t>
            </w:r>
          </w:p>
        </w:tc>
        <w:tc>
          <w:tcPr>
            <w:tcW w:w="1110" w:type="dxa"/>
            <w:noWrap w:val="0"/>
            <w:vAlign w:val="center"/>
          </w:tcPr>
          <w:p w14:paraId="10287A74">
            <w:pPr>
              <w:pStyle w:val="53"/>
              <w:spacing w:beforeLines="0" w:afterLines="0" w:line="240" w:lineRule="auto"/>
              <w:ind w:left="420" w:hanging="420"/>
              <w:rPr>
                <w:rFonts w:ascii="Times New Roman" w:eastAsia="宋体"/>
                <w:snapToGrid w:val="0"/>
                <w:color w:val="auto"/>
                <w:kern w:val="21"/>
                <w:szCs w:val="21"/>
              </w:rPr>
            </w:pPr>
            <w:r>
              <w:rPr>
                <w:rFonts w:ascii="Times New Roman" w:eastAsia="宋体"/>
                <w:snapToGrid w:val="0"/>
                <w:color w:val="auto"/>
                <w:kern w:val="21"/>
                <w:szCs w:val="21"/>
              </w:rPr>
              <w:t>/</w:t>
            </w:r>
          </w:p>
        </w:tc>
        <w:tc>
          <w:tcPr>
            <w:tcW w:w="1590" w:type="dxa"/>
            <w:noWrap w:val="0"/>
            <w:vAlign w:val="center"/>
          </w:tcPr>
          <w:p w14:paraId="7B9EFF0B">
            <w:pPr>
              <w:pStyle w:val="53"/>
              <w:spacing w:beforeLines="0" w:afterLines="0" w:line="240" w:lineRule="auto"/>
              <w:ind w:left="420" w:hanging="420"/>
              <w:rPr>
                <w:rFonts w:ascii="Times New Roman" w:eastAsia="宋体"/>
                <w:iCs/>
                <w:color w:val="auto"/>
                <w:szCs w:val="21"/>
              </w:rPr>
            </w:pPr>
            <w:r>
              <w:rPr>
                <w:rFonts w:ascii="Times New Roman" w:eastAsia="宋体"/>
                <w:snapToGrid w:val="0"/>
                <w:color w:val="auto"/>
                <w:kern w:val="21"/>
                <w:szCs w:val="21"/>
              </w:rPr>
              <w:t>0</w:t>
            </w:r>
          </w:p>
        </w:tc>
        <w:tc>
          <w:tcPr>
            <w:tcW w:w="1665" w:type="dxa"/>
            <w:noWrap w:val="0"/>
            <w:vAlign w:val="center"/>
          </w:tcPr>
          <w:p w14:paraId="01A84EC5">
            <w:pPr>
              <w:pStyle w:val="4"/>
              <w:keepNext w:val="0"/>
              <w:keepLines w:val="0"/>
              <w:autoSpaceDE w:val="0"/>
              <w:autoSpaceDN w:val="0"/>
              <w:spacing w:line="240" w:lineRule="auto"/>
              <w:jc w:val="center"/>
              <w:textAlignment w:val="baseline"/>
              <w:rPr>
                <w:rFonts w:eastAsia="宋体"/>
                <w:iCs/>
                <w:szCs w:val="21"/>
              </w:rPr>
            </w:pPr>
            <w:r>
              <w:rPr>
                <w:rFonts w:eastAsia="宋体"/>
                <w:b w:val="0"/>
                <w:sz w:val="21"/>
                <w:szCs w:val="21"/>
              </w:rPr>
              <w:t>0.00</w:t>
            </w:r>
            <w:r>
              <w:rPr>
                <w:rFonts w:hint="eastAsia" w:eastAsia="宋体"/>
                <w:b w:val="0"/>
                <w:sz w:val="21"/>
                <w:szCs w:val="21"/>
              </w:rPr>
              <w:t>8</w:t>
            </w:r>
            <w:r>
              <w:rPr>
                <w:rFonts w:eastAsia="宋体"/>
                <w:b w:val="0"/>
              </w:rPr>
              <w:t>t/a</w:t>
            </w:r>
          </w:p>
        </w:tc>
        <w:tc>
          <w:tcPr>
            <w:tcW w:w="1665" w:type="dxa"/>
            <w:noWrap w:val="0"/>
            <w:vAlign w:val="top"/>
          </w:tcPr>
          <w:p w14:paraId="7EAEBC8B">
            <w:pPr>
              <w:pStyle w:val="53"/>
              <w:spacing w:beforeLines="0" w:afterLines="0" w:line="240" w:lineRule="auto"/>
              <w:ind w:left="420" w:hanging="420"/>
              <w:rPr>
                <w:rFonts w:ascii="Times New Roman" w:eastAsia="宋体"/>
                <w:color w:val="auto"/>
              </w:rPr>
            </w:pPr>
            <w:r>
              <w:rPr>
                <w:rFonts w:ascii="Times New Roman" w:eastAsia="宋体"/>
                <w:color w:val="auto"/>
              </w:rPr>
              <w:t>0</w:t>
            </w:r>
          </w:p>
        </w:tc>
        <w:tc>
          <w:tcPr>
            <w:tcW w:w="1625" w:type="dxa"/>
            <w:noWrap w:val="0"/>
            <w:vAlign w:val="center"/>
          </w:tcPr>
          <w:p w14:paraId="265DA852">
            <w:pPr>
              <w:pStyle w:val="4"/>
              <w:keepNext w:val="0"/>
              <w:keepLines w:val="0"/>
              <w:autoSpaceDE w:val="0"/>
              <w:autoSpaceDN w:val="0"/>
              <w:spacing w:line="240" w:lineRule="auto"/>
              <w:jc w:val="center"/>
              <w:textAlignment w:val="baseline"/>
              <w:rPr>
                <w:rFonts w:eastAsia="宋体"/>
                <w:szCs w:val="21"/>
              </w:rPr>
            </w:pPr>
            <w:r>
              <w:rPr>
                <w:rFonts w:eastAsia="宋体"/>
                <w:b w:val="0"/>
                <w:sz w:val="21"/>
                <w:szCs w:val="21"/>
              </w:rPr>
              <w:t>0.00</w:t>
            </w:r>
            <w:r>
              <w:rPr>
                <w:rFonts w:hint="eastAsia" w:eastAsia="宋体"/>
                <w:b w:val="0"/>
                <w:sz w:val="21"/>
                <w:szCs w:val="21"/>
              </w:rPr>
              <w:t>8</w:t>
            </w:r>
            <w:r>
              <w:rPr>
                <w:rFonts w:eastAsia="宋体"/>
                <w:b w:val="0"/>
              </w:rPr>
              <w:t>t/a</w:t>
            </w:r>
          </w:p>
        </w:tc>
        <w:tc>
          <w:tcPr>
            <w:tcW w:w="1398" w:type="dxa"/>
            <w:noWrap w:val="0"/>
            <w:vAlign w:val="center"/>
          </w:tcPr>
          <w:p w14:paraId="6CD37EA3">
            <w:pPr>
              <w:pStyle w:val="4"/>
              <w:keepNext w:val="0"/>
              <w:keepLines w:val="0"/>
              <w:autoSpaceDE w:val="0"/>
              <w:autoSpaceDN w:val="0"/>
              <w:spacing w:line="240" w:lineRule="auto"/>
              <w:jc w:val="center"/>
              <w:textAlignment w:val="baseline"/>
              <w:rPr>
                <w:rFonts w:eastAsia="宋体"/>
                <w:szCs w:val="21"/>
              </w:rPr>
            </w:pPr>
            <w:r>
              <w:rPr>
                <w:rFonts w:eastAsia="宋体"/>
                <w:szCs w:val="21"/>
              </w:rPr>
              <w:t>+</w:t>
            </w:r>
            <w:r>
              <w:rPr>
                <w:rFonts w:eastAsia="宋体"/>
                <w:b w:val="0"/>
                <w:sz w:val="21"/>
                <w:szCs w:val="21"/>
              </w:rPr>
              <w:t>0.00</w:t>
            </w:r>
            <w:r>
              <w:rPr>
                <w:rFonts w:hint="eastAsia" w:eastAsia="宋体"/>
                <w:b w:val="0"/>
                <w:sz w:val="21"/>
                <w:szCs w:val="21"/>
              </w:rPr>
              <w:t>8</w:t>
            </w:r>
            <w:r>
              <w:rPr>
                <w:rFonts w:eastAsia="宋体"/>
                <w:b w:val="0"/>
              </w:rPr>
              <w:t>t/a</w:t>
            </w:r>
          </w:p>
        </w:tc>
      </w:tr>
      <w:tr w14:paraId="789E13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162" w:type="dxa"/>
            <w:vMerge w:val="continue"/>
            <w:noWrap w:val="0"/>
            <w:vAlign w:val="center"/>
          </w:tcPr>
          <w:p w14:paraId="72027690">
            <w:pPr>
              <w:pStyle w:val="53"/>
              <w:spacing w:before="24" w:after="24" w:line="240" w:lineRule="auto"/>
              <w:ind w:left="420" w:hanging="420"/>
              <w:rPr>
                <w:rFonts w:ascii="Times New Roman" w:eastAsia="宋体"/>
                <w:snapToGrid w:val="0"/>
                <w:color w:val="auto"/>
                <w:kern w:val="21"/>
                <w:szCs w:val="21"/>
              </w:rPr>
            </w:pPr>
          </w:p>
        </w:tc>
        <w:tc>
          <w:tcPr>
            <w:tcW w:w="1998" w:type="dxa"/>
            <w:noWrap w:val="0"/>
            <w:vAlign w:val="center"/>
          </w:tcPr>
          <w:p w14:paraId="736A1C15">
            <w:pPr>
              <w:jc w:val="center"/>
              <w:rPr>
                <w:rFonts w:hint="eastAsia" w:ascii="Times New Roman" w:hAnsi="Times New Roman" w:eastAsia="宋体" w:cs="Times New Roman"/>
                <w:bCs/>
                <w:kern w:val="0"/>
                <w:szCs w:val="21"/>
                <w:lang w:eastAsia="zh-CN"/>
              </w:rPr>
            </w:pPr>
            <w:r>
              <w:rPr>
                <w:rFonts w:hint="eastAsia" w:ascii="Times New Roman" w:hAnsi="Times New Roman" w:eastAsia="宋体" w:cs="Times New Roman"/>
                <w:bCs/>
                <w:kern w:val="0"/>
                <w:szCs w:val="21"/>
                <w:lang w:eastAsia="zh-CN"/>
              </w:rPr>
              <w:t>过滤杂质</w:t>
            </w:r>
          </w:p>
        </w:tc>
        <w:tc>
          <w:tcPr>
            <w:tcW w:w="1575" w:type="dxa"/>
            <w:noWrap w:val="0"/>
            <w:vAlign w:val="center"/>
          </w:tcPr>
          <w:p w14:paraId="79F9A270">
            <w:pPr>
              <w:pStyle w:val="53"/>
              <w:spacing w:beforeLines="0" w:afterLines="0" w:line="240" w:lineRule="auto"/>
              <w:ind w:left="420" w:leftChars="0" w:hanging="420" w:firstLineChars="0"/>
              <w:rPr>
                <w:rFonts w:ascii="Times New Roman" w:eastAsia="宋体"/>
                <w:bCs/>
                <w:snapToGrid w:val="0"/>
                <w:color w:val="auto"/>
                <w:kern w:val="21"/>
                <w:sz w:val="21"/>
                <w:szCs w:val="21"/>
                <w:lang w:val="en-US" w:eastAsia="zh-CN" w:bidi="ar-SA"/>
              </w:rPr>
            </w:pPr>
            <w:r>
              <w:rPr>
                <w:rFonts w:ascii="Times New Roman" w:eastAsia="宋体"/>
                <w:snapToGrid w:val="0"/>
                <w:color w:val="auto"/>
                <w:kern w:val="21"/>
                <w:szCs w:val="21"/>
              </w:rPr>
              <w:t>0</w:t>
            </w:r>
          </w:p>
        </w:tc>
        <w:tc>
          <w:tcPr>
            <w:tcW w:w="1110" w:type="dxa"/>
            <w:noWrap w:val="0"/>
            <w:vAlign w:val="center"/>
          </w:tcPr>
          <w:p w14:paraId="205F3295">
            <w:pPr>
              <w:pStyle w:val="53"/>
              <w:spacing w:beforeLines="0" w:afterLines="0" w:line="240" w:lineRule="auto"/>
              <w:ind w:left="420" w:leftChars="0" w:hanging="420" w:firstLineChars="0"/>
              <w:rPr>
                <w:rFonts w:ascii="Times New Roman" w:eastAsia="宋体"/>
                <w:bCs/>
                <w:snapToGrid w:val="0"/>
                <w:color w:val="auto"/>
                <w:kern w:val="21"/>
                <w:sz w:val="21"/>
                <w:szCs w:val="21"/>
                <w:lang w:val="en-US" w:eastAsia="zh-CN" w:bidi="ar-SA"/>
              </w:rPr>
            </w:pPr>
            <w:r>
              <w:rPr>
                <w:rFonts w:ascii="Times New Roman" w:eastAsia="宋体"/>
                <w:snapToGrid w:val="0"/>
                <w:color w:val="auto"/>
                <w:kern w:val="21"/>
                <w:szCs w:val="21"/>
              </w:rPr>
              <w:t>/</w:t>
            </w:r>
          </w:p>
        </w:tc>
        <w:tc>
          <w:tcPr>
            <w:tcW w:w="1590" w:type="dxa"/>
            <w:noWrap w:val="0"/>
            <w:vAlign w:val="center"/>
          </w:tcPr>
          <w:p w14:paraId="52B9B53C">
            <w:pPr>
              <w:pStyle w:val="53"/>
              <w:spacing w:beforeLines="0" w:afterLines="0" w:line="240" w:lineRule="auto"/>
              <w:ind w:left="420" w:leftChars="0" w:hanging="420" w:firstLineChars="0"/>
              <w:rPr>
                <w:rFonts w:ascii="Times New Roman" w:eastAsia="宋体"/>
                <w:bCs/>
                <w:iCs/>
                <w:color w:val="auto"/>
                <w:kern w:val="0"/>
                <w:sz w:val="21"/>
                <w:szCs w:val="21"/>
                <w:lang w:val="en-US" w:eastAsia="zh-CN" w:bidi="ar-SA"/>
              </w:rPr>
            </w:pPr>
            <w:r>
              <w:rPr>
                <w:rFonts w:ascii="Times New Roman" w:eastAsia="宋体"/>
                <w:snapToGrid w:val="0"/>
                <w:color w:val="auto"/>
                <w:kern w:val="21"/>
                <w:szCs w:val="21"/>
              </w:rPr>
              <w:t>0</w:t>
            </w:r>
          </w:p>
        </w:tc>
        <w:tc>
          <w:tcPr>
            <w:tcW w:w="1665" w:type="dxa"/>
            <w:noWrap w:val="0"/>
            <w:vAlign w:val="center"/>
          </w:tcPr>
          <w:p w14:paraId="1CF91918">
            <w:pPr>
              <w:pStyle w:val="4"/>
              <w:keepNext w:val="0"/>
              <w:keepLines w:val="0"/>
              <w:autoSpaceDE w:val="0"/>
              <w:autoSpaceDN w:val="0"/>
              <w:spacing w:line="240" w:lineRule="auto"/>
              <w:jc w:val="center"/>
              <w:textAlignment w:val="baseline"/>
              <w:rPr>
                <w:rFonts w:eastAsia="宋体"/>
                <w:b w:val="0"/>
                <w:sz w:val="21"/>
                <w:szCs w:val="21"/>
              </w:rPr>
            </w:pPr>
            <w:r>
              <w:rPr>
                <w:rFonts w:eastAsia="宋体"/>
                <w:b w:val="0"/>
                <w:sz w:val="21"/>
                <w:szCs w:val="21"/>
              </w:rPr>
              <w:t>0.00</w:t>
            </w:r>
            <w:r>
              <w:rPr>
                <w:rFonts w:hint="eastAsia" w:eastAsia="宋体"/>
                <w:b w:val="0"/>
                <w:sz w:val="21"/>
                <w:szCs w:val="21"/>
                <w:lang w:val="en-US" w:eastAsia="zh-CN"/>
              </w:rPr>
              <w:t>2</w:t>
            </w:r>
            <w:r>
              <w:rPr>
                <w:rFonts w:eastAsia="宋体"/>
                <w:b w:val="0"/>
              </w:rPr>
              <w:t>t/a</w:t>
            </w:r>
          </w:p>
        </w:tc>
        <w:tc>
          <w:tcPr>
            <w:tcW w:w="1665" w:type="dxa"/>
            <w:noWrap w:val="0"/>
            <w:vAlign w:val="top"/>
          </w:tcPr>
          <w:p w14:paraId="3FD7B6C4">
            <w:pPr>
              <w:pStyle w:val="53"/>
              <w:spacing w:beforeLines="0" w:afterLines="0" w:line="240" w:lineRule="auto"/>
              <w:ind w:left="420" w:hanging="420"/>
              <w:rPr>
                <w:rFonts w:ascii="Times New Roman" w:eastAsia="宋体"/>
                <w:color w:val="auto"/>
              </w:rPr>
            </w:pPr>
            <w:r>
              <w:rPr>
                <w:rFonts w:ascii="Times New Roman" w:eastAsia="宋体"/>
                <w:color w:val="auto"/>
              </w:rPr>
              <w:t>0</w:t>
            </w:r>
          </w:p>
        </w:tc>
        <w:tc>
          <w:tcPr>
            <w:tcW w:w="1625" w:type="dxa"/>
            <w:noWrap w:val="0"/>
            <w:vAlign w:val="center"/>
          </w:tcPr>
          <w:p w14:paraId="1C149478">
            <w:pPr>
              <w:pStyle w:val="4"/>
              <w:keepNext w:val="0"/>
              <w:keepLines w:val="0"/>
              <w:autoSpaceDE w:val="0"/>
              <w:autoSpaceDN w:val="0"/>
              <w:spacing w:line="240" w:lineRule="auto"/>
              <w:jc w:val="center"/>
              <w:textAlignment w:val="baseline"/>
              <w:rPr>
                <w:rFonts w:eastAsia="宋体"/>
                <w:b w:val="0"/>
                <w:sz w:val="21"/>
                <w:szCs w:val="21"/>
              </w:rPr>
            </w:pPr>
            <w:r>
              <w:rPr>
                <w:rFonts w:eastAsia="宋体"/>
                <w:b w:val="0"/>
                <w:sz w:val="21"/>
                <w:szCs w:val="21"/>
              </w:rPr>
              <w:t>0.00</w:t>
            </w:r>
            <w:r>
              <w:rPr>
                <w:rFonts w:hint="eastAsia" w:eastAsia="宋体"/>
                <w:b w:val="0"/>
                <w:sz w:val="21"/>
                <w:szCs w:val="21"/>
                <w:lang w:val="en-US" w:eastAsia="zh-CN"/>
              </w:rPr>
              <w:t>2</w:t>
            </w:r>
            <w:r>
              <w:rPr>
                <w:rFonts w:eastAsia="宋体"/>
                <w:b w:val="0"/>
              </w:rPr>
              <w:t>t/a</w:t>
            </w:r>
          </w:p>
        </w:tc>
        <w:tc>
          <w:tcPr>
            <w:tcW w:w="1398" w:type="dxa"/>
            <w:noWrap w:val="0"/>
            <w:vAlign w:val="center"/>
          </w:tcPr>
          <w:p w14:paraId="2DC4DAAD">
            <w:pPr>
              <w:pStyle w:val="4"/>
              <w:keepNext w:val="0"/>
              <w:keepLines w:val="0"/>
              <w:autoSpaceDE w:val="0"/>
              <w:autoSpaceDN w:val="0"/>
              <w:spacing w:line="240" w:lineRule="auto"/>
              <w:jc w:val="center"/>
              <w:textAlignment w:val="baseline"/>
              <w:rPr>
                <w:rFonts w:eastAsia="宋体"/>
                <w:szCs w:val="21"/>
              </w:rPr>
            </w:pPr>
            <w:r>
              <w:rPr>
                <w:rFonts w:eastAsia="宋体"/>
                <w:szCs w:val="21"/>
              </w:rPr>
              <w:t>+</w:t>
            </w:r>
            <w:r>
              <w:rPr>
                <w:rFonts w:eastAsia="宋体"/>
                <w:b w:val="0"/>
                <w:sz w:val="21"/>
                <w:szCs w:val="21"/>
              </w:rPr>
              <w:t>0.00</w:t>
            </w:r>
            <w:r>
              <w:rPr>
                <w:rFonts w:hint="eastAsia" w:eastAsia="宋体"/>
                <w:b w:val="0"/>
                <w:sz w:val="21"/>
                <w:szCs w:val="21"/>
                <w:lang w:val="en-US" w:eastAsia="zh-CN"/>
              </w:rPr>
              <w:t>2</w:t>
            </w:r>
            <w:r>
              <w:rPr>
                <w:rFonts w:eastAsia="宋体"/>
                <w:b w:val="0"/>
              </w:rPr>
              <w:t>t/a</w:t>
            </w:r>
          </w:p>
        </w:tc>
      </w:tr>
      <w:tr w14:paraId="0D88B6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2" w:type="dxa"/>
            <w:vMerge w:val="continue"/>
            <w:noWrap w:val="0"/>
            <w:vAlign w:val="center"/>
          </w:tcPr>
          <w:p w14:paraId="180670A1">
            <w:pPr>
              <w:pStyle w:val="53"/>
              <w:spacing w:before="24" w:after="24" w:line="240" w:lineRule="auto"/>
              <w:ind w:left="420" w:hanging="420"/>
              <w:rPr>
                <w:rFonts w:ascii="Times New Roman" w:eastAsia="宋体"/>
                <w:snapToGrid w:val="0"/>
                <w:color w:val="auto"/>
                <w:kern w:val="21"/>
                <w:szCs w:val="21"/>
              </w:rPr>
            </w:pPr>
          </w:p>
        </w:tc>
        <w:tc>
          <w:tcPr>
            <w:tcW w:w="1998" w:type="dxa"/>
            <w:noWrap w:val="0"/>
            <w:vAlign w:val="center"/>
          </w:tcPr>
          <w:p w14:paraId="4D725A0C">
            <w:pPr>
              <w:jc w:val="center"/>
              <w:rPr>
                <w:rFonts w:hint="eastAsia" w:ascii="Times New Roman" w:hAnsi="Times New Roman" w:eastAsia="宋体" w:cs="Times New Roman"/>
                <w:bCs/>
                <w:kern w:val="0"/>
                <w:szCs w:val="21"/>
              </w:rPr>
            </w:pPr>
            <w:r>
              <w:rPr>
                <w:rFonts w:hint="eastAsia" w:ascii="Times New Roman" w:hAnsi="Times New Roman" w:eastAsia="宋体" w:cs="Times New Roman"/>
                <w:bCs/>
                <w:kern w:val="0"/>
                <w:szCs w:val="21"/>
              </w:rPr>
              <w:t>废活性炭及过滤棉</w:t>
            </w:r>
          </w:p>
        </w:tc>
        <w:tc>
          <w:tcPr>
            <w:tcW w:w="1575" w:type="dxa"/>
            <w:noWrap w:val="0"/>
            <w:vAlign w:val="center"/>
          </w:tcPr>
          <w:p w14:paraId="76FDDFC4">
            <w:pPr>
              <w:pStyle w:val="53"/>
              <w:spacing w:beforeLines="0" w:afterLines="0" w:line="240" w:lineRule="auto"/>
              <w:ind w:left="420" w:hanging="420"/>
              <w:rPr>
                <w:rFonts w:ascii="Times New Roman" w:eastAsia="宋体"/>
                <w:snapToGrid w:val="0"/>
                <w:color w:val="auto"/>
                <w:kern w:val="21"/>
                <w:szCs w:val="21"/>
              </w:rPr>
            </w:pPr>
            <w:r>
              <w:rPr>
                <w:rFonts w:ascii="Times New Roman" w:eastAsia="宋体"/>
                <w:snapToGrid w:val="0"/>
                <w:color w:val="auto"/>
                <w:kern w:val="21"/>
                <w:szCs w:val="21"/>
              </w:rPr>
              <w:t>0</w:t>
            </w:r>
          </w:p>
        </w:tc>
        <w:tc>
          <w:tcPr>
            <w:tcW w:w="1110" w:type="dxa"/>
            <w:noWrap w:val="0"/>
            <w:vAlign w:val="center"/>
          </w:tcPr>
          <w:p w14:paraId="023CD2DA">
            <w:pPr>
              <w:pStyle w:val="53"/>
              <w:spacing w:beforeLines="0" w:afterLines="0" w:line="240" w:lineRule="auto"/>
              <w:ind w:left="420" w:hanging="420"/>
              <w:rPr>
                <w:rFonts w:ascii="Times New Roman" w:eastAsia="宋体"/>
                <w:snapToGrid w:val="0"/>
                <w:color w:val="auto"/>
                <w:kern w:val="21"/>
                <w:szCs w:val="21"/>
              </w:rPr>
            </w:pPr>
            <w:r>
              <w:rPr>
                <w:rFonts w:ascii="Times New Roman" w:eastAsia="宋体"/>
                <w:snapToGrid w:val="0"/>
                <w:color w:val="auto"/>
                <w:kern w:val="21"/>
                <w:szCs w:val="21"/>
              </w:rPr>
              <w:t>/</w:t>
            </w:r>
          </w:p>
        </w:tc>
        <w:tc>
          <w:tcPr>
            <w:tcW w:w="1590" w:type="dxa"/>
            <w:noWrap w:val="0"/>
            <w:vAlign w:val="center"/>
          </w:tcPr>
          <w:p w14:paraId="286BB159">
            <w:pPr>
              <w:pStyle w:val="53"/>
              <w:spacing w:beforeLines="0" w:afterLines="0" w:line="240" w:lineRule="auto"/>
              <w:ind w:left="420" w:hanging="420"/>
              <w:rPr>
                <w:rFonts w:ascii="Times New Roman" w:eastAsia="宋体"/>
                <w:color w:val="auto"/>
              </w:rPr>
            </w:pPr>
            <w:r>
              <w:rPr>
                <w:rFonts w:ascii="Times New Roman" w:eastAsia="宋体"/>
                <w:snapToGrid w:val="0"/>
                <w:color w:val="auto"/>
                <w:kern w:val="21"/>
                <w:szCs w:val="21"/>
              </w:rPr>
              <w:t>0</w:t>
            </w:r>
          </w:p>
        </w:tc>
        <w:tc>
          <w:tcPr>
            <w:tcW w:w="1665" w:type="dxa"/>
            <w:noWrap w:val="0"/>
            <w:vAlign w:val="center"/>
          </w:tcPr>
          <w:p w14:paraId="37A19F88">
            <w:pPr>
              <w:pStyle w:val="4"/>
              <w:keepNext w:val="0"/>
              <w:keepLines w:val="0"/>
              <w:autoSpaceDE w:val="0"/>
              <w:autoSpaceDN w:val="0"/>
              <w:spacing w:line="240" w:lineRule="auto"/>
              <w:jc w:val="center"/>
              <w:textAlignment w:val="baseline"/>
              <w:rPr>
                <w:rFonts w:eastAsia="宋体"/>
              </w:rPr>
            </w:pPr>
            <w:r>
              <w:rPr>
                <w:rFonts w:hint="eastAsia" w:eastAsia="宋体"/>
                <w:b w:val="0"/>
                <w:sz w:val="21"/>
                <w:szCs w:val="21"/>
                <w:lang w:val="en-US" w:eastAsia="zh-CN"/>
              </w:rPr>
              <w:t>4.377</w:t>
            </w:r>
            <w:r>
              <w:rPr>
                <w:rFonts w:eastAsia="宋体"/>
                <w:b w:val="0"/>
                <w:bCs w:val="0"/>
              </w:rPr>
              <w:t>t/a</w:t>
            </w:r>
          </w:p>
        </w:tc>
        <w:tc>
          <w:tcPr>
            <w:tcW w:w="1665" w:type="dxa"/>
            <w:noWrap w:val="0"/>
            <w:vAlign w:val="top"/>
          </w:tcPr>
          <w:p w14:paraId="1DC005D3">
            <w:pPr>
              <w:pStyle w:val="53"/>
              <w:spacing w:beforeLines="0" w:afterLines="0" w:line="240" w:lineRule="auto"/>
              <w:ind w:left="420" w:hanging="420"/>
              <w:rPr>
                <w:rFonts w:ascii="Times New Roman" w:eastAsia="宋体"/>
                <w:color w:val="auto"/>
              </w:rPr>
            </w:pPr>
            <w:r>
              <w:rPr>
                <w:rFonts w:ascii="Times New Roman" w:eastAsia="宋体"/>
                <w:color w:val="auto"/>
              </w:rPr>
              <w:t>0</w:t>
            </w:r>
          </w:p>
        </w:tc>
        <w:tc>
          <w:tcPr>
            <w:tcW w:w="1625" w:type="dxa"/>
            <w:noWrap w:val="0"/>
            <w:vAlign w:val="center"/>
          </w:tcPr>
          <w:p w14:paraId="5AB21409">
            <w:pPr>
              <w:pStyle w:val="4"/>
              <w:keepNext w:val="0"/>
              <w:keepLines w:val="0"/>
              <w:autoSpaceDE w:val="0"/>
              <w:autoSpaceDN w:val="0"/>
              <w:spacing w:line="240" w:lineRule="auto"/>
              <w:jc w:val="center"/>
              <w:textAlignment w:val="baseline"/>
              <w:rPr>
                <w:rFonts w:eastAsia="宋体"/>
                <w:szCs w:val="21"/>
              </w:rPr>
            </w:pPr>
            <w:r>
              <w:rPr>
                <w:rFonts w:hint="eastAsia" w:eastAsia="宋体"/>
                <w:b w:val="0"/>
                <w:sz w:val="21"/>
                <w:szCs w:val="21"/>
                <w:lang w:val="en-US" w:eastAsia="zh-CN"/>
              </w:rPr>
              <w:t>4.377</w:t>
            </w:r>
            <w:r>
              <w:rPr>
                <w:rFonts w:eastAsia="宋体"/>
                <w:b w:val="0"/>
                <w:bCs w:val="0"/>
              </w:rPr>
              <w:t>t/a</w:t>
            </w:r>
          </w:p>
        </w:tc>
        <w:tc>
          <w:tcPr>
            <w:tcW w:w="1398" w:type="dxa"/>
            <w:noWrap w:val="0"/>
            <w:vAlign w:val="center"/>
          </w:tcPr>
          <w:p w14:paraId="46DA228E">
            <w:pPr>
              <w:pStyle w:val="4"/>
              <w:keepNext w:val="0"/>
              <w:keepLines w:val="0"/>
              <w:autoSpaceDE w:val="0"/>
              <w:autoSpaceDN w:val="0"/>
              <w:spacing w:line="240" w:lineRule="auto"/>
              <w:jc w:val="center"/>
              <w:textAlignment w:val="baseline"/>
              <w:rPr>
                <w:rFonts w:eastAsia="宋体"/>
                <w:szCs w:val="21"/>
              </w:rPr>
            </w:pPr>
            <w:r>
              <w:rPr>
                <w:rFonts w:eastAsia="宋体"/>
                <w:szCs w:val="21"/>
              </w:rPr>
              <w:t>+</w:t>
            </w:r>
            <w:r>
              <w:rPr>
                <w:rFonts w:hint="eastAsia" w:eastAsia="宋体"/>
                <w:b w:val="0"/>
                <w:sz w:val="21"/>
                <w:szCs w:val="21"/>
                <w:lang w:val="en-US" w:eastAsia="zh-CN"/>
              </w:rPr>
              <w:t>4.362</w:t>
            </w:r>
            <w:r>
              <w:rPr>
                <w:rFonts w:eastAsia="宋体"/>
                <w:b w:val="0"/>
                <w:bCs w:val="0"/>
              </w:rPr>
              <w:t>t/a</w:t>
            </w:r>
          </w:p>
        </w:tc>
      </w:tr>
      <w:tr w14:paraId="3811FE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2" w:type="dxa"/>
            <w:vMerge w:val="continue"/>
            <w:noWrap w:val="0"/>
            <w:vAlign w:val="center"/>
          </w:tcPr>
          <w:p w14:paraId="4CC24688">
            <w:pPr>
              <w:pStyle w:val="53"/>
              <w:spacing w:before="24" w:after="24" w:line="240" w:lineRule="auto"/>
              <w:ind w:left="420" w:hanging="420"/>
              <w:rPr>
                <w:rFonts w:ascii="Times New Roman" w:eastAsia="宋体"/>
                <w:snapToGrid w:val="0"/>
                <w:color w:val="auto"/>
                <w:kern w:val="21"/>
                <w:szCs w:val="21"/>
              </w:rPr>
            </w:pPr>
          </w:p>
        </w:tc>
        <w:tc>
          <w:tcPr>
            <w:tcW w:w="1998" w:type="dxa"/>
            <w:noWrap w:val="0"/>
            <w:vAlign w:val="center"/>
          </w:tcPr>
          <w:p w14:paraId="07DFC0D5">
            <w:pPr>
              <w:jc w:val="center"/>
              <w:rPr>
                <w:rFonts w:hint="eastAsia" w:ascii="Times New Roman" w:hAnsi="Times New Roman" w:eastAsia="宋体" w:cs="Times New Roman"/>
                <w:bCs/>
                <w:kern w:val="0"/>
                <w:szCs w:val="21"/>
                <w:lang w:eastAsia="zh-CN"/>
              </w:rPr>
            </w:pPr>
            <w:r>
              <w:rPr>
                <w:rFonts w:hint="eastAsia" w:ascii="Times New Roman" w:hAnsi="Times New Roman" w:eastAsia="宋体" w:cs="Times New Roman"/>
                <w:bCs/>
                <w:kern w:val="0"/>
                <w:szCs w:val="21"/>
                <w:lang w:eastAsia="zh-CN"/>
              </w:rPr>
              <w:t>实验设备及实验室地面清洗废水</w:t>
            </w:r>
          </w:p>
        </w:tc>
        <w:tc>
          <w:tcPr>
            <w:tcW w:w="1575" w:type="dxa"/>
            <w:noWrap w:val="0"/>
            <w:vAlign w:val="center"/>
          </w:tcPr>
          <w:p w14:paraId="5FE9D1B2">
            <w:pPr>
              <w:pStyle w:val="53"/>
              <w:spacing w:beforeLines="0" w:afterLines="0" w:line="240" w:lineRule="auto"/>
              <w:ind w:left="420" w:hanging="420"/>
              <w:rPr>
                <w:rFonts w:ascii="Times New Roman" w:eastAsia="宋体"/>
                <w:snapToGrid w:val="0"/>
                <w:color w:val="auto"/>
                <w:kern w:val="21"/>
                <w:szCs w:val="21"/>
              </w:rPr>
            </w:pPr>
            <w:r>
              <w:rPr>
                <w:rFonts w:ascii="Times New Roman" w:eastAsia="宋体"/>
                <w:snapToGrid w:val="0"/>
                <w:color w:val="auto"/>
                <w:kern w:val="21"/>
                <w:szCs w:val="21"/>
              </w:rPr>
              <w:t>0</w:t>
            </w:r>
          </w:p>
        </w:tc>
        <w:tc>
          <w:tcPr>
            <w:tcW w:w="1110" w:type="dxa"/>
            <w:noWrap w:val="0"/>
            <w:vAlign w:val="center"/>
          </w:tcPr>
          <w:p w14:paraId="427A9881">
            <w:pPr>
              <w:pStyle w:val="53"/>
              <w:spacing w:beforeLines="0" w:afterLines="0" w:line="240" w:lineRule="auto"/>
              <w:ind w:left="420" w:hanging="420"/>
              <w:rPr>
                <w:rFonts w:ascii="Times New Roman" w:eastAsia="宋体"/>
                <w:snapToGrid w:val="0"/>
                <w:color w:val="auto"/>
                <w:kern w:val="21"/>
                <w:szCs w:val="21"/>
              </w:rPr>
            </w:pPr>
            <w:r>
              <w:rPr>
                <w:rFonts w:ascii="Times New Roman" w:eastAsia="宋体"/>
                <w:snapToGrid w:val="0"/>
                <w:color w:val="auto"/>
                <w:kern w:val="21"/>
                <w:szCs w:val="21"/>
              </w:rPr>
              <w:t>/</w:t>
            </w:r>
          </w:p>
        </w:tc>
        <w:tc>
          <w:tcPr>
            <w:tcW w:w="1590" w:type="dxa"/>
            <w:noWrap w:val="0"/>
            <w:vAlign w:val="center"/>
          </w:tcPr>
          <w:p w14:paraId="41F1CC24">
            <w:pPr>
              <w:pStyle w:val="53"/>
              <w:spacing w:beforeLines="0" w:afterLines="0" w:line="240" w:lineRule="auto"/>
              <w:ind w:left="420" w:hanging="420"/>
              <w:rPr>
                <w:rFonts w:ascii="Times New Roman" w:eastAsia="宋体"/>
                <w:snapToGrid w:val="0"/>
                <w:color w:val="auto"/>
                <w:kern w:val="21"/>
                <w:szCs w:val="21"/>
              </w:rPr>
            </w:pPr>
            <w:r>
              <w:rPr>
                <w:rFonts w:ascii="Times New Roman" w:eastAsia="宋体"/>
                <w:snapToGrid w:val="0"/>
                <w:color w:val="auto"/>
                <w:kern w:val="21"/>
                <w:szCs w:val="21"/>
              </w:rPr>
              <w:t>0</w:t>
            </w:r>
          </w:p>
        </w:tc>
        <w:tc>
          <w:tcPr>
            <w:tcW w:w="1665" w:type="dxa"/>
            <w:noWrap w:val="0"/>
            <w:vAlign w:val="center"/>
          </w:tcPr>
          <w:p w14:paraId="42E3E914">
            <w:pPr>
              <w:pStyle w:val="4"/>
              <w:keepNext w:val="0"/>
              <w:keepLines w:val="0"/>
              <w:autoSpaceDE w:val="0"/>
              <w:autoSpaceDN w:val="0"/>
              <w:spacing w:line="240" w:lineRule="auto"/>
              <w:jc w:val="center"/>
              <w:textAlignment w:val="baseline"/>
              <w:rPr>
                <w:rFonts w:eastAsia="宋体"/>
                <w:b w:val="0"/>
                <w:sz w:val="21"/>
                <w:szCs w:val="21"/>
              </w:rPr>
            </w:pPr>
            <w:r>
              <w:rPr>
                <w:rFonts w:hint="eastAsia" w:eastAsia="宋体"/>
                <w:b w:val="0"/>
                <w:sz w:val="21"/>
                <w:szCs w:val="21"/>
                <w:lang w:val="en-US" w:eastAsia="zh-CN"/>
              </w:rPr>
              <w:t>29.7</w:t>
            </w:r>
            <w:r>
              <w:rPr>
                <w:rFonts w:eastAsia="宋体"/>
                <w:b w:val="0"/>
                <w:bCs w:val="0"/>
              </w:rPr>
              <w:t>t/a</w:t>
            </w:r>
          </w:p>
        </w:tc>
        <w:tc>
          <w:tcPr>
            <w:tcW w:w="1665" w:type="dxa"/>
            <w:noWrap w:val="0"/>
            <w:vAlign w:val="top"/>
          </w:tcPr>
          <w:p w14:paraId="2009FF2C">
            <w:pPr>
              <w:pStyle w:val="53"/>
              <w:spacing w:beforeLines="0" w:afterLines="0" w:line="240" w:lineRule="auto"/>
              <w:ind w:left="420" w:hanging="420"/>
              <w:rPr>
                <w:rFonts w:ascii="Times New Roman" w:eastAsia="宋体"/>
                <w:color w:val="auto"/>
              </w:rPr>
            </w:pPr>
            <w:r>
              <w:rPr>
                <w:rFonts w:ascii="Times New Roman" w:eastAsia="宋体"/>
                <w:color w:val="auto"/>
              </w:rPr>
              <w:t>0</w:t>
            </w:r>
          </w:p>
        </w:tc>
        <w:tc>
          <w:tcPr>
            <w:tcW w:w="1625" w:type="dxa"/>
            <w:noWrap w:val="0"/>
            <w:vAlign w:val="center"/>
          </w:tcPr>
          <w:p w14:paraId="7DBE239C">
            <w:pPr>
              <w:pStyle w:val="4"/>
              <w:keepNext w:val="0"/>
              <w:keepLines w:val="0"/>
              <w:autoSpaceDE w:val="0"/>
              <w:autoSpaceDN w:val="0"/>
              <w:spacing w:line="240" w:lineRule="auto"/>
              <w:jc w:val="center"/>
              <w:textAlignment w:val="baseline"/>
              <w:rPr>
                <w:rFonts w:eastAsia="宋体"/>
                <w:b w:val="0"/>
                <w:sz w:val="21"/>
                <w:szCs w:val="21"/>
              </w:rPr>
            </w:pPr>
            <w:r>
              <w:rPr>
                <w:rFonts w:hint="eastAsia" w:eastAsia="宋体"/>
                <w:b w:val="0"/>
                <w:sz w:val="21"/>
                <w:szCs w:val="21"/>
                <w:lang w:val="en-US" w:eastAsia="zh-CN"/>
              </w:rPr>
              <w:t>29.7</w:t>
            </w:r>
            <w:r>
              <w:rPr>
                <w:rFonts w:eastAsia="宋体"/>
                <w:b w:val="0"/>
                <w:bCs w:val="0"/>
              </w:rPr>
              <w:t>t/a</w:t>
            </w:r>
          </w:p>
        </w:tc>
        <w:tc>
          <w:tcPr>
            <w:tcW w:w="1398" w:type="dxa"/>
            <w:noWrap w:val="0"/>
            <w:vAlign w:val="center"/>
          </w:tcPr>
          <w:p w14:paraId="5B7E07E0">
            <w:pPr>
              <w:pStyle w:val="4"/>
              <w:keepNext w:val="0"/>
              <w:keepLines w:val="0"/>
              <w:autoSpaceDE w:val="0"/>
              <w:autoSpaceDN w:val="0"/>
              <w:spacing w:line="240" w:lineRule="auto"/>
              <w:jc w:val="center"/>
              <w:textAlignment w:val="baseline"/>
              <w:rPr>
                <w:rFonts w:eastAsia="宋体"/>
                <w:szCs w:val="21"/>
              </w:rPr>
            </w:pPr>
            <w:r>
              <w:rPr>
                <w:rFonts w:eastAsia="宋体"/>
                <w:szCs w:val="21"/>
              </w:rPr>
              <w:t>+</w:t>
            </w:r>
            <w:r>
              <w:rPr>
                <w:rFonts w:hint="eastAsia" w:eastAsia="宋体"/>
                <w:b w:val="0"/>
                <w:sz w:val="21"/>
                <w:szCs w:val="21"/>
                <w:lang w:val="en-US" w:eastAsia="zh-CN"/>
              </w:rPr>
              <w:t>29.7</w:t>
            </w:r>
            <w:r>
              <w:rPr>
                <w:rFonts w:eastAsia="宋体"/>
                <w:b w:val="0"/>
                <w:bCs w:val="0"/>
              </w:rPr>
              <w:t>t/a</w:t>
            </w:r>
          </w:p>
        </w:tc>
      </w:tr>
    </w:tbl>
    <w:p w14:paraId="56256586">
      <w:pPr>
        <w:pStyle w:val="53"/>
        <w:spacing w:before="192" w:beforeLines="80" w:after="24"/>
        <w:jc w:val="left"/>
        <w:rPr>
          <w:rFonts w:hint="eastAsia"/>
          <w:color w:val="auto"/>
        </w:rPr>
      </w:pPr>
      <w:r>
        <w:rPr>
          <w:rFonts w:hAnsi="宋体"/>
          <w:snapToGrid w:val="0"/>
          <w:color w:val="auto"/>
          <w:kern w:val="21"/>
          <w:szCs w:val="21"/>
        </w:rPr>
        <w:t>注：</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6 \* GB3 \* MERGEFORMAT </w:instrText>
      </w:r>
      <w:r>
        <w:rPr>
          <w:rFonts w:hAnsi="宋体"/>
          <w:snapToGrid w:val="0"/>
          <w:color w:val="auto"/>
          <w:spacing w:val="-16"/>
          <w:kern w:val="21"/>
          <w:szCs w:val="21"/>
        </w:rPr>
        <w:fldChar w:fldCharType="separate"/>
      </w:r>
      <w:r>
        <w:rPr>
          <w:rFonts w:hint="eastAsia" w:hAnsi="宋体"/>
          <w:color w:val="auto"/>
          <w:szCs w:val="21"/>
        </w:rPr>
        <w:t>⑥</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1 \* GB3 \* MERGEFORMAT </w:instrText>
      </w:r>
      <w:r>
        <w:rPr>
          <w:rFonts w:hAnsi="宋体"/>
          <w:snapToGrid w:val="0"/>
          <w:color w:val="auto"/>
          <w:spacing w:val="-6"/>
          <w:kern w:val="21"/>
          <w:szCs w:val="21"/>
        </w:rPr>
        <w:fldChar w:fldCharType="separate"/>
      </w:r>
      <w:r>
        <w:rPr>
          <w:rFonts w:hint="eastAsia" w:hAnsi="宋体"/>
          <w:color w:val="auto"/>
          <w:szCs w:val="21"/>
        </w:rPr>
        <w:t>①</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3 \* GB3 \* MERGEFORMAT </w:instrText>
      </w:r>
      <w:r>
        <w:rPr>
          <w:rFonts w:hAnsi="宋体"/>
          <w:snapToGrid w:val="0"/>
          <w:color w:val="auto"/>
          <w:spacing w:val="-6"/>
          <w:kern w:val="21"/>
          <w:szCs w:val="21"/>
        </w:rPr>
        <w:fldChar w:fldCharType="separate"/>
      </w:r>
      <w:r>
        <w:rPr>
          <w:rFonts w:hint="eastAsia" w:hAnsi="宋体"/>
          <w:color w:val="auto"/>
          <w:szCs w:val="21"/>
        </w:rPr>
        <w:t>③</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4 \* GB3 \* MERGEFORMAT </w:instrText>
      </w:r>
      <w:r>
        <w:rPr>
          <w:rFonts w:hAnsi="宋体"/>
          <w:snapToGrid w:val="0"/>
          <w:color w:val="auto"/>
          <w:spacing w:val="-6"/>
          <w:kern w:val="21"/>
          <w:szCs w:val="21"/>
        </w:rPr>
        <w:fldChar w:fldCharType="separate"/>
      </w:r>
      <w:r>
        <w:rPr>
          <w:rFonts w:hint="eastAsia" w:hAnsi="宋体"/>
          <w:color w:val="auto"/>
          <w:szCs w:val="21"/>
        </w:rPr>
        <w:t>④</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5 \* GB3 \* MERGEFORMAT </w:instrText>
      </w:r>
      <w:r>
        <w:rPr>
          <w:rFonts w:hAnsi="宋体"/>
          <w:snapToGrid w:val="0"/>
          <w:color w:val="auto"/>
          <w:spacing w:val="-16"/>
          <w:kern w:val="21"/>
          <w:szCs w:val="21"/>
        </w:rPr>
        <w:fldChar w:fldCharType="separate"/>
      </w:r>
      <w:r>
        <w:rPr>
          <w:rFonts w:hint="eastAsia" w:hAnsi="宋体"/>
          <w:color w:val="auto"/>
          <w:szCs w:val="21"/>
        </w:rPr>
        <w:t>⑤</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7 \* GB3 \* MERGEFORMAT </w:instrText>
      </w:r>
      <w:r>
        <w:rPr>
          <w:rFonts w:hAnsi="宋体"/>
          <w:snapToGrid w:val="0"/>
          <w:color w:val="auto"/>
          <w:spacing w:val="-6"/>
          <w:kern w:val="21"/>
          <w:szCs w:val="21"/>
        </w:rPr>
        <w:fldChar w:fldCharType="separate"/>
      </w:r>
      <w:r>
        <w:rPr>
          <w:rFonts w:hint="eastAsia" w:hAnsi="宋体"/>
          <w:color w:val="auto"/>
          <w:szCs w:val="21"/>
        </w:rPr>
        <w:t>⑦</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6 \* GB3 \* MERGEFORMAT </w:instrText>
      </w:r>
      <w:r>
        <w:rPr>
          <w:rFonts w:hAnsi="宋体"/>
          <w:snapToGrid w:val="0"/>
          <w:color w:val="auto"/>
          <w:spacing w:val="-16"/>
          <w:kern w:val="21"/>
          <w:szCs w:val="21"/>
        </w:rPr>
        <w:fldChar w:fldCharType="separate"/>
      </w:r>
      <w:r>
        <w:rPr>
          <w:rFonts w:hint="eastAsia" w:hAnsi="宋体"/>
          <w:color w:val="auto"/>
          <w:szCs w:val="21"/>
        </w:rPr>
        <w:t>⑥</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1 \* GB3 \* MERGEFORMAT </w:instrText>
      </w:r>
      <w:r>
        <w:rPr>
          <w:rFonts w:hAnsi="宋体"/>
          <w:snapToGrid w:val="0"/>
          <w:color w:val="auto"/>
          <w:spacing w:val="-6"/>
          <w:kern w:val="21"/>
          <w:szCs w:val="21"/>
        </w:rPr>
        <w:fldChar w:fldCharType="separate"/>
      </w:r>
      <w:r>
        <w:rPr>
          <w:rFonts w:hint="eastAsia" w:hAnsi="宋体"/>
          <w:color w:val="auto"/>
          <w:szCs w:val="21"/>
        </w:rPr>
        <w:t>①</w:t>
      </w:r>
      <w:r>
        <w:rPr>
          <w:rFonts w:hAnsi="宋体"/>
          <w:snapToGrid w:val="0"/>
          <w:color w:val="auto"/>
          <w:spacing w:val="-6"/>
          <w:kern w:val="21"/>
          <w:szCs w:val="21"/>
        </w:rPr>
        <w:fldChar w:fldCharType="end"/>
      </w:r>
    </w:p>
    <w:p w14:paraId="4B7C158F">
      <w:pPr>
        <w:pStyle w:val="21"/>
        <w:ind w:left="0"/>
        <w:rPr>
          <w:rFonts w:hint="eastAsia"/>
        </w:rPr>
      </w:pPr>
    </w:p>
    <w:sectPr>
      <w:footerReference r:id="rId5" w:type="default"/>
      <w:pgSz w:w="16838" w:h="11906" w:orient="landscape"/>
      <w:pgMar w:top="1080" w:right="1440" w:bottom="1080" w:left="1440"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49F1066-6BE6-45C3-8D17-C031DF94929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75CDFBA-3241-43F9-B987-5F21E0D288EA}"/>
  </w:font>
  <w:font w:name="方正魏碑简体">
    <w:altName w:val="宋体"/>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0ACF5FD9-B44E-4C17-BF93-CD64669CA90C}"/>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embedRegular r:id="rId4" w:fontKey="{FF2275A4-DDEE-4095-BAF3-733AE8A2DB3B}"/>
  </w:font>
  <w:font w:name="Wingdings 2">
    <w:panose1 w:val="05020102010507070707"/>
    <w:charset w:val="02"/>
    <w:family w:val="roman"/>
    <w:pitch w:val="default"/>
    <w:sig w:usb0="00000000" w:usb1="00000000" w:usb2="00000000" w:usb3="00000000" w:csb0="80000000" w:csb1="00000000"/>
    <w:embedRegular r:id="rId5" w:fontKey="{E2D6D2A5-34B0-45CD-9B16-1AE964B4F21C}"/>
  </w:font>
  <w:font w:name="Cambria Math">
    <w:panose1 w:val="02040503050406030204"/>
    <w:charset w:val="00"/>
    <w:family w:val="auto"/>
    <w:pitch w:val="default"/>
    <w:sig w:usb0="E00002FF" w:usb1="420024FF" w:usb2="00000000" w:usb3="00000000" w:csb0="2000019F" w:csb1="00000000"/>
    <w:embedRegular r:id="rId6" w:fontKey="{BC5FEF8B-F0AB-4365-A2BD-BCB19C2C94A2}"/>
  </w:font>
  <w:font w:name="Mongolian Baiti">
    <w:panose1 w:val="03000500000000000000"/>
    <w:charset w:val="00"/>
    <w:family w:val="script"/>
    <w:pitch w:val="default"/>
    <w:sig w:usb0="80000023" w:usb1="00000000" w:usb2="00020000" w:usb3="00000000" w:csb0="00000001" w:csb1="00000000"/>
    <w:embedRegular r:id="rId7" w:fontKey="{17624EAA-916A-4737-92D4-49959F612BEA}"/>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7F707">
    <w:pPr>
      <w:pStyle w:val="1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E115A">
    <w:pPr>
      <w:pStyle w:val="17"/>
      <w:ind w:right="360" w:firstLine="360"/>
      <w:jc w:val="center"/>
    </w:pPr>
  </w:p>
  <w:p w14:paraId="6CFBC47E">
    <w:pPr>
      <w:pStyle w:val="17"/>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0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926848">
                          <w:pPr>
                            <w:pStyle w:val="17"/>
                            <w:rPr>
                              <w:rStyle w:val="30"/>
                              <w:rFonts w:ascii="宋体" w:hAnsi="宋体"/>
                              <w:sz w:val="28"/>
                              <w:szCs w:val="28"/>
                            </w:rPr>
                          </w:pPr>
                          <w:r>
                            <w:rPr>
                              <w:rStyle w:val="30"/>
                              <w:rFonts w:hint="eastAsia" w:ascii="宋体" w:hAnsi="宋体"/>
                              <w:sz w:val="28"/>
                              <w:szCs w:val="28"/>
                            </w:rPr>
                            <w:t>—</w:t>
                          </w:r>
                          <w:r>
                            <w:rPr>
                              <w:rStyle w:val="30"/>
                              <w:rFonts w:hint="eastAsia" w:ascii="宋体" w:hAnsi="宋体"/>
                              <w:sz w:val="20"/>
                            </w:rPr>
                            <w:t xml:space="preserve"> </w:t>
                          </w:r>
                          <w:r>
                            <w:rPr>
                              <w:rStyle w:val="30"/>
                              <w:sz w:val="20"/>
                            </w:rPr>
                            <w:t xml:space="preserve"> </w:t>
                          </w:r>
                          <w:r>
                            <w:rPr>
                              <w:sz w:val="26"/>
                              <w:szCs w:val="26"/>
                            </w:rPr>
                            <w:fldChar w:fldCharType="begin"/>
                          </w:r>
                          <w:r>
                            <w:rPr>
                              <w:rStyle w:val="30"/>
                              <w:sz w:val="26"/>
                              <w:szCs w:val="26"/>
                            </w:rPr>
                            <w:instrText xml:space="preserve">PAGE  </w:instrText>
                          </w:r>
                          <w:r>
                            <w:rPr>
                              <w:sz w:val="26"/>
                              <w:szCs w:val="26"/>
                            </w:rPr>
                            <w:fldChar w:fldCharType="separate"/>
                          </w:r>
                          <w:r>
                            <w:rPr>
                              <w:rStyle w:val="30"/>
                              <w:sz w:val="26"/>
                              <w:szCs w:val="26"/>
                            </w:rPr>
                            <w:t>63</w:t>
                          </w:r>
                          <w:r>
                            <w:rPr>
                              <w:sz w:val="26"/>
                              <w:szCs w:val="26"/>
                            </w:rPr>
                            <w:fldChar w:fldCharType="end"/>
                          </w:r>
                          <w:r>
                            <w:rPr>
                              <w:rStyle w:val="30"/>
                              <w:rFonts w:hint="eastAsia" w:ascii="宋体" w:hAnsi="宋体"/>
                              <w:sz w:val="20"/>
                            </w:rPr>
                            <w:t xml:space="preserve">  </w:t>
                          </w:r>
                          <w:r>
                            <w:rPr>
                              <w:rStyle w:val="30"/>
                              <w:rFonts w:hint="eastAsia" w:ascii="宋体" w:hAnsi="宋体"/>
                              <w:sz w:val="28"/>
                              <w:szCs w:val="28"/>
                            </w:rPr>
                            <w:t>—</w:t>
                          </w:r>
                        </w:p>
                      </w:txbxContent>
                    </wps:txbx>
                    <wps:bodyPr wrap="none" lIns="0" tIns="0" rIns="0" bIns="0" upright="0">
                      <a:spAutoFit/>
                    </wps:bodyPr>
                  </wps:wsp>
                </a:graphicData>
              </a:graphic>
            </wp:anchor>
          </w:drawing>
        </mc:Choice>
        <mc:Fallback>
          <w:pict>
            <v:shape id="文本框 205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vgRzTLAQAAnAMAAA4AAAAAAAAAAQAgAAAAHgEAAGRycy9lMm9E&#10;b2MueG1sUEsFBgAAAAAGAAYAWQEAAFsFAAAAAA==&#10;">
              <v:fill on="f" focussize="0,0"/>
              <v:stroke on="f"/>
              <v:imagedata o:title=""/>
              <o:lock v:ext="edit" aspectratio="f"/>
              <v:textbox inset="0mm,0mm,0mm,0mm" style="mso-fit-shape-to-text:t;">
                <w:txbxContent>
                  <w:p w14:paraId="5D926848">
                    <w:pPr>
                      <w:pStyle w:val="17"/>
                      <w:rPr>
                        <w:rStyle w:val="30"/>
                        <w:rFonts w:ascii="宋体" w:hAnsi="宋体"/>
                        <w:sz w:val="28"/>
                        <w:szCs w:val="28"/>
                      </w:rPr>
                    </w:pPr>
                    <w:r>
                      <w:rPr>
                        <w:rStyle w:val="30"/>
                        <w:rFonts w:hint="eastAsia" w:ascii="宋体" w:hAnsi="宋体"/>
                        <w:sz w:val="28"/>
                        <w:szCs w:val="28"/>
                      </w:rPr>
                      <w:t>—</w:t>
                    </w:r>
                    <w:r>
                      <w:rPr>
                        <w:rStyle w:val="30"/>
                        <w:rFonts w:hint="eastAsia" w:ascii="宋体" w:hAnsi="宋体"/>
                        <w:sz w:val="20"/>
                      </w:rPr>
                      <w:t xml:space="preserve"> </w:t>
                    </w:r>
                    <w:r>
                      <w:rPr>
                        <w:rStyle w:val="30"/>
                        <w:sz w:val="20"/>
                      </w:rPr>
                      <w:t xml:space="preserve"> </w:t>
                    </w:r>
                    <w:r>
                      <w:rPr>
                        <w:sz w:val="26"/>
                        <w:szCs w:val="26"/>
                      </w:rPr>
                      <w:fldChar w:fldCharType="begin"/>
                    </w:r>
                    <w:r>
                      <w:rPr>
                        <w:rStyle w:val="30"/>
                        <w:sz w:val="26"/>
                        <w:szCs w:val="26"/>
                      </w:rPr>
                      <w:instrText xml:space="preserve">PAGE  </w:instrText>
                    </w:r>
                    <w:r>
                      <w:rPr>
                        <w:sz w:val="26"/>
                        <w:szCs w:val="26"/>
                      </w:rPr>
                      <w:fldChar w:fldCharType="separate"/>
                    </w:r>
                    <w:r>
                      <w:rPr>
                        <w:rStyle w:val="30"/>
                        <w:sz w:val="26"/>
                        <w:szCs w:val="26"/>
                      </w:rPr>
                      <w:t>63</w:t>
                    </w:r>
                    <w:r>
                      <w:rPr>
                        <w:sz w:val="26"/>
                        <w:szCs w:val="26"/>
                      </w:rPr>
                      <w:fldChar w:fldCharType="end"/>
                    </w:r>
                    <w:r>
                      <w:rPr>
                        <w:rStyle w:val="30"/>
                        <w:rFonts w:hint="eastAsia" w:ascii="宋体" w:hAnsi="宋体"/>
                        <w:sz w:val="20"/>
                      </w:rPr>
                      <w:t xml:space="preserve">  </w:t>
                    </w:r>
                    <w:r>
                      <w:rPr>
                        <w:rStyle w:val="30"/>
                        <w:rFonts w:hint="eastAsia" w:ascii="宋体" w:hAnsi="宋体"/>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CDB8F">
    <w:pPr>
      <w:pStyle w:val="17"/>
      <w:ind w:right="360"/>
      <w:jc w:val="both"/>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3757B0"/>
    <w:multiLevelType w:val="singleLevel"/>
    <w:tmpl w:val="B63757B0"/>
    <w:lvl w:ilvl="0" w:tentative="0">
      <w:start w:val="2"/>
      <w:numFmt w:val="chineseCounting"/>
      <w:suff w:val="nothing"/>
      <w:lvlText w:val="%1、"/>
      <w:lvlJc w:val="left"/>
      <w:rPr>
        <w:rFonts w:hint="eastAsia"/>
      </w:rPr>
    </w:lvl>
  </w:abstractNum>
  <w:abstractNum w:abstractNumId="1">
    <w:nsid w:val="2FDC41FA"/>
    <w:multiLevelType w:val="multilevel"/>
    <w:tmpl w:val="2FDC41FA"/>
    <w:lvl w:ilvl="0" w:tentative="0">
      <w:start w:val="1"/>
      <w:numFmt w:val="decimal"/>
      <w:pStyle w:val="94"/>
      <w:lvlText w:val="表%1"/>
      <w:lvlJc w:val="left"/>
      <w:pPr>
        <w:ind w:left="840" w:hanging="420"/>
      </w:pPr>
      <w:rPr>
        <w:rFonts w:hint="eastAsia"/>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xNjQwYzE1ZGU4MjM0MjI3ZjNhOTQyN2E3MTBiN2EifQ=="/>
  </w:docVars>
  <w:rsids>
    <w:rsidRoot w:val="00172A27"/>
    <w:rsid w:val="000033A5"/>
    <w:rsid w:val="000060B3"/>
    <w:rsid w:val="00034624"/>
    <w:rsid w:val="0004364B"/>
    <w:rsid w:val="00061B1F"/>
    <w:rsid w:val="000667BB"/>
    <w:rsid w:val="000733C4"/>
    <w:rsid w:val="00074783"/>
    <w:rsid w:val="0008070B"/>
    <w:rsid w:val="000810AC"/>
    <w:rsid w:val="0008151C"/>
    <w:rsid w:val="00081A02"/>
    <w:rsid w:val="00082231"/>
    <w:rsid w:val="00083FE0"/>
    <w:rsid w:val="0008403B"/>
    <w:rsid w:val="000927FE"/>
    <w:rsid w:val="00092D38"/>
    <w:rsid w:val="0009329D"/>
    <w:rsid w:val="0009377B"/>
    <w:rsid w:val="000A20C9"/>
    <w:rsid w:val="000B058F"/>
    <w:rsid w:val="000B2332"/>
    <w:rsid w:val="000B4467"/>
    <w:rsid w:val="000B4DB9"/>
    <w:rsid w:val="000C09AC"/>
    <w:rsid w:val="000C767F"/>
    <w:rsid w:val="000D5A44"/>
    <w:rsid w:val="000E3ED2"/>
    <w:rsid w:val="000E5B3A"/>
    <w:rsid w:val="000F250E"/>
    <w:rsid w:val="001214A5"/>
    <w:rsid w:val="00131F42"/>
    <w:rsid w:val="00134A92"/>
    <w:rsid w:val="001357F1"/>
    <w:rsid w:val="00140FA8"/>
    <w:rsid w:val="00142FEB"/>
    <w:rsid w:val="00143A2D"/>
    <w:rsid w:val="00145A41"/>
    <w:rsid w:val="00151675"/>
    <w:rsid w:val="00157435"/>
    <w:rsid w:val="0017504D"/>
    <w:rsid w:val="00175D12"/>
    <w:rsid w:val="00175D6B"/>
    <w:rsid w:val="0017630D"/>
    <w:rsid w:val="0017671A"/>
    <w:rsid w:val="00177422"/>
    <w:rsid w:val="001821C9"/>
    <w:rsid w:val="00184590"/>
    <w:rsid w:val="001870D1"/>
    <w:rsid w:val="0018781E"/>
    <w:rsid w:val="0019262D"/>
    <w:rsid w:val="001A1B35"/>
    <w:rsid w:val="001A48A2"/>
    <w:rsid w:val="001A6F61"/>
    <w:rsid w:val="001B72B8"/>
    <w:rsid w:val="001C69B3"/>
    <w:rsid w:val="001D37E5"/>
    <w:rsid w:val="001D5595"/>
    <w:rsid w:val="001D5B26"/>
    <w:rsid w:val="001D7874"/>
    <w:rsid w:val="001D7F22"/>
    <w:rsid w:val="001F00C3"/>
    <w:rsid w:val="001F0F17"/>
    <w:rsid w:val="001F3347"/>
    <w:rsid w:val="001F69E4"/>
    <w:rsid w:val="002125B4"/>
    <w:rsid w:val="002155B8"/>
    <w:rsid w:val="00224839"/>
    <w:rsid w:val="002249B2"/>
    <w:rsid w:val="00226574"/>
    <w:rsid w:val="002278EC"/>
    <w:rsid w:val="0023280E"/>
    <w:rsid w:val="0023311A"/>
    <w:rsid w:val="002377D1"/>
    <w:rsid w:val="002470C6"/>
    <w:rsid w:val="002506BC"/>
    <w:rsid w:val="00254345"/>
    <w:rsid w:val="00255CD4"/>
    <w:rsid w:val="00264557"/>
    <w:rsid w:val="002805AB"/>
    <w:rsid w:val="00284204"/>
    <w:rsid w:val="00291773"/>
    <w:rsid w:val="00296F1B"/>
    <w:rsid w:val="002976DE"/>
    <w:rsid w:val="002A168C"/>
    <w:rsid w:val="002A2587"/>
    <w:rsid w:val="002A3DC7"/>
    <w:rsid w:val="002B49E2"/>
    <w:rsid w:val="002B7B00"/>
    <w:rsid w:val="002B7C44"/>
    <w:rsid w:val="002C2B17"/>
    <w:rsid w:val="002D0F27"/>
    <w:rsid w:val="002D3DD0"/>
    <w:rsid w:val="002D4682"/>
    <w:rsid w:val="002E1F3A"/>
    <w:rsid w:val="002E298A"/>
    <w:rsid w:val="002F20A6"/>
    <w:rsid w:val="00301978"/>
    <w:rsid w:val="0030332C"/>
    <w:rsid w:val="003051C2"/>
    <w:rsid w:val="00312296"/>
    <w:rsid w:val="00314817"/>
    <w:rsid w:val="00314F0E"/>
    <w:rsid w:val="00315627"/>
    <w:rsid w:val="0032176E"/>
    <w:rsid w:val="00321D8E"/>
    <w:rsid w:val="00325928"/>
    <w:rsid w:val="003277AB"/>
    <w:rsid w:val="00332863"/>
    <w:rsid w:val="0033684D"/>
    <w:rsid w:val="00337B42"/>
    <w:rsid w:val="00341B42"/>
    <w:rsid w:val="0034348F"/>
    <w:rsid w:val="00356653"/>
    <w:rsid w:val="0035743F"/>
    <w:rsid w:val="00357BE2"/>
    <w:rsid w:val="0036170C"/>
    <w:rsid w:val="00366E0F"/>
    <w:rsid w:val="00374ABF"/>
    <w:rsid w:val="00381A72"/>
    <w:rsid w:val="00384676"/>
    <w:rsid w:val="00390857"/>
    <w:rsid w:val="00394B6D"/>
    <w:rsid w:val="00395EE5"/>
    <w:rsid w:val="003A04A0"/>
    <w:rsid w:val="003A3068"/>
    <w:rsid w:val="003A4BC9"/>
    <w:rsid w:val="003A4BF3"/>
    <w:rsid w:val="003B420D"/>
    <w:rsid w:val="003C35B8"/>
    <w:rsid w:val="003C6C16"/>
    <w:rsid w:val="003D660F"/>
    <w:rsid w:val="003D794D"/>
    <w:rsid w:val="003E3058"/>
    <w:rsid w:val="003E76A9"/>
    <w:rsid w:val="003F0809"/>
    <w:rsid w:val="003F2077"/>
    <w:rsid w:val="003F46B4"/>
    <w:rsid w:val="003F6A8C"/>
    <w:rsid w:val="003F755C"/>
    <w:rsid w:val="00400515"/>
    <w:rsid w:val="00406F01"/>
    <w:rsid w:val="00414921"/>
    <w:rsid w:val="00416D50"/>
    <w:rsid w:val="00416FD5"/>
    <w:rsid w:val="00417772"/>
    <w:rsid w:val="00420E6A"/>
    <w:rsid w:val="00425A9E"/>
    <w:rsid w:val="00426D6B"/>
    <w:rsid w:val="00431E6C"/>
    <w:rsid w:val="00433CE7"/>
    <w:rsid w:val="004345B8"/>
    <w:rsid w:val="00436B43"/>
    <w:rsid w:val="00451B47"/>
    <w:rsid w:val="00452738"/>
    <w:rsid w:val="00456091"/>
    <w:rsid w:val="0046265C"/>
    <w:rsid w:val="00466321"/>
    <w:rsid w:val="004663CE"/>
    <w:rsid w:val="00472204"/>
    <w:rsid w:val="00484B9B"/>
    <w:rsid w:val="004855F6"/>
    <w:rsid w:val="0048661E"/>
    <w:rsid w:val="004942B2"/>
    <w:rsid w:val="00494670"/>
    <w:rsid w:val="0049734C"/>
    <w:rsid w:val="004A0928"/>
    <w:rsid w:val="004A3823"/>
    <w:rsid w:val="004A3C7E"/>
    <w:rsid w:val="004C1D96"/>
    <w:rsid w:val="004E6946"/>
    <w:rsid w:val="004F1AD8"/>
    <w:rsid w:val="005039CB"/>
    <w:rsid w:val="0050558F"/>
    <w:rsid w:val="00506286"/>
    <w:rsid w:val="00510813"/>
    <w:rsid w:val="00511990"/>
    <w:rsid w:val="00511DE0"/>
    <w:rsid w:val="00514870"/>
    <w:rsid w:val="00514B9B"/>
    <w:rsid w:val="00517F02"/>
    <w:rsid w:val="00522C5C"/>
    <w:rsid w:val="00524303"/>
    <w:rsid w:val="005258A2"/>
    <w:rsid w:val="005401AE"/>
    <w:rsid w:val="00542E07"/>
    <w:rsid w:val="00545424"/>
    <w:rsid w:val="00545B30"/>
    <w:rsid w:val="0054737F"/>
    <w:rsid w:val="00553104"/>
    <w:rsid w:val="00554A7B"/>
    <w:rsid w:val="00554F9B"/>
    <w:rsid w:val="00555018"/>
    <w:rsid w:val="0055572C"/>
    <w:rsid w:val="0056106A"/>
    <w:rsid w:val="005616A5"/>
    <w:rsid w:val="00562AE0"/>
    <w:rsid w:val="00563819"/>
    <w:rsid w:val="005641CB"/>
    <w:rsid w:val="005720AE"/>
    <w:rsid w:val="00593215"/>
    <w:rsid w:val="00594D77"/>
    <w:rsid w:val="005969E4"/>
    <w:rsid w:val="005A06B7"/>
    <w:rsid w:val="005A1759"/>
    <w:rsid w:val="005A2DC6"/>
    <w:rsid w:val="005A68A7"/>
    <w:rsid w:val="005B5D09"/>
    <w:rsid w:val="005D36AB"/>
    <w:rsid w:val="005E2E52"/>
    <w:rsid w:val="005F6163"/>
    <w:rsid w:val="00617BF3"/>
    <w:rsid w:val="00617CC3"/>
    <w:rsid w:val="00627623"/>
    <w:rsid w:val="0063461D"/>
    <w:rsid w:val="0063611E"/>
    <w:rsid w:val="006377A6"/>
    <w:rsid w:val="00637A3D"/>
    <w:rsid w:val="006411EF"/>
    <w:rsid w:val="00641887"/>
    <w:rsid w:val="00654DDC"/>
    <w:rsid w:val="00654FAD"/>
    <w:rsid w:val="00671C2C"/>
    <w:rsid w:val="006732E0"/>
    <w:rsid w:val="006748B8"/>
    <w:rsid w:val="006775C3"/>
    <w:rsid w:val="006869F1"/>
    <w:rsid w:val="0069290A"/>
    <w:rsid w:val="0069775A"/>
    <w:rsid w:val="00697813"/>
    <w:rsid w:val="006A3EE8"/>
    <w:rsid w:val="006A72BF"/>
    <w:rsid w:val="006B03F2"/>
    <w:rsid w:val="006B37DC"/>
    <w:rsid w:val="006B4F68"/>
    <w:rsid w:val="006C0592"/>
    <w:rsid w:val="006C272E"/>
    <w:rsid w:val="006C5479"/>
    <w:rsid w:val="006C7FCF"/>
    <w:rsid w:val="006D13B5"/>
    <w:rsid w:val="006D143D"/>
    <w:rsid w:val="006D3F8D"/>
    <w:rsid w:val="006E0A2A"/>
    <w:rsid w:val="006E12FF"/>
    <w:rsid w:val="006E607E"/>
    <w:rsid w:val="006F2DE3"/>
    <w:rsid w:val="006F3A15"/>
    <w:rsid w:val="00706C5D"/>
    <w:rsid w:val="00731ACB"/>
    <w:rsid w:val="00732922"/>
    <w:rsid w:val="0075162E"/>
    <w:rsid w:val="0075173D"/>
    <w:rsid w:val="007535F3"/>
    <w:rsid w:val="00754034"/>
    <w:rsid w:val="00756556"/>
    <w:rsid w:val="007618C4"/>
    <w:rsid w:val="00767980"/>
    <w:rsid w:val="00770B19"/>
    <w:rsid w:val="0077463F"/>
    <w:rsid w:val="00777C94"/>
    <w:rsid w:val="00782CC5"/>
    <w:rsid w:val="007836EA"/>
    <w:rsid w:val="00784CDA"/>
    <w:rsid w:val="007906C4"/>
    <w:rsid w:val="0079307B"/>
    <w:rsid w:val="007940EA"/>
    <w:rsid w:val="007967E8"/>
    <w:rsid w:val="007A2170"/>
    <w:rsid w:val="007A22BF"/>
    <w:rsid w:val="007A3323"/>
    <w:rsid w:val="007B72B8"/>
    <w:rsid w:val="007B781A"/>
    <w:rsid w:val="007B7A58"/>
    <w:rsid w:val="007C21B5"/>
    <w:rsid w:val="007D7608"/>
    <w:rsid w:val="007E4BD2"/>
    <w:rsid w:val="007F55C3"/>
    <w:rsid w:val="007F6E7D"/>
    <w:rsid w:val="00801393"/>
    <w:rsid w:val="00802F88"/>
    <w:rsid w:val="0081293E"/>
    <w:rsid w:val="00812A08"/>
    <w:rsid w:val="00815465"/>
    <w:rsid w:val="00817E9A"/>
    <w:rsid w:val="008306BD"/>
    <w:rsid w:val="00831A80"/>
    <w:rsid w:val="00832227"/>
    <w:rsid w:val="00833743"/>
    <w:rsid w:val="008340A4"/>
    <w:rsid w:val="00837FD1"/>
    <w:rsid w:val="00842540"/>
    <w:rsid w:val="00844B49"/>
    <w:rsid w:val="0087135F"/>
    <w:rsid w:val="00872D94"/>
    <w:rsid w:val="00880364"/>
    <w:rsid w:val="00883097"/>
    <w:rsid w:val="00883EAC"/>
    <w:rsid w:val="00891592"/>
    <w:rsid w:val="00891E9E"/>
    <w:rsid w:val="00892878"/>
    <w:rsid w:val="008A2F68"/>
    <w:rsid w:val="008B1AD8"/>
    <w:rsid w:val="008B46E4"/>
    <w:rsid w:val="008B4FA6"/>
    <w:rsid w:val="008B5282"/>
    <w:rsid w:val="008B7C17"/>
    <w:rsid w:val="008C2D01"/>
    <w:rsid w:val="008C40E6"/>
    <w:rsid w:val="008D0F7A"/>
    <w:rsid w:val="008D68E4"/>
    <w:rsid w:val="008D7064"/>
    <w:rsid w:val="008E046B"/>
    <w:rsid w:val="008E0506"/>
    <w:rsid w:val="008E0CFF"/>
    <w:rsid w:val="008E58BA"/>
    <w:rsid w:val="008E5D6B"/>
    <w:rsid w:val="008E76F0"/>
    <w:rsid w:val="008F15FE"/>
    <w:rsid w:val="008F2D29"/>
    <w:rsid w:val="008F5187"/>
    <w:rsid w:val="008F51B9"/>
    <w:rsid w:val="008F60D8"/>
    <w:rsid w:val="00902727"/>
    <w:rsid w:val="0090312B"/>
    <w:rsid w:val="0091447B"/>
    <w:rsid w:val="0091736D"/>
    <w:rsid w:val="00923F6C"/>
    <w:rsid w:val="0093037A"/>
    <w:rsid w:val="00932221"/>
    <w:rsid w:val="009328C3"/>
    <w:rsid w:val="0094154D"/>
    <w:rsid w:val="00943255"/>
    <w:rsid w:val="009511F2"/>
    <w:rsid w:val="0095155F"/>
    <w:rsid w:val="00954429"/>
    <w:rsid w:val="009563CE"/>
    <w:rsid w:val="00957BB5"/>
    <w:rsid w:val="009617A5"/>
    <w:rsid w:val="00976328"/>
    <w:rsid w:val="0097680D"/>
    <w:rsid w:val="00982438"/>
    <w:rsid w:val="00982B1A"/>
    <w:rsid w:val="0098404C"/>
    <w:rsid w:val="00984D44"/>
    <w:rsid w:val="00985283"/>
    <w:rsid w:val="009929C5"/>
    <w:rsid w:val="00994CE6"/>
    <w:rsid w:val="00995992"/>
    <w:rsid w:val="009A03E5"/>
    <w:rsid w:val="009A0F3B"/>
    <w:rsid w:val="009A1BB4"/>
    <w:rsid w:val="009A2628"/>
    <w:rsid w:val="009A3200"/>
    <w:rsid w:val="009B0897"/>
    <w:rsid w:val="009B7BD9"/>
    <w:rsid w:val="009C7DD5"/>
    <w:rsid w:val="009E227D"/>
    <w:rsid w:val="009E5019"/>
    <w:rsid w:val="009F0FB5"/>
    <w:rsid w:val="009F66E2"/>
    <w:rsid w:val="00A02B75"/>
    <w:rsid w:val="00A037F8"/>
    <w:rsid w:val="00A04F1B"/>
    <w:rsid w:val="00A0501B"/>
    <w:rsid w:val="00A11C2A"/>
    <w:rsid w:val="00A14947"/>
    <w:rsid w:val="00A14B6E"/>
    <w:rsid w:val="00A32A83"/>
    <w:rsid w:val="00A368DB"/>
    <w:rsid w:val="00A423AA"/>
    <w:rsid w:val="00A477E6"/>
    <w:rsid w:val="00A53EC6"/>
    <w:rsid w:val="00A55C0F"/>
    <w:rsid w:val="00A86057"/>
    <w:rsid w:val="00A8713F"/>
    <w:rsid w:val="00A90BA1"/>
    <w:rsid w:val="00A97A9A"/>
    <w:rsid w:val="00AA0671"/>
    <w:rsid w:val="00AA1DF6"/>
    <w:rsid w:val="00AA2531"/>
    <w:rsid w:val="00AB18DC"/>
    <w:rsid w:val="00AB1E09"/>
    <w:rsid w:val="00AB4EFC"/>
    <w:rsid w:val="00AB5330"/>
    <w:rsid w:val="00AB7747"/>
    <w:rsid w:val="00AC14CE"/>
    <w:rsid w:val="00AC2A56"/>
    <w:rsid w:val="00AD055E"/>
    <w:rsid w:val="00AD47A7"/>
    <w:rsid w:val="00AE53B6"/>
    <w:rsid w:val="00AE5BAC"/>
    <w:rsid w:val="00AF0CBF"/>
    <w:rsid w:val="00AF257F"/>
    <w:rsid w:val="00AF33CF"/>
    <w:rsid w:val="00AF4D50"/>
    <w:rsid w:val="00AF6179"/>
    <w:rsid w:val="00B1295A"/>
    <w:rsid w:val="00B129F5"/>
    <w:rsid w:val="00B20A45"/>
    <w:rsid w:val="00B22C5C"/>
    <w:rsid w:val="00B237FF"/>
    <w:rsid w:val="00B24F30"/>
    <w:rsid w:val="00B31ABF"/>
    <w:rsid w:val="00B33BE3"/>
    <w:rsid w:val="00B344BE"/>
    <w:rsid w:val="00B36536"/>
    <w:rsid w:val="00B4546B"/>
    <w:rsid w:val="00B475C3"/>
    <w:rsid w:val="00B53B5D"/>
    <w:rsid w:val="00B553DD"/>
    <w:rsid w:val="00B6055E"/>
    <w:rsid w:val="00B6317D"/>
    <w:rsid w:val="00B64BFF"/>
    <w:rsid w:val="00B7723F"/>
    <w:rsid w:val="00B77BDB"/>
    <w:rsid w:val="00B80534"/>
    <w:rsid w:val="00B8433C"/>
    <w:rsid w:val="00B87491"/>
    <w:rsid w:val="00B93964"/>
    <w:rsid w:val="00BA04E4"/>
    <w:rsid w:val="00BA0D72"/>
    <w:rsid w:val="00BA29E9"/>
    <w:rsid w:val="00BA7142"/>
    <w:rsid w:val="00BB237C"/>
    <w:rsid w:val="00BB41A3"/>
    <w:rsid w:val="00BC32DC"/>
    <w:rsid w:val="00BC35B6"/>
    <w:rsid w:val="00BC61EE"/>
    <w:rsid w:val="00BD1B51"/>
    <w:rsid w:val="00BD2B90"/>
    <w:rsid w:val="00BD4596"/>
    <w:rsid w:val="00BE1405"/>
    <w:rsid w:val="00BE261E"/>
    <w:rsid w:val="00BE312D"/>
    <w:rsid w:val="00BF1C20"/>
    <w:rsid w:val="00C03148"/>
    <w:rsid w:val="00C10578"/>
    <w:rsid w:val="00C135BC"/>
    <w:rsid w:val="00C15C95"/>
    <w:rsid w:val="00C21742"/>
    <w:rsid w:val="00C2596A"/>
    <w:rsid w:val="00C25C9C"/>
    <w:rsid w:val="00C27537"/>
    <w:rsid w:val="00C328FE"/>
    <w:rsid w:val="00C33507"/>
    <w:rsid w:val="00C4123F"/>
    <w:rsid w:val="00C4409D"/>
    <w:rsid w:val="00C44E72"/>
    <w:rsid w:val="00C45A06"/>
    <w:rsid w:val="00C47E5B"/>
    <w:rsid w:val="00C56E3B"/>
    <w:rsid w:val="00C61E4B"/>
    <w:rsid w:val="00C64BFF"/>
    <w:rsid w:val="00C704E9"/>
    <w:rsid w:val="00C763C9"/>
    <w:rsid w:val="00C80057"/>
    <w:rsid w:val="00C80648"/>
    <w:rsid w:val="00C82232"/>
    <w:rsid w:val="00C82913"/>
    <w:rsid w:val="00C86365"/>
    <w:rsid w:val="00C95865"/>
    <w:rsid w:val="00C972B1"/>
    <w:rsid w:val="00CA2CCE"/>
    <w:rsid w:val="00CA43FD"/>
    <w:rsid w:val="00CA7EF8"/>
    <w:rsid w:val="00CB1BD1"/>
    <w:rsid w:val="00CB7595"/>
    <w:rsid w:val="00CB77B7"/>
    <w:rsid w:val="00CC2072"/>
    <w:rsid w:val="00CC489B"/>
    <w:rsid w:val="00CC614F"/>
    <w:rsid w:val="00CD2BCD"/>
    <w:rsid w:val="00CD3A4C"/>
    <w:rsid w:val="00CE10E9"/>
    <w:rsid w:val="00CE2910"/>
    <w:rsid w:val="00CE4362"/>
    <w:rsid w:val="00CE5393"/>
    <w:rsid w:val="00CE6196"/>
    <w:rsid w:val="00CF36BE"/>
    <w:rsid w:val="00CF4A60"/>
    <w:rsid w:val="00CF6000"/>
    <w:rsid w:val="00D003F3"/>
    <w:rsid w:val="00D0364F"/>
    <w:rsid w:val="00D06834"/>
    <w:rsid w:val="00D15B03"/>
    <w:rsid w:val="00D201E7"/>
    <w:rsid w:val="00D308ED"/>
    <w:rsid w:val="00D311A6"/>
    <w:rsid w:val="00D36D86"/>
    <w:rsid w:val="00D428AA"/>
    <w:rsid w:val="00D50A34"/>
    <w:rsid w:val="00D53EFA"/>
    <w:rsid w:val="00D575CA"/>
    <w:rsid w:val="00D62738"/>
    <w:rsid w:val="00D65106"/>
    <w:rsid w:val="00D81A3B"/>
    <w:rsid w:val="00D8294C"/>
    <w:rsid w:val="00D931E3"/>
    <w:rsid w:val="00D94A7C"/>
    <w:rsid w:val="00D95896"/>
    <w:rsid w:val="00DB2983"/>
    <w:rsid w:val="00DB60FB"/>
    <w:rsid w:val="00DC1257"/>
    <w:rsid w:val="00DC3DC0"/>
    <w:rsid w:val="00DC5B2B"/>
    <w:rsid w:val="00DC74DA"/>
    <w:rsid w:val="00DD318D"/>
    <w:rsid w:val="00DF2E12"/>
    <w:rsid w:val="00DF514A"/>
    <w:rsid w:val="00DF6690"/>
    <w:rsid w:val="00DF6804"/>
    <w:rsid w:val="00E008FB"/>
    <w:rsid w:val="00E0358D"/>
    <w:rsid w:val="00E04323"/>
    <w:rsid w:val="00E061F9"/>
    <w:rsid w:val="00E070A2"/>
    <w:rsid w:val="00E10D12"/>
    <w:rsid w:val="00E22BD5"/>
    <w:rsid w:val="00E248B4"/>
    <w:rsid w:val="00E2656A"/>
    <w:rsid w:val="00E30D0C"/>
    <w:rsid w:val="00E412D0"/>
    <w:rsid w:val="00E51787"/>
    <w:rsid w:val="00E5612E"/>
    <w:rsid w:val="00E56322"/>
    <w:rsid w:val="00E57A3B"/>
    <w:rsid w:val="00E60982"/>
    <w:rsid w:val="00E6102F"/>
    <w:rsid w:val="00E62C62"/>
    <w:rsid w:val="00E654C1"/>
    <w:rsid w:val="00E65D97"/>
    <w:rsid w:val="00E670D0"/>
    <w:rsid w:val="00E72A5A"/>
    <w:rsid w:val="00E73354"/>
    <w:rsid w:val="00E74E8E"/>
    <w:rsid w:val="00E841D9"/>
    <w:rsid w:val="00E9242D"/>
    <w:rsid w:val="00E94B9F"/>
    <w:rsid w:val="00EA4CFD"/>
    <w:rsid w:val="00EB04FD"/>
    <w:rsid w:val="00EB4782"/>
    <w:rsid w:val="00EB5255"/>
    <w:rsid w:val="00EB5C47"/>
    <w:rsid w:val="00EB6CED"/>
    <w:rsid w:val="00EB7BD5"/>
    <w:rsid w:val="00EC5E2A"/>
    <w:rsid w:val="00ED0639"/>
    <w:rsid w:val="00ED0F2D"/>
    <w:rsid w:val="00ED1AA1"/>
    <w:rsid w:val="00EF4755"/>
    <w:rsid w:val="00EF7135"/>
    <w:rsid w:val="00F027DB"/>
    <w:rsid w:val="00F05016"/>
    <w:rsid w:val="00F05973"/>
    <w:rsid w:val="00F14A7A"/>
    <w:rsid w:val="00F1529E"/>
    <w:rsid w:val="00F22985"/>
    <w:rsid w:val="00F26330"/>
    <w:rsid w:val="00F3383E"/>
    <w:rsid w:val="00F432AD"/>
    <w:rsid w:val="00F465A7"/>
    <w:rsid w:val="00F50B7C"/>
    <w:rsid w:val="00F550E6"/>
    <w:rsid w:val="00F633F7"/>
    <w:rsid w:val="00F726BC"/>
    <w:rsid w:val="00F74345"/>
    <w:rsid w:val="00F77B9A"/>
    <w:rsid w:val="00F80A0A"/>
    <w:rsid w:val="00F82B19"/>
    <w:rsid w:val="00F9212D"/>
    <w:rsid w:val="00F9435E"/>
    <w:rsid w:val="00F94B14"/>
    <w:rsid w:val="00F965DA"/>
    <w:rsid w:val="00FA406A"/>
    <w:rsid w:val="00FA7655"/>
    <w:rsid w:val="00FB07B9"/>
    <w:rsid w:val="00FB1C9A"/>
    <w:rsid w:val="00FB3B58"/>
    <w:rsid w:val="00FB503A"/>
    <w:rsid w:val="00FB516C"/>
    <w:rsid w:val="00FB6711"/>
    <w:rsid w:val="00FC3B7B"/>
    <w:rsid w:val="00FC4601"/>
    <w:rsid w:val="00FC534F"/>
    <w:rsid w:val="00FD0236"/>
    <w:rsid w:val="00FD18F4"/>
    <w:rsid w:val="00FD2730"/>
    <w:rsid w:val="00FD54DB"/>
    <w:rsid w:val="00FD619F"/>
    <w:rsid w:val="00FE50E5"/>
    <w:rsid w:val="010F3B4F"/>
    <w:rsid w:val="01290F7E"/>
    <w:rsid w:val="015D1E09"/>
    <w:rsid w:val="015E3A19"/>
    <w:rsid w:val="018E6FEB"/>
    <w:rsid w:val="01970D66"/>
    <w:rsid w:val="01BD6A4C"/>
    <w:rsid w:val="01CB190D"/>
    <w:rsid w:val="01E671C0"/>
    <w:rsid w:val="01F455A9"/>
    <w:rsid w:val="0212537B"/>
    <w:rsid w:val="02383164"/>
    <w:rsid w:val="02697903"/>
    <w:rsid w:val="02B774AB"/>
    <w:rsid w:val="02F96569"/>
    <w:rsid w:val="031D57D6"/>
    <w:rsid w:val="034E500C"/>
    <w:rsid w:val="0363148C"/>
    <w:rsid w:val="039C1C53"/>
    <w:rsid w:val="03A72C8E"/>
    <w:rsid w:val="03D560DA"/>
    <w:rsid w:val="03EA7B21"/>
    <w:rsid w:val="03F410D5"/>
    <w:rsid w:val="045646BC"/>
    <w:rsid w:val="045709EB"/>
    <w:rsid w:val="04614722"/>
    <w:rsid w:val="04D647A0"/>
    <w:rsid w:val="05114297"/>
    <w:rsid w:val="053E5C46"/>
    <w:rsid w:val="0543467D"/>
    <w:rsid w:val="055204AE"/>
    <w:rsid w:val="056B6FBF"/>
    <w:rsid w:val="058B61C3"/>
    <w:rsid w:val="05CB040B"/>
    <w:rsid w:val="05CB3EAD"/>
    <w:rsid w:val="05EB1BBD"/>
    <w:rsid w:val="05F83EAE"/>
    <w:rsid w:val="06244D2B"/>
    <w:rsid w:val="063E7D85"/>
    <w:rsid w:val="06680907"/>
    <w:rsid w:val="06C435AB"/>
    <w:rsid w:val="06E5269F"/>
    <w:rsid w:val="070348FB"/>
    <w:rsid w:val="07197D7E"/>
    <w:rsid w:val="07293586"/>
    <w:rsid w:val="07295285"/>
    <w:rsid w:val="07524923"/>
    <w:rsid w:val="07576C78"/>
    <w:rsid w:val="075C697E"/>
    <w:rsid w:val="07636392"/>
    <w:rsid w:val="07770C56"/>
    <w:rsid w:val="0785769C"/>
    <w:rsid w:val="07945DD1"/>
    <w:rsid w:val="07A8571B"/>
    <w:rsid w:val="07EF1B51"/>
    <w:rsid w:val="0804576E"/>
    <w:rsid w:val="082B2582"/>
    <w:rsid w:val="086662EA"/>
    <w:rsid w:val="087574FB"/>
    <w:rsid w:val="08907CD6"/>
    <w:rsid w:val="08A055A6"/>
    <w:rsid w:val="08BD5EA6"/>
    <w:rsid w:val="08D7140C"/>
    <w:rsid w:val="08D8693F"/>
    <w:rsid w:val="08DA0C99"/>
    <w:rsid w:val="08FB56CF"/>
    <w:rsid w:val="092217DD"/>
    <w:rsid w:val="093047D0"/>
    <w:rsid w:val="093A7294"/>
    <w:rsid w:val="09462687"/>
    <w:rsid w:val="094F0EA4"/>
    <w:rsid w:val="09627E07"/>
    <w:rsid w:val="09BF7045"/>
    <w:rsid w:val="0A001086"/>
    <w:rsid w:val="0A263993"/>
    <w:rsid w:val="0A2D3AC2"/>
    <w:rsid w:val="0A46466B"/>
    <w:rsid w:val="0A6F103B"/>
    <w:rsid w:val="0A7113D6"/>
    <w:rsid w:val="0A7430FA"/>
    <w:rsid w:val="0AA755DF"/>
    <w:rsid w:val="0AB67FDA"/>
    <w:rsid w:val="0AD86051"/>
    <w:rsid w:val="0AFD5DCB"/>
    <w:rsid w:val="0B0C73AD"/>
    <w:rsid w:val="0B120D44"/>
    <w:rsid w:val="0B330D58"/>
    <w:rsid w:val="0B376336"/>
    <w:rsid w:val="0B7805E2"/>
    <w:rsid w:val="0BA430DE"/>
    <w:rsid w:val="0BC62F92"/>
    <w:rsid w:val="0BCC4DAA"/>
    <w:rsid w:val="0BD27BF6"/>
    <w:rsid w:val="0BFB37B9"/>
    <w:rsid w:val="0C187FA2"/>
    <w:rsid w:val="0C2043EB"/>
    <w:rsid w:val="0C232F87"/>
    <w:rsid w:val="0C241D12"/>
    <w:rsid w:val="0C340C5B"/>
    <w:rsid w:val="0C3B3C7D"/>
    <w:rsid w:val="0C517D9F"/>
    <w:rsid w:val="0C771CFA"/>
    <w:rsid w:val="0CAB2EAE"/>
    <w:rsid w:val="0D20392F"/>
    <w:rsid w:val="0D226793"/>
    <w:rsid w:val="0D3846EC"/>
    <w:rsid w:val="0D56040C"/>
    <w:rsid w:val="0D621C7D"/>
    <w:rsid w:val="0D715ACB"/>
    <w:rsid w:val="0D7C1FD1"/>
    <w:rsid w:val="0DA2656C"/>
    <w:rsid w:val="0DC529A3"/>
    <w:rsid w:val="0DC702AA"/>
    <w:rsid w:val="0DC914E1"/>
    <w:rsid w:val="0E14048D"/>
    <w:rsid w:val="0E3D164A"/>
    <w:rsid w:val="0E666C71"/>
    <w:rsid w:val="0E697649"/>
    <w:rsid w:val="0E73034D"/>
    <w:rsid w:val="0EA4766F"/>
    <w:rsid w:val="0EA866ED"/>
    <w:rsid w:val="0EB30CE4"/>
    <w:rsid w:val="0EDB24C1"/>
    <w:rsid w:val="0F13775A"/>
    <w:rsid w:val="0F1D05AD"/>
    <w:rsid w:val="0F400F23"/>
    <w:rsid w:val="0F5F45FE"/>
    <w:rsid w:val="0F9A112B"/>
    <w:rsid w:val="0FDC39E2"/>
    <w:rsid w:val="0FE04C90"/>
    <w:rsid w:val="10081BFE"/>
    <w:rsid w:val="100C0CF9"/>
    <w:rsid w:val="104E375E"/>
    <w:rsid w:val="106D2F64"/>
    <w:rsid w:val="10B63710"/>
    <w:rsid w:val="10B801A7"/>
    <w:rsid w:val="10BA6D45"/>
    <w:rsid w:val="10C33A8D"/>
    <w:rsid w:val="10F10820"/>
    <w:rsid w:val="111C2F7A"/>
    <w:rsid w:val="112C1EA6"/>
    <w:rsid w:val="11396B7C"/>
    <w:rsid w:val="11485928"/>
    <w:rsid w:val="1149101A"/>
    <w:rsid w:val="11521EE5"/>
    <w:rsid w:val="11591A64"/>
    <w:rsid w:val="11665CA1"/>
    <w:rsid w:val="118343F5"/>
    <w:rsid w:val="11E619E4"/>
    <w:rsid w:val="123D7D60"/>
    <w:rsid w:val="12A50C1E"/>
    <w:rsid w:val="12B52572"/>
    <w:rsid w:val="12BD7F4D"/>
    <w:rsid w:val="12D00627"/>
    <w:rsid w:val="131D17C0"/>
    <w:rsid w:val="133368C3"/>
    <w:rsid w:val="133C2B74"/>
    <w:rsid w:val="13542954"/>
    <w:rsid w:val="13856C06"/>
    <w:rsid w:val="13951726"/>
    <w:rsid w:val="13A13B8A"/>
    <w:rsid w:val="13BD6B7A"/>
    <w:rsid w:val="13CD2F54"/>
    <w:rsid w:val="13D92199"/>
    <w:rsid w:val="14145CBB"/>
    <w:rsid w:val="14396509"/>
    <w:rsid w:val="14492038"/>
    <w:rsid w:val="147F6DE6"/>
    <w:rsid w:val="14807CB2"/>
    <w:rsid w:val="1497505C"/>
    <w:rsid w:val="14A603EF"/>
    <w:rsid w:val="14CC272A"/>
    <w:rsid w:val="14DD2C3C"/>
    <w:rsid w:val="14ED3D4F"/>
    <w:rsid w:val="151509C8"/>
    <w:rsid w:val="15290620"/>
    <w:rsid w:val="15612213"/>
    <w:rsid w:val="156B309E"/>
    <w:rsid w:val="15700084"/>
    <w:rsid w:val="158E3C8E"/>
    <w:rsid w:val="160252B2"/>
    <w:rsid w:val="1602688F"/>
    <w:rsid w:val="160550C9"/>
    <w:rsid w:val="16087E1D"/>
    <w:rsid w:val="16351E68"/>
    <w:rsid w:val="165145CB"/>
    <w:rsid w:val="16AB6B58"/>
    <w:rsid w:val="16CB7220"/>
    <w:rsid w:val="16E51370"/>
    <w:rsid w:val="16EF0253"/>
    <w:rsid w:val="17701D14"/>
    <w:rsid w:val="17735226"/>
    <w:rsid w:val="177D60B6"/>
    <w:rsid w:val="17BC5DAA"/>
    <w:rsid w:val="17C24DB6"/>
    <w:rsid w:val="17C51790"/>
    <w:rsid w:val="17D1730A"/>
    <w:rsid w:val="17E41274"/>
    <w:rsid w:val="17EE17B2"/>
    <w:rsid w:val="189F624C"/>
    <w:rsid w:val="18A94431"/>
    <w:rsid w:val="18C86965"/>
    <w:rsid w:val="18F42CFB"/>
    <w:rsid w:val="190760D3"/>
    <w:rsid w:val="191F3AEA"/>
    <w:rsid w:val="195D692E"/>
    <w:rsid w:val="19795616"/>
    <w:rsid w:val="197C0D6E"/>
    <w:rsid w:val="198F273D"/>
    <w:rsid w:val="19C973C6"/>
    <w:rsid w:val="1A1C66C0"/>
    <w:rsid w:val="1A263E17"/>
    <w:rsid w:val="1A3A3DA8"/>
    <w:rsid w:val="1A42393B"/>
    <w:rsid w:val="1A84724F"/>
    <w:rsid w:val="1A937AF8"/>
    <w:rsid w:val="1AAD45DE"/>
    <w:rsid w:val="1B046F80"/>
    <w:rsid w:val="1B075976"/>
    <w:rsid w:val="1B3267B5"/>
    <w:rsid w:val="1B40161D"/>
    <w:rsid w:val="1B441859"/>
    <w:rsid w:val="1B6606B1"/>
    <w:rsid w:val="1B9F496D"/>
    <w:rsid w:val="1BA57132"/>
    <w:rsid w:val="1BFA37B2"/>
    <w:rsid w:val="1C230A79"/>
    <w:rsid w:val="1C254FED"/>
    <w:rsid w:val="1C2B0A14"/>
    <w:rsid w:val="1C2C6FD3"/>
    <w:rsid w:val="1C305CD6"/>
    <w:rsid w:val="1C507855"/>
    <w:rsid w:val="1C5E7925"/>
    <w:rsid w:val="1CAE413E"/>
    <w:rsid w:val="1CBC21EF"/>
    <w:rsid w:val="1CC06B6D"/>
    <w:rsid w:val="1CF53632"/>
    <w:rsid w:val="1CF559B3"/>
    <w:rsid w:val="1CFC4141"/>
    <w:rsid w:val="1CFD070F"/>
    <w:rsid w:val="1D0C6CA3"/>
    <w:rsid w:val="1D1E7819"/>
    <w:rsid w:val="1D422A6F"/>
    <w:rsid w:val="1D5F6196"/>
    <w:rsid w:val="1D6132A5"/>
    <w:rsid w:val="1D890245"/>
    <w:rsid w:val="1D8E56D5"/>
    <w:rsid w:val="1DA50210"/>
    <w:rsid w:val="1DA97437"/>
    <w:rsid w:val="1DC41E58"/>
    <w:rsid w:val="1DCF493A"/>
    <w:rsid w:val="1DD719E1"/>
    <w:rsid w:val="1E2C6FDD"/>
    <w:rsid w:val="1E2D6E1E"/>
    <w:rsid w:val="1E7A43DA"/>
    <w:rsid w:val="1E84024F"/>
    <w:rsid w:val="1E845724"/>
    <w:rsid w:val="1F677787"/>
    <w:rsid w:val="1FB2422A"/>
    <w:rsid w:val="1FC23628"/>
    <w:rsid w:val="1FE7539E"/>
    <w:rsid w:val="200C3CD8"/>
    <w:rsid w:val="200C651D"/>
    <w:rsid w:val="201D5557"/>
    <w:rsid w:val="20671BE0"/>
    <w:rsid w:val="20943FA8"/>
    <w:rsid w:val="20952607"/>
    <w:rsid w:val="20963CB8"/>
    <w:rsid w:val="20A81A1B"/>
    <w:rsid w:val="20B07FB6"/>
    <w:rsid w:val="20B646FB"/>
    <w:rsid w:val="20C5231E"/>
    <w:rsid w:val="20D160E2"/>
    <w:rsid w:val="20DA756F"/>
    <w:rsid w:val="212A3E66"/>
    <w:rsid w:val="213B74B1"/>
    <w:rsid w:val="215A2310"/>
    <w:rsid w:val="21987852"/>
    <w:rsid w:val="219F0AC7"/>
    <w:rsid w:val="21C83B7A"/>
    <w:rsid w:val="21DE318A"/>
    <w:rsid w:val="21EE21B1"/>
    <w:rsid w:val="21EF5B80"/>
    <w:rsid w:val="21F46A7B"/>
    <w:rsid w:val="223B16BE"/>
    <w:rsid w:val="22576990"/>
    <w:rsid w:val="2267776B"/>
    <w:rsid w:val="228955B0"/>
    <w:rsid w:val="22DD5EF0"/>
    <w:rsid w:val="22DF6195"/>
    <w:rsid w:val="22E42C35"/>
    <w:rsid w:val="22F47480"/>
    <w:rsid w:val="2302043C"/>
    <w:rsid w:val="230421B4"/>
    <w:rsid w:val="236B2505"/>
    <w:rsid w:val="23AA528E"/>
    <w:rsid w:val="23B8340A"/>
    <w:rsid w:val="23DE1C48"/>
    <w:rsid w:val="23EC5015"/>
    <w:rsid w:val="23F0471A"/>
    <w:rsid w:val="23FD2E2F"/>
    <w:rsid w:val="240210CD"/>
    <w:rsid w:val="24284908"/>
    <w:rsid w:val="24354E0E"/>
    <w:rsid w:val="246A0828"/>
    <w:rsid w:val="24BF09F7"/>
    <w:rsid w:val="24D53684"/>
    <w:rsid w:val="24F271AB"/>
    <w:rsid w:val="252D53FE"/>
    <w:rsid w:val="254063A1"/>
    <w:rsid w:val="255D2432"/>
    <w:rsid w:val="25683A4E"/>
    <w:rsid w:val="25807CF1"/>
    <w:rsid w:val="25E96B9F"/>
    <w:rsid w:val="25EC2D81"/>
    <w:rsid w:val="260B7E4D"/>
    <w:rsid w:val="26181A20"/>
    <w:rsid w:val="265668DD"/>
    <w:rsid w:val="267F0DEE"/>
    <w:rsid w:val="26891E5E"/>
    <w:rsid w:val="26B66A3F"/>
    <w:rsid w:val="26C1630D"/>
    <w:rsid w:val="26F815E1"/>
    <w:rsid w:val="26F934A2"/>
    <w:rsid w:val="27267D2D"/>
    <w:rsid w:val="2743718B"/>
    <w:rsid w:val="27676217"/>
    <w:rsid w:val="277057A2"/>
    <w:rsid w:val="277A4E78"/>
    <w:rsid w:val="27A504B9"/>
    <w:rsid w:val="282B1BCF"/>
    <w:rsid w:val="284B6198"/>
    <w:rsid w:val="28577A06"/>
    <w:rsid w:val="286C6D8D"/>
    <w:rsid w:val="28A20C49"/>
    <w:rsid w:val="28AB7D51"/>
    <w:rsid w:val="28EF7D46"/>
    <w:rsid w:val="290E02E0"/>
    <w:rsid w:val="29206EB8"/>
    <w:rsid w:val="29484B3E"/>
    <w:rsid w:val="29595666"/>
    <w:rsid w:val="29874881"/>
    <w:rsid w:val="29E325E0"/>
    <w:rsid w:val="2A06421F"/>
    <w:rsid w:val="2A1505E0"/>
    <w:rsid w:val="2A2348BF"/>
    <w:rsid w:val="2A452503"/>
    <w:rsid w:val="2A680E0D"/>
    <w:rsid w:val="2A6F515E"/>
    <w:rsid w:val="2A794A79"/>
    <w:rsid w:val="2A8B2759"/>
    <w:rsid w:val="2A921C70"/>
    <w:rsid w:val="2AAD0F06"/>
    <w:rsid w:val="2AD04C45"/>
    <w:rsid w:val="2AD83A26"/>
    <w:rsid w:val="2AEA6CEA"/>
    <w:rsid w:val="2AEE3753"/>
    <w:rsid w:val="2B330643"/>
    <w:rsid w:val="2B842E35"/>
    <w:rsid w:val="2B8604E6"/>
    <w:rsid w:val="2B923AE9"/>
    <w:rsid w:val="2B936D76"/>
    <w:rsid w:val="2BA936A8"/>
    <w:rsid w:val="2BE2764E"/>
    <w:rsid w:val="2C061DF9"/>
    <w:rsid w:val="2C315A5A"/>
    <w:rsid w:val="2C4B1C25"/>
    <w:rsid w:val="2C512D16"/>
    <w:rsid w:val="2C68241B"/>
    <w:rsid w:val="2C991C3B"/>
    <w:rsid w:val="2CEB2F78"/>
    <w:rsid w:val="2CF60FFC"/>
    <w:rsid w:val="2CFC53A9"/>
    <w:rsid w:val="2D4D5E41"/>
    <w:rsid w:val="2D732A6D"/>
    <w:rsid w:val="2D736A7C"/>
    <w:rsid w:val="2D933207"/>
    <w:rsid w:val="2D98033E"/>
    <w:rsid w:val="2D9E56F5"/>
    <w:rsid w:val="2DA650CD"/>
    <w:rsid w:val="2DA6717A"/>
    <w:rsid w:val="2E420CB7"/>
    <w:rsid w:val="2E4F0421"/>
    <w:rsid w:val="2E4F2F2D"/>
    <w:rsid w:val="2E667F96"/>
    <w:rsid w:val="2E7A53E3"/>
    <w:rsid w:val="2E8226AB"/>
    <w:rsid w:val="2E865038"/>
    <w:rsid w:val="2E9B2A5A"/>
    <w:rsid w:val="2EF05AD4"/>
    <w:rsid w:val="2F256805"/>
    <w:rsid w:val="2F2D07E6"/>
    <w:rsid w:val="2F303DCC"/>
    <w:rsid w:val="2F323DF6"/>
    <w:rsid w:val="2F6D4D72"/>
    <w:rsid w:val="2FB30139"/>
    <w:rsid w:val="2FB8517A"/>
    <w:rsid w:val="2FD065E6"/>
    <w:rsid w:val="2FD96870"/>
    <w:rsid w:val="30006B1A"/>
    <w:rsid w:val="300C0210"/>
    <w:rsid w:val="3046666A"/>
    <w:rsid w:val="30580BC9"/>
    <w:rsid w:val="30701BFA"/>
    <w:rsid w:val="307034C1"/>
    <w:rsid w:val="307E676C"/>
    <w:rsid w:val="311E2E10"/>
    <w:rsid w:val="311E2ED7"/>
    <w:rsid w:val="31482779"/>
    <w:rsid w:val="315619EE"/>
    <w:rsid w:val="315975A4"/>
    <w:rsid w:val="315C449C"/>
    <w:rsid w:val="3176500C"/>
    <w:rsid w:val="317D0049"/>
    <w:rsid w:val="31831530"/>
    <w:rsid w:val="318E20D5"/>
    <w:rsid w:val="31B732C3"/>
    <w:rsid w:val="31B82709"/>
    <w:rsid w:val="31D05482"/>
    <w:rsid w:val="31D07BBD"/>
    <w:rsid w:val="3232228C"/>
    <w:rsid w:val="32400B34"/>
    <w:rsid w:val="324863D0"/>
    <w:rsid w:val="32503A17"/>
    <w:rsid w:val="3267691F"/>
    <w:rsid w:val="326D355B"/>
    <w:rsid w:val="328B4F5C"/>
    <w:rsid w:val="32926F1A"/>
    <w:rsid w:val="32987EF3"/>
    <w:rsid w:val="329E6876"/>
    <w:rsid w:val="32CA54F8"/>
    <w:rsid w:val="32D16607"/>
    <w:rsid w:val="33225DA8"/>
    <w:rsid w:val="3330157F"/>
    <w:rsid w:val="333015F2"/>
    <w:rsid w:val="33463541"/>
    <w:rsid w:val="334B6320"/>
    <w:rsid w:val="339B11CB"/>
    <w:rsid w:val="33C52F2E"/>
    <w:rsid w:val="33D934D4"/>
    <w:rsid w:val="33EF580E"/>
    <w:rsid w:val="33FE2F6A"/>
    <w:rsid w:val="34027DD5"/>
    <w:rsid w:val="340E07E5"/>
    <w:rsid w:val="3414694C"/>
    <w:rsid w:val="34235BF7"/>
    <w:rsid w:val="348567B0"/>
    <w:rsid w:val="34AF2210"/>
    <w:rsid w:val="34BE43C8"/>
    <w:rsid w:val="352275ED"/>
    <w:rsid w:val="3544215C"/>
    <w:rsid w:val="354D6418"/>
    <w:rsid w:val="358C5FA8"/>
    <w:rsid w:val="35C15DF1"/>
    <w:rsid w:val="35C2162F"/>
    <w:rsid w:val="35E114D9"/>
    <w:rsid w:val="35ED7BFB"/>
    <w:rsid w:val="36074A7F"/>
    <w:rsid w:val="36240040"/>
    <w:rsid w:val="364D1D93"/>
    <w:rsid w:val="367017C4"/>
    <w:rsid w:val="367463F1"/>
    <w:rsid w:val="368E6A3E"/>
    <w:rsid w:val="36923549"/>
    <w:rsid w:val="36A8540A"/>
    <w:rsid w:val="36AE738B"/>
    <w:rsid w:val="36B75FBF"/>
    <w:rsid w:val="36BD0C45"/>
    <w:rsid w:val="36D80FB6"/>
    <w:rsid w:val="36F218D6"/>
    <w:rsid w:val="37060730"/>
    <w:rsid w:val="371E01BF"/>
    <w:rsid w:val="37376938"/>
    <w:rsid w:val="37896080"/>
    <w:rsid w:val="37A83EA9"/>
    <w:rsid w:val="37B41B04"/>
    <w:rsid w:val="37B7226F"/>
    <w:rsid w:val="37C33B53"/>
    <w:rsid w:val="37C8190E"/>
    <w:rsid w:val="37DC74E6"/>
    <w:rsid w:val="37E00298"/>
    <w:rsid w:val="38493946"/>
    <w:rsid w:val="38543676"/>
    <w:rsid w:val="385C359F"/>
    <w:rsid w:val="385F01C6"/>
    <w:rsid w:val="38706E81"/>
    <w:rsid w:val="38870ED1"/>
    <w:rsid w:val="38B302F9"/>
    <w:rsid w:val="38C2144C"/>
    <w:rsid w:val="38F12CD3"/>
    <w:rsid w:val="38F33FCB"/>
    <w:rsid w:val="38F94775"/>
    <w:rsid w:val="392971ED"/>
    <w:rsid w:val="39325651"/>
    <w:rsid w:val="3991664C"/>
    <w:rsid w:val="39DE1037"/>
    <w:rsid w:val="3A1B78F6"/>
    <w:rsid w:val="3A326207"/>
    <w:rsid w:val="3A471D42"/>
    <w:rsid w:val="3A7D256D"/>
    <w:rsid w:val="3A82684F"/>
    <w:rsid w:val="3A872856"/>
    <w:rsid w:val="3A9343D0"/>
    <w:rsid w:val="3AAE3B2A"/>
    <w:rsid w:val="3AC02C63"/>
    <w:rsid w:val="3AD4138A"/>
    <w:rsid w:val="3AD6635F"/>
    <w:rsid w:val="3ADB064A"/>
    <w:rsid w:val="3AF06792"/>
    <w:rsid w:val="3AF072D4"/>
    <w:rsid w:val="3AFB6439"/>
    <w:rsid w:val="3B0D78B4"/>
    <w:rsid w:val="3B2E619F"/>
    <w:rsid w:val="3B3763D1"/>
    <w:rsid w:val="3B3E0799"/>
    <w:rsid w:val="3B450DF0"/>
    <w:rsid w:val="3BB2335D"/>
    <w:rsid w:val="3BE91D7E"/>
    <w:rsid w:val="3BEB4706"/>
    <w:rsid w:val="3C034472"/>
    <w:rsid w:val="3C267F42"/>
    <w:rsid w:val="3C2F4A6E"/>
    <w:rsid w:val="3C2F6E1E"/>
    <w:rsid w:val="3C323C7F"/>
    <w:rsid w:val="3C4F64BA"/>
    <w:rsid w:val="3C6027B0"/>
    <w:rsid w:val="3CB823E2"/>
    <w:rsid w:val="3CC859F9"/>
    <w:rsid w:val="3CC9716B"/>
    <w:rsid w:val="3CDA245A"/>
    <w:rsid w:val="3CDA4974"/>
    <w:rsid w:val="3CE50FD9"/>
    <w:rsid w:val="3D1E06B7"/>
    <w:rsid w:val="3D2664D9"/>
    <w:rsid w:val="3D3A1AC3"/>
    <w:rsid w:val="3DA04027"/>
    <w:rsid w:val="3DA72A27"/>
    <w:rsid w:val="3DD6631A"/>
    <w:rsid w:val="3DFE29EF"/>
    <w:rsid w:val="3E195C2D"/>
    <w:rsid w:val="3E662678"/>
    <w:rsid w:val="3E8467A6"/>
    <w:rsid w:val="3EDA0523"/>
    <w:rsid w:val="3EEB5E0E"/>
    <w:rsid w:val="3F1B0827"/>
    <w:rsid w:val="3F333B6F"/>
    <w:rsid w:val="3F6D4EA1"/>
    <w:rsid w:val="3F752D99"/>
    <w:rsid w:val="3FA7251C"/>
    <w:rsid w:val="3FCB5EE1"/>
    <w:rsid w:val="3FF9212F"/>
    <w:rsid w:val="403C5488"/>
    <w:rsid w:val="405326DB"/>
    <w:rsid w:val="407945E5"/>
    <w:rsid w:val="407A6407"/>
    <w:rsid w:val="407B6684"/>
    <w:rsid w:val="40B039D9"/>
    <w:rsid w:val="40B24ECF"/>
    <w:rsid w:val="40C515A2"/>
    <w:rsid w:val="40E71CB3"/>
    <w:rsid w:val="41005006"/>
    <w:rsid w:val="41104441"/>
    <w:rsid w:val="41521625"/>
    <w:rsid w:val="41527BA3"/>
    <w:rsid w:val="415C0899"/>
    <w:rsid w:val="418F40B1"/>
    <w:rsid w:val="41923D8F"/>
    <w:rsid w:val="41AA21BD"/>
    <w:rsid w:val="41B914A8"/>
    <w:rsid w:val="41B9630E"/>
    <w:rsid w:val="41DC446C"/>
    <w:rsid w:val="41DF0300"/>
    <w:rsid w:val="4200449D"/>
    <w:rsid w:val="42135C67"/>
    <w:rsid w:val="423A3BCC"/>
    <w:rsid w:val="423F21EF"/>
    <w:rsid w:val="424E57D2"/>
    <w:rsid w:val="4261768C"/>
    <w:rsid w:val="428618BF"/>
    <w:rsid w:val="428E6BD4"/>
    <w:rsid w:val="428F71F5"/>
    <w:rsid w:val="42AC6FBF"/>
    <w:rsid w:val="42B26C49"/>
    <w:rsid w:val="42F71671"/>
    <w:rsid w:val="43333B0E"/>
    <w:rsid w:val="433A6FE6"/>
    <w:rsid w:val="43445A37"/>
    <w:rsid w:val="43480868"/>
    <w:rsid w:val="4350713C"/>
    <w:rsid w:val="435C0797"/>
    <w:rsid w:val="436653E0"/>
    <w:rsid w:val="43B449FC"/>
    <w:rsid w:val="43C4431A"/>
    <w:rsid w:val="43C63F34"/>
    <w:rsid w:val="43D25987"/>
    <w:rsid w:val="43D65C5A"/>
    <w:rsid w:val="43FE65F5"/>
    <w:rsid w:val="440006B5"/>
    <w:rsid w:val="4426289B"/>
    <w:rsid w:val="44903F6C"/>
    <w:rsid w:val="44A63E28"/>
    <w:rsid w:val="44B951CC"/>
    <w:rsid w:val="44C202B9"/>
    <w:rsid w:val="44CD14E0"/>
    <w:rsid w:val="44D112C6"/>
    <w:rsid w:val="44F20B0B"/>
    <w:rsid w:val="44F4467C"/>
    <w:rsid w:val="4527263E"/>
    <w:rsid w:val="452E5F4C"/>
    <w:rsid w:val="454A1AA6"/>
    <w:rsid w:val="45612018"/>
    <w:rsid w:val="458946E9"/>
    <w:rsid w:val="45934B81"/>
    <w:rsid w:val="45A15D1E"/>
    <w:rsid w:val="45A47C0E"/>
    <w:rsid w:val="45EB4326"/>
    <w:rsid w:val="45FF64F7"/>
    <w:rsid w:val="46577FD6"/>
    <w:rsid w:val="46D955A7"/>
    <w:rsid w:val="47133957"/>
    <w:rsid w:val="4724258D"/>
    <w:rsid w:val="472535D9"/>
    <w:rsid w:val="476037CA"/>
    <w:rsid w:val="476A1408"/>
    <w:rsid w:val="478C559D"/>
    <w:rsid w:val="478D7F6C"/>
    <w:rsid w:val="47A07E0C"/>
    <w:rsid w:val="48402090"/>
    <w:rsid w:val="484257B7"/>
    <w:rsid w:val="4850207E"/>
    <w:rsid w:val="48643C34"/>
    <w:rsid w:val="4870272E"/>
    <w:rsid w:val="487209F9"/>
    <w:rsid w:val="487A156C"/>
    <w:rsid w:val="489E5D0B"/>
    <w:rsid w:val="48DC3626"/>
    <w:rsid w:val="48F82654"/>
    <w:rsid w:val="4928607A"/>
    <w:rsid w:val="492867CA"/>
    <w:rsid w:val="495D56C4"/>
    <w:rsid w:val="49602C93"/>
    <w:rsid w:val="4973660C"/>
    <w:rsid w:val="497A6861"/>
    <w:rsid w:val="49D60E8E"/>
    <w:rsid w:val="49DC7715"/>
    <w:rsid w:val="49F47B63"/>
    <w:rsid w:val="49FA6A1E"/>
    <w:rsid w:val="4A023139"/>
    <w:rsid w:val="4A0F1A96"/>
    <w:rsid w:val="4A1F44D6"/>
    <w:rsid w:val="4A5B0A8B"/>
    <w:rsid w:val="4A7305A5"/>
    <w:rsid w:val="4A7B576F"/>
    <w:rsid w:val="4A7D0905"/>
    <w:rsid w:val="4AB17884"/>
    <w:rsid w:val="4ABD633B"/>
    <w:rsid w:val="4ADC2D0C"/>
    <w:rsid w:val="4AE3300D"/>
    <w:rsid w:val="4AF561A9"/>
    <w:rsid w:val="4B14506E"/>
    <w:rsid w:val="4B53663A"/>
    <w:rsid w:val="4B9505DF"/>
    <w:rsid w:val="4BF213CE"/>
    <w:rsid w:val="4C103C59"/>
    <w:rsid w:val="4C115D6E"/>
    <w:rsid w:val="4C467FF5"/>
    <w:rsid w:val="4C4A0649"/>
    <w:rsid w:val="4C695B6C"/>
    <w:rsid w:val="4C7172EE"/>
    <w:rsid w:val="4C7E5ECA"/>
    <w:rsid w:val="4C876AA5"/>
    <w:rsid w:val="4C9A31A8"/>
    <w:rsid w:val="4CE03ABF"/>
    <w:rsid w:val="4CFB024B"/>
    <w:rsid w:val="4D0E00FB"/>
    <w:rsid w:val="4D176606"/>
    <w:rsid w:val="4D3F43B5"/>
    <w:rsid w:val="4D896030"/>
    <w:rsid w:val="4D8F77C9"/>
    <w:rsid w:val="4DB80784"/>
    <w:rsid w:val="4DEC4FB0"/>
    <w:rsid w:val="4DF86DC1"/>
    <w:rsid w:val="4E075D8A"/>
    <w:rsid w:val="4E1322C9"/>
    <w:rsid w:val="4E4A6504"/>
    <w:rsid w:val="4E803664"/>
    <w:rsid w:val="4E833919"/>
    <w:rsid w:val="4E8E798E"/>
    <w:rsid w:val="4E90035D"/>
    <w:rsid w:val="4EA0031B"/>
    <w:rsid w:val="4EC00FAD"/>
    <w:rsid w:val="4EC03971"/>
    <w:rsid w:val="4EE23F45"/>
    <w:rsid w:val="4EF477F9"/>
    <w:rsid w:val="4F204746"/>
    <w:rsid w:val="4F224085"/>
    <w:rsid w:val="4F361873"/>
    <w:rsid w:val="4F9843DC"/>
    <w:rsid w:val="4FC62A8C"/>
    <w:rsid w:val="4FD66F05"/>
    <w:rsid w:val="4FE20F0D"/>
    <w:rsid w:val="4FE51552"/>
    <w:rsid w:val="500E2FDC"/>
    <w:rsid w:val="502A20C4"/>
    <w:rsid w:val="504B76E6"/>
    <w:rsid w:val="50504C4B"/>
    <w:rsid w:val="5055715B"/>
    <w:rsid w:val="505F7245"/>
    <w:rsid w:val="50690163"/>
    <w:rsid w:val="50791FF7"/>
    <w:rsid w:val="509C6E7C"/>
    <w:rsid w:val="50C41EF7"/>
    <w:rsid w:val="50EF4158"/>
    <w:rsid w:val="50F73A2C"/>
    <w:rsid w:val="50F96C59"/>
    <w:rsid w:val="511F63EB"/>
    <w:rsid w:val="5162104E"/>
    <w:rsid w:val="516C1AED"/>
    <w:rsid w:val="51DA5212"/>
    <w:rsid w:val="5202561B"/>
    <w:rsid w:val="522831F3"/>
    <w:rsid w:val="522B6F6F"/>
    <w:rsid w:val="5270752A"/>
    <w:rsid w:val="52A36CA7"/>
    <w:rsid w:val="52A71E84"/>
    <w:rsid w:val="52C03BC4"/>
    <w:rsid w:val="52D768D1"/>
    <w:rsid w:val="52E354EE"/>
    <w:rsid w:val="53241B5E"/>
    <w:rsid w:val="532B4AE9"/>
    <w:rsid w:val="532D4F00"/>
    <w:rsid w:val="53542A47"/>
    <w:rsid w:val="535C458E"/>
    <w:rsid w:val="53655462"/>
    <w:rsid w:val="53703B34"/>
    <w:rsid w:val="539056AC"/>
    <w:rsid w:val="53995363"/>
    <w:rsid w:val="53A039CC"/>
    <w:rsid w:val="53A1505A"/>
    <w:rsid w:val="53C36EF8"/>
    <w:rsid w:val="53E15AE0"/>
    <w:rsid w:val="53E22C06"/>
    <w:rsid w:val="53FB0287"/>
    <w:rsid w:val="54063E08"/>
    <w:rsid w:val="54153D27"/>
    <w:rsid w:val="543437E8"/>
    <w:rsid w:val="549535F1"/>
    <w:rsid w:val="54A91305"/>
    <w:rsid w:val="54F40D11"/>
    <w:rsid w:val="54F73313"/>
    <w:rsid w:val="54F80955"/>
    <w:rsid w:val="551170C3"/>
    <w:rsid w:val="553B4471"/>
    <w:rsid w:val="555170A7"/>
    <w:rsid w:val="55674FA4"/>
    <w:rsid w:val="5587536D"/>
    <w:rsid w:val="559B174B"/>
    <w:rsid w:val="55AF2380"/>
    <w:rsid w:val="55C220B3"/>
    <w:rsid w:val="55C84572"/>
    <w:rsid w:val="55CC1183"/>
    <w:rsid w:val="55CE0CF4"/>
    <w:rsid w:val="55D12128"/>
    <w:rsid w:val="561C507F"/>
    <w:rsid w:val="566B2228"/>
    <w:rsid w:val="567276A0"/>
    <w:rsid w:val="567F784B"/>
    <w:rsid w:val="56B22A9C"/>
    <w:rsid w:val="56B82AFC"/>
    <w:rsid w:val="56F7724C"/>
    <w:rsid w:val="571D4422"/>
    <w:rsid w:val="57790D7C"/>
    <w:rsid w:val="57B72A76"/>
    <w:rsid w:val="57C3426C"/>
    <w:rsid w:val="57C47BE9"/>
    <w:rsid w:val="57CE1F93"/>
    <w:rsid w:val="57D4431F"/>
    <w:rsid w:val="57E42594"/>
    <w:rsid w:val="57F41E75"/>
    <w:rsid w:val="58134BCE"/>
    <w:rsid w:val="58210D14"/>
    <w:rsid w:val="588743D1"/>
    <w:rsid w:val="5887701A"/>
    <w:rsid w:val="58CD187E"/>
    <w:rsid w:val="58D77C23"/>
    <w:rsid w:val="58DD7041"/>
    <w:rsid w:val="58E12A69"/>
    <w:rsid w:val="58EF340B"/>
    <w:rsid w:val="58F72ED4"/>
    <w:rsid w:val="58FF2275"/>
    <w:rsid w:val="59073E71"/>
    <w:rsid w:val="590D26D8"/>
    <w:rsid w:val="59556187"/>
    <w:rsid w:val="59A24C93"/>
    <w:rsid w:val="59AD60D6"/>
    <w:rsid w:val="59C0439F"/>
    <w:rsid w:val="59C22560"/>
    <w:rsid w:val="5A03534A"/>
    <w:rsid w:val="5A074919"/>
    <w:rsid w:val="5A0B0B96"/>
    <w:rsid w:val="5A290934"/>
    <w:rsid w:val="5A63618C"/>
    <w:rsid w:val="5A6846BC"/>
    <w:rsid w:val="5A7E761A"/>
    <w:rsid w:val="5ABE2233"/>
    <w:rsid w:val="5B2E0B2F"/>
    <w:rsid w:val="5B6627CE"/>
    <w:rsid w:val="5B7A789F"/>
    <w:rsid w:val="5B9C6F02"/>
    <w:rsid w:val="5BDE12AE"/>
    <w:rsid w:val="5BDF5D95"/>
    <w:rsid w:val="5BFE7528"/>
    <w:rsid w:val="5C227063"/>
    <w:rsid w:val="5C911E5D"/>
    <w:rsid w:val="5CA61365"/>
    <w:rsid w:val="5CD94A66"/>
    <w:rsid w:val="5D0B1D14"/>
    <w:rsid w:val="5D1A2BA4"/>
    <w:rsid w:val="5D28526D"/>
    <w:rsid w:val="5D384C90"/>
    <w:rsid w:val="5D5B1F5E"/>
    <w:rsid w:val="5D854088"/>
    <w:rsid w:val="5D8B5A7F"/>
    <w:rsid w:val="5DB03009"/>
    <w:rsid w:val="5DE320F9"/>
    <w:rsid w:val="5DEF5A0F"/>
    <w:rsid w:val="5E095614"/>
    <w:rsid w:val="5E2467F1"/>
    <w:rsid w:val="5EB97DCB"/>
    <w:rsid w:val="5EC31171"/>
    <w:rsid w:val="5F1A2B43"/>
    <w:rsid w:val="5F660447"/>
    <w:rsid w:val="5F823991"/>
    <w:rsid w:val="5F8E457D"/>
    <w:rsid w:val="5F9E76ED"/>
    <w:rsid w:val="5FA21767"/>
    <w:rsid w:val="5FB837BB"/>
    <w:rsid w:val="5FBA646D"/>
    <w:rsid w:val="60123C37"/>
    <w:rsid w:val="60CC405A"/>
    <w:rsid w:val="60CF3F45"/>
    <w:rsid w:val="60FF16BD"/>
    <w:rsid w:val="612C0CEC"/>
    <w:rsid w:val="613060B7"/>
    <w:rsid w:val="61540ADA"/>
    <w:rsid w:val="619A52BE"/>
    <w:rsid w:val="619C76C8"/>
    <w:rsid w:val="61E215D8"/>
    <w:rsid w:val="61F86BCA"/>
    <w:rsid w:val="621B3775"/>
    <w:rsid w:val="622D4640"/>
    <w:rsid w:val="62364782"/>
    <w:rsid w:val="623C31ED"/>
    <w:rsid w:val="6240249A"/>
    <w:rsid w:val="626C5C20"/>
    <w:rsid w:val="62B17DA8"/>
    <w:rsid w:val="634265E1"/>
    <w:rsid w:val="634C56B2"/>
    <w:rsid w:val="637A6EBF"/>
    <w:rsid w:val="63807A8E"/>
    <w:rsid w:val="6394356A"/>
    <w:rsid w:val="63A50736"/>
    <w:rsid w:val="63A9342B"/>
    <w:rsid w:val="63C61B2C"/>
    <w:rsid w:val="63D40BE9"/>
    <w:rsid w:val="64102431"/>
    <w:rsid w:val="642C22A6"/>
    <w:rsid w:val="644B5E0D"/>
    <w:rsid w:val="6469234B"/>
    <w:rsid w:val="647F58FC"/>
    <w:rsid w:val="648A01CD"/>
    <w:rsid w:val="648E695F"/>
    <w:rsid w:val="64930758"/>
    <w:rsid w:val="64A5243A"/>
    <w:rsid w:val="64A62887"/>
    <w:rsid w:val="64C01EB3"/>
    <w:rsid w:val="64F531DE"/>
    <w:rsid w:val="6509710E"/>
    <w:rsid w:val="650A03D9"/>
    <w:rsid w:val="650A7419"/>
    <w:rsid w:val="653718DF"/>
    <w:rsid w:val="65373578"/>
    <w:rsid w:val="653E43A1"/>
    <w:rsid w:val="655D6832"/>
    <w:rsid w:val="656C2D2C"/>
    <w:rsid w:val="658E1F90"/>
    <w:rsid w:val="658F31DE"/>
    <w:rsid w:val="65A92D8C"/>
    <w:rsid w:val="65B17EEA"/>
    <w:rsid w:val="65F75A51"/>
    <w:rsid w:val="662B52EA"/>
    <w:rsid w:val="66302306"/>
    <w:rsid w:val="66D32870"/>
    <w:rsid w:val="66ED4AB6"/>
    <w:rsid w:val="66EE2D63"/>
    <w:rsid w:val="67046E2D"/>
    <w:rsid w:val="671F124A"/>
    <w:rsid w:val="672B4E68"/>
    <w:rsid w:val="67563892"/>
    <w:rsid w:val="676609E0"/>
    <w:rsid w:val="676751A8"/>
    <w:rsid w:val="677A33C6"/>
    <w:rsid w:val="67B67F48"/>
    <w:rsid w:val="67CB2063"/>
    <w:rsid w:val="67F226C6"/>
    <w:rsid w:val="680B78E9"/>
    <w:rsid w:val="681F6961"/>
    <w:rsid w:val="68210EBB"/>
    <w:rsid w:val="68610A2F"/>
    <w:rsid w:val="68805514"/>
    <w:rsid w:val="6888308D"/>
    <w:rsid w:val="688C72E6"/>
    <w:rsid w:val="68CB7D7D"/>
    <w:rsid w:val="690F693B"/>
    <w:rsid w:val="69316E2F"/>
    <w:rsid w:val="693F78F3"/>
    <w:rsid w:val="694E2071"/>
    <w:rsid w:val="69766163"/>
    <w:rsid w:val="697A3B33"/>
    <w:rsid w:val="69C60A2D"/>
    <w:rsid w:val="69D44760"/>
    <w:rsid w:val="69DD089E"/>
    <w:rsid w:val="69E52961"/>
    <w:rsid w:val="69F33097"/>
    <w:rsid w:val="6A224FFA"/>
    <w:rsid w:val="6A520EC7"/>
    <w:rsid w:val="6A63745F"/>
    <w:rsid w:val="6A740A73"/>
    <w:rsid w:val="6A9A7167"/>
    <w:rsid w:val="6ACE0907"/>
    <w:rsid w:val="6AF86F6C"/>
    <w:rsid w:val="6AF87E20"/>
    <w:rsid w:val="6B11203B"/>
    <w:rsid w:val="6B217E5E"/>
    <w:rsid w:val="6B322639"/>
    <w:rsid w:val="6B3F0A0C"/>
    <w:rsid w:val="6B5460A7"/>
    <w:rsid w:val="6B5812AD"/>
    <w:rsid w:val="6C092D49"/>
    <w:rsid w:val="6C427E60"/>
    <w:rsid w:val="6C636C38"/>
    <w:rsid w:val="6C837987"/>
    <w:rsid w:val="6C84429F"/>
    <w:rsid w:val="6C9B0649"/>
    <w:rsid w:val="6CCA42DA"/>
    <w:rsid w:val="6CEB4084"/>
    <w:rsid w:val="6D310C5A"/>
    <w:rsid w:val="6D3408D6"/>
    <w:rsid w:val="6D4C7ABC"/>
    <w:rsid w:val="6D886741"/>
    <w:rsid w:val="6DB34098"/>
    <w:rsid w:val="6DB545B6"/>
    <w:rsid w:val="6DE02FB4"/>
    <w:rsid w:val="6DF94BF3"/>
    <w:rsid w:val="6E085B18"/>
    <w:rsid w:val="6E1079BB"/>
    <w:rsid w:val="6E1826CB"/>
    <w:rsid w:val="6E514CED"/>
    <w:rsid w:val="6EB563D5"/>
    <w:rsid w:val="6ED07C19"/>
    <w:rsid w:val="6ED92677"/>
    <w:rsid w:val="6EDA5421"/>
    <w:rsid w:val="6EF20196"/>
    <w:rsid w:val="6F225983"/>
    <w:rsid w:val="6F2A2FC8"/>
    <w:rsid w:val="6F3C7F07"/>
    <w:rsid w:val="6F540FF8"/>
    <w:rsid w:val="6F557305"/>
    <w:rsid w:val="6F574DCD"/>
    <w:rsid w:val="6F657EEB"/>
    <w:rsid w:val="6FA30727"/>
    <w:rsid w:val="6FB04A9B"/>
    <w:rsid w:val="6FE75CC5"/>
    <w:rsid w:val="6FF159B4"/>
    <w:rsid w:val="6FF21C22"/>
    <w:rsid w:val="6FF32550"/>
    <w:rsid w:val="6FFC5590"/>
    <w:rsid w:val="6FFD45E1"/>
    <w:rsid w:val="70574D19"/>
    <w:rsid w:val="706D1DD0"/>
    <w:rsid w:val="70856B87"/>
    <w:rsid w:val="70A66401"/>
    <w:rsid w:val="70AB5380"/>
    <w:rsid w:val="70B67B92"/>
    <w:rsid w:val="70C64CF5"/>
    <w:rsid w:val="70D527EE"/>
    <w:rsid w:val="71520B16"/>
    <w:rsid w:val="715B5300"/>
    <w:rsid w:val="718816AD"/>
    <w:rsid w:val="71CA7C74"/>
    <w:rsid w:val="71D27F8A"/>
    <w:rsid w:val="721A6716"/>
    <w:rsid w:val="721B674D"/>
    <w:rsid w:val="72553024"/>
    <w:rsid w:val="727F46B6"/>
    <w:rsid w:val="72B24FAB"/>
    <w:rsid w:val="72DC6FC6"/>
    <w:rsid w:val="73122968"/>
    <w:rsid w:val="73143B43"/>
    <w:rsid w:val="731F5D5E"/>
    <w:rsid w:val="734B227C"/>
    <w:rsid w:val="736A0AC9"/>
    <w:rsid w:val="73A457BA"/>
    <w:rsid w:val="73AC131A"/>
    <w:rsid w:val="73C51AD5"/>
    <w:rsid w:val="73D823D0"/>
    <w:rsid w:val="73E337B3"/>
    <w:rsid w:val="7405351C"/>
    <w:rsid w:val="741E793C"/>
    <w:rsid w:val="745E3944"/>
    <w:rsid w:val="747A043F"/>
    <w:rsid w:val="74855AE9"/>
    <w:rsid w:val="74875C81"/>
    <w:rsid w:val="74B545EF"/>
    <w:rsid w:val="74C224BA"/>
    <w:rsid w:val="74C255FF"/>
    <w:rsid w:val="74F4788E"/>
    <w:rsid w:val="74F6749B"/>
    <w:rsid w:val="75085F3C"/>
    <w:rsid w:val="75A343EC"/>
    <w:rsid w:val="75C94940"/>
    <w:rsid w:val="75D87DF5"/>
    <w:rsid w:val="760E1213"/>
    <w:rsid w:val="7635099D"/>
    <w:rsid w:val="763A62CD"/>
    <w:rsid w:val="76455C8A"/>
    <w:rsid w:val="764F6F05"/>
    <w:rsid w:val="7659545F"/>
    <w:rsid w:val="76BA7D23"/>
    <w:rsid w:val="76FB1FB7"/>
    <w:rsid w:val="770B3BDF"/>
    <w:rsid w:val="77762421"/>
    <w:rsid w:val="77874093"/>
    <w:rsid w:val="77A90A68"/>
    <w:rsid w:val="77B56B1F"/>
    <w:rsid w:val="780F09F4"/>
    <w:rsid w:val="7833236B"/>
    <w:rsid w:val="7871261C"/>
    <w:rsid w:val="7889655D"/>
    <w:rsid w:val="789F4BC9"/>
    <w:rsid w:val="78A90480"/>
    <w:rsid w:val="79132AA2"/>
    <w:rsid w:val="791A5C91"/>
    <w:rsid w:val="794A6427"/>
    <w:rsid w:val="79553FE7"/>
    <w:rsid w:val="797355C9"/>
    <w:rsid w:val="7979625F"/>
    <w:rsid w:val="798B6ADC"/>
    <w:rsid w:val="799C6D77"/>
    <w:rsid w:val="79CF46AB"/>
    <w:rsid w:val="79E0158F"/>
    <w:rsid w:val="79E802E4"/>
    <w:rsid w:val="79F103CA"/>
    <w:rsid w:val="7A3613D1"/>
    <w:rsid w:val="7A364017"/>
    <w:rsid w:val="7A6131BD"/>
    <w:rsid w:val="7A7C5823"/>
    <w:rsid w:val="7A8265E1"/>
    <w:rsid w:val="7A9B698B"/>
    <w:rsid w:val="7ADA2C95"/>
    <w:rsid w:val="7AF56293"/>
    <w:rsid w:val="7B0760C8"/>
    <w:rsid w:val="7B33229A"/>
    <w:rsid w:val="7B3C5981"/>
    <w:rsid w:val="7B4174CC"/>
    <w:rsid w:val="7B686D42"/>
    <w:rsid w:val="7B6D1737"/>
    <w:rsid w:val="7B841746"/>
    <w:rsid w:val="7B8F3F36"/>
    <w:rsid w:val="7BA20B4A"/>
    <w:rsid w:val="7BB85061"/>
    <w:rsid w:val="7BCD6A32"/>
    <w:rsid w:val="7BCF76DB"/>
    <w:rsid w:val="7C302E90"/>
    <w:rsid w:val="7C5725D0"/>
    <w:rsid w:val="7C6C5AC7"/>
    <w:rsid w:val="7C7F65D9"/>
    <w:rsid w:val="7C997B54"/>
    <w:rsid w:val="7CC6544B"/>
    <w:rsid w:val="7CC82E81"/>
    <w:rsid w:val="7CCB6E24"/>
    <w:rsid w:val="7D0239FF"/>
    <w:rsid w:val="7D4862C2"/>
    <w:rsid w:val="7D5E40CD"/>
    <w:rsid w:val="7D6904FC"/>
    <w:rsid w:val="7D9A6DA9"/>
    <w:rsid w:val="7DCD56F2"/>
    <w:rsid w:val="7DF23C69"/>
    <w:rsid w:val="7E927E40"/>
    <w:rsid w:val="7EA44388"/>
    <w:rsid w:val="7F001CE7"/>
    <w:rsid w:val="7F3A264D"/>
    <w:rsid w:val="7F8601A4"/>
    <w:rsid w:val="7FD75217"/>
    <w:rsid w:val="7FE47E50"/>
    <w:rsid w:val="7FEF01C0"/>
    <w:rsid w:val="7FF2528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tabs>
        <w:tab w:val="left" w:pos="0"/>
        <w:tab w:val="left" w:pos="420"/>
      </w:tabs>
      <w:adjustRightInd w:val="0"/>
      <w:snapToGrid w:val="0"/>
      <w:spacing w:line="360" w:lineRule="auto"/>
      <w:jc w:val="left"/>
      <w:outlineLvl w:val="2"/>
    </w:pPr>
    <w:rPr>
      <w:rFonts w:eastAsia="黑体"/>
      <w:b/>
      <w:bCs/>
      <w:sz w:val="24"/>
    </w:rPr>
  </w:style>
  <w:style w:type="paragraph" w:styleId="5">
    <w:name w:val="heading 4"/>
    <w:basedOn w:val="1"/>
    <w:next w:val="1"/>
    <w:qFormat/>
    <w:uiPriority w:val="9"/>
    <w:pPr>
      <w:keepNext/>
      <w:keepLines/>
      <w:tabs>
        <w:tab w:val="left" w:pos="864"/>
      </w:tabs>
      <w:ind w:left="864" w:hanging="864"/>
      <w:jc w:val="center"/>
      <w:outlineLvl w:val="3"/>
    </w:pPr>
    <w:rPr>
      <w:rFonts w:ascii="Times New Roman" w:hAnsi="Times New Roman" w:eastAsia="宋体"/>
      <w:b/>
      <w:sz w:val="21"/>
    </w:rPr>
  </w:style>
  <w:style w:type="paragraph" w:styleId="6">
    <w:name w:val="heading 7"/>
    <w:basedOn w:val="1"/>
    <w:next w:val="1"/>
    <w:qFormat/>
    <w:uiPriority w:val="0"/>
    <w:pPr>
      <w:keepNext/>
      <w:keepLines/>
      <w:adjustRightInd w:val="0"/>
      <w:snapToGrid w:val="0"/>
      <w:spacing w:before="240" w:after="64" w:line="317" w:lineRule="auto"/>
      <w:ind w:left="1296"/>
      <w:jc w:val="left"/>
      <w:outlineLvl w:val="6"/>
    </w:pPr>
    <w:rPr>
      <w:b/>
      <w:sz w:val="24"/>
    </w:rPr>
  </w:style>
  <w:style w:type="character" w:default="1" w:styleId="29">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tabs>
        <w:tab w:val="left" w:pos="0"/>
      </w:tabs>
      <w:ind w:firstLine="420" w:firstLineChars="200"/>
    </w:pPr>
  </w:style>
  <w:style w:type="paragraph" w:styleId="8">
    <w:name w:val="annotation text"/>
    <w:basedOn w:val="1"/>
    <w:link w:val="33"/>
    <w:semiHidden/>
    <w:qFormat/>
    <w:uiPriority w:val="0"/>
    <w:pPr>
      <w:jc w:val="left"/>
    </w:pPr>
    <w:rPr>
      <w:kern w:val="0"/>
      <w:sz w:val="24"/>
      <w:szCs w:val="20"/>
    </w:rPr>
  </w:style>
  <w:style w:type="paragraph" w:styleId="9">
    <w:name w:val="Body Text"/>
    <w:basedOn w:val="1"/>
    <w:next w:val="1"/>
    <w:link w:val="34"/>
    <w:qFormat/>
    <w:uiPriority w:val="0"/>
    <w:pPr>
      <w:widowControl/>
      <w:snapToGrid w:val="0"/>
      <w:spacing w:before="60" w:after="160" w:line="259" w:lineRule="auto"/>
      <w:ind w:right="113"/>
    </w:pPr>
    <w:rPr>
      <w:kern w:val="0"/>
      <w:sz w:val="18"/>
      <w:szCs w:val="20"/>
    </w:rPr>
  </w:style>
  <w:style w:type="paragraph" w:styleId="10">
    <w:name w:val="Body Text Indent"/>
    <w:basedOn w:val="1"/>
    <w:link w:val="35"/>
    <w:qFormat/>
    <w:uiPriority w:val="0"/>
    <w:pPr>
      <w:spacing w:after="120"/>
      <w:ind w:left="420" w:leftChars="200"/>
    </w:pPr>
    <w:rPr>
      <w:kern w:val="0"/>
      <w:sz w:val="24"/>
      <w:szCs w:val="20"/>
    </w:rPr>
  </w:style>
  <w:style w:type="paragraph" w:styleId="11">
    <w:name w:val="Plain Text"/>
    <w:basedOn w:val="1"/>
    <w:next w:val="12"/>
    <w:qFormat/>
    <w:uiPriority w:val="0"/>
    <w:rPr>
      <w:rFonts w:ascii="宋体" w:hAnsi="Courier New"/>
    </w:rPr>
  </w:style>
  <w:style w:type="paragraph" w:styleId="12">
    <w:name w:val="toc 1"/>
    <w:basedOn w:val="1"/>
    <w:next w:val="1"/>
    <w:qFormat/>
    <w:uiPriority w:val="39"/>
  </w:style>
  <w:style w:type="paragraph" w:styleId="13">
    <w:name w:val="List Bullet 5"/>
    <w:basedOn w:val="1"/>
    <w:qFormat/>
    <w:uiPriority w:val="0"/>
    <w:pPr>
      <w:tabs>
        <w:tab w:val="left" w:pos="2040"/>
      </w:tabs>
      <w:ind w:left="2040" w:hanging="360"/>
    </w:pPr>
  </w:style>
  <w:style w:type="paragraph" w:styleId="14">
    <w:name w:val="Date"/>
    <w:basedOn w:val="1"/>
    <w:next w:val="1"/>
    <w:link w:val="36"/>
    <w:qFormat/>
    <w:uiPriority w:val="0"/>
    <w:pPr>
      <w:ind w:left="100" w:leftChars="2500"/>
    </w:pPr>
    <w:rPr>
      <w:kern w:val="0"/>
      <w:sz w:val="24"/>
      <w:szCs w:val="20"/>
    </w:rPr>
  </w:style>
  <w:style w:type="paragraph" w:styleId="15">
    <w:name w:val="Body Text Indent 2"/>
    <w:basedOn w:val="1"/>
    <w:next w:val="1"/>
    <w:unhideWhenUsed/>
    <w:qFormat/>
    <w:uiPriority w:val="0"/>
    <w:pPr>
      <w:spacing w:after="120" w:line="480" w:lineRule="auto"/>
      <w:ind w:left="420" w:leftChars="200"/>
    </w:pPr>
  </w:style>
  <w:style w:type="paragraph" w:styleId="16">
    <w:name w:val="Balloon Text"/>
    <w:basedOn w:val="1"/>
    <w:link w:val="37"/>
    <w:semiHidden/>
    <w:qFormat/>
    <w:uiPriority w:val="0"/>
    <w:rPr>
      <w:kern w:val="0"/>
      <w:sz w:val="18"/>
      <w:szCs w:val="20"/>
    </w:rPr>
  </w:style>
  <w:style w:type="paragraph" w:styleId="17">
    <w:name w:val="footer"/>
    <w:basedOn w:val="1"/>
    <w:link w:val="38"/>
    <w:qFormat/>
    <w:uiPriority w:val="99"/>
    <w:pPr>
      <w:tabs>
        <w:tab w:val="center" w:pos="4153"/>
        <w:tab w:val="right" w:pos="8306"/>
      </w:tabs>
      <w:snapToGrid w:val="0"/>
      <w:jc w:val="left"/>
    </w:pPr>
    <w:rPr>
      <w:kern w:val="0"/>
      <w:sz w:val="18"/>
      <w:szCs w:val="20"/>
    </w:rPr>
  </w:style>
  <w:style w:type="paragraph" w:styleId="18">
    <w:name w:val="header"/>
    <w:basedOn w:val="1"/>
    <w:next w:val="19"/>
    <w:link w:val="39"/>
    <w:qFormat/>
    <w:uiPriority w:val="99"/>
    <w:pPr>
      <w:pBdr>
        <w:bottom w:val="single" w:color="auto" w:sz="6" w:space="1"/>
      </w:pBdr>
      <w:tabs>
        <w:tab w:val="center" w:pos="4153"/>
        <w:tab w:val="right" w:pos="8306"/>
      </w:tabs>
      <w:snapToGrid w:val="0"/>
      <w:jc w:val="center"/>
    </w:pPr>
    <w:rPr>
      <w:kern w:val="0"/>
      <w:sz w:val="18"/>
      <w:szCs w:val="20"/>
    </w:rPr>
  </w:style>
  <w:style w:type="paragraph" w:customStyle="1" w:styleId="19">
    <w:name w:val="样式5"/>
    <w:basedOn w:val="1"/>
    <w:qFormat/>
    <w:uiPriority w:val="0"/>
    <w:pPr>
      <w:snapToGrid w:val="0"/>
      <w:spacing w:line="360" w:lineRule="auto"/>
      <w:ind w:firstLine="510"/>
    </w:pPr>
    <w:rPr>
      <w:sz w:val="24"/>
      <w:szCs w:val="24"/>
    </w:rPr>
  </w:style>
  <w:style w:type="paragraph" w:styleId="20">
    <w:name w:val="Body Text Indent 3"/>
    <w:basedOn w:val="1"/>
    <w:qFormat/>
    <w:uiPriority w:val="0"/>
    <w:pPr>
      <w:spacing w:line="640" w:lineRule="exact"/>
      <w:ind w:firstLine="680" w:firstLineChars="200"/>
      <w:jc w:val="left"/>
    </w:pPr>
    <w:rPr>
      <w:rFonts w:ascii="方正魏碑简体" w:eastAsia="方正魏碑简体"/>
      <w:spacing w:val="30"/>
      <w:sz w:val="28"/>
      <w:szCs w:val="20"/>
    </w:rPr>
  </w:style>
  <w:style w:type="paragraph" w:styleId="21">
    <w:name w:val="toc 2"/>
    <w:basedOn w:val="1"/>
    <w:next w:val="1"/>
    <w:qFormat/>
    <w:uiPriority w:val="0"/>
    <w:pPr>
      <w:ind w:left="210"/>
      <w:jc w:val="left"/>
    </w:pPr>
    <w:rPr>
      <w:smallCaps/>
      <w:sz w:val="20"/>
    </w:rPr>
  </w:style>
  <w:style w:type="paragraph" w:styleId="22">
    <w:name w:val="Body Text 2"/>
    <w:basedOn w:val="1"/>
    <w:qFormat/>
    <w:uiPriority w:val="0"/>
    <w:pPr>
      <w:spacing w:after="120" w:line="480" w:lineRule="auto"/>
    </w:pPr>
    <w:rPr>
      <w:rFonts w:ascii="仿宋_GB2312" w:hAnsi="仿宋_GB2312" w:eastAsia="仿宋_GB2312"/>
      <w:sz w:val="36"/>
    </w:rPr>
  </w:style>
  <w:style w:type="paragraph" w:styleId="23">
    <w:name w:val="Normal (Web)"/>
    <w:basedOn w:val="1"/>
    <w:next w:val="1"/>
    <w:link w:val="40"/>
    <w:qFormat/>
    <w:uiPriority w:val="0"/>
    <w:pPr>
      <w:widowControl/>
      <w:spacing w:before="100" w:beforeAutospacing="1" w:after="100" w:afterAutospacing="1"/>
      <w:jc w:val="left"/>
    </w:pPr>
    <w:rPr>
      <w:rFonts w:ascii="宋体" w:hAnsi="宋体"/>
      <w:kern w:val="0"/>
      <w:sz w:val="24"/>
      <w:szCs w:val="20"/>
    </w:rPr>
  </w:style>
  <w:style w:type="paragraph" w:styleId="24">
    <w:name w:val="annotation subject"/>
    <w:basedOn w:val="8"/>
    <w:next w:val="8"/>
    <w:link w:val="41"/>
    <w:semiHidden/>
    <w:qFormat/>
    <w:uiPriority w:val="0"/>
    <w:rPr>
      <w:b/>
      <w:sz w:val="24"/>
      <w:szCs w:val="20"/>
    </w:rPr>
  </w:style>
  <w:style w:type="paragraph" w:styleId="25">
    <w:name w:val="Body Text First Indent"/>
    <w:basedOn w:val="9"/>
    <w:next w:val="1"/>
    <w:unhideWhenUsed/>
    <w:qFormat/>
    <w:uiPriority w:val="0"/>
    <w:pPr>
      <w:ind w:firstLine="420" w:firstLineChars="100"/>
    </w:pPr>
  </w:style>
  <w:style w:type="paragraph" w:styleId="26">
    <w:name w:val="Body Text First Indent 2"/>
    <w:basedOn w:val="10"/>
    <w:next w:val="1"/>
    <w:qFormat/>
    <w:uiPriority w:val="0"/>
    <w:pPr>
      <w:ind w:leftChars="0" w:firstLine="420" w:firstLineChars="220"/>
    </w:pPr>
    <w:rPr>
      <w:rFonts w:ascii="宋体" w:hAnsi="Calibri" w:cs="Times New Roman"/>
      <w:szCs w:val="24"/>
    </w:rPr>
  </w:style>
  <w:style w:type="table" w:styleId="28">
    <w:name w:val="Table Grid"/>
    <w:basedOn w:val="27"/>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qFormat/>
    <w:uiPriority w:val="0"/>
  </w:style>
  <w:style w:type="character" w:styleId="31">
    <w:name w:val="Hyperlink"/>
    <w:qFormat/>
    <w:uiPriority w:val="0"/>
    <w:rPr>
      <w:color w:val="0000FF"/>
      <w:u w:val="single"/>
    </w:rPr>
  </w:style>
  <w:style w:type="character" w:styleId="32">
    <w:name w:val="annotation reference"/>
    <w:semiHidden/>
    <w:qFormat/>
    <w:uiPriority w:val="0"/>
    <w:rPr>
      <w:sz w:val="21"/>
    </w:rPr>
  </w:style>
  <w:style w:type="character" w:customStyle="1" w:styleId="33">
    <w:name w:val="批注文字 字符"/>
    <w:link w:val="8"/>
    <w:qFormat/>
    <w:uiPriority w:val="0"/>
    <w:rPr>
      <w:rFonts w:ascii="Times New Roman" w:hAnsi="Times New Roman" w:eastAsia="宋体"/>
      <w:sz w:val="24"/>
    </w:rPr>
  </w:style>
  <w:style w:type="character" w:customStyle="1" w:styleId="34">
    <w:name w:val="正文文本 字符"/>
    <w:link w:val="9"/>
    <w:qFormat/>
    <w:uiPriority w:val="0"/>
    <w:rPr>
      <w:sz w:val="18"/>
    </w:rPr>
  </w:style>
  <w:style w:type="character" w:customStyle="1" w:styleId="35">
    <w:name w:val="正文文本缩进 字符"/>
    <w:link w:val="10"/>
    <w:semiHidden/>
    <w:qFormat/>
    <w:uiPriority w:val="0"/>
    <w:rPr>
      <w:rFonts w:ascii="Times New Roman" w:hAnsi="Times New Roman" w:eastAsia="宋体"/>
      <w:sz w:val="24"/>
    </w:rPr>
  </w:style>
  <w:style w:type="character" w:customStyle="1" w:styleId="36">
    <w:name w:val="日期 字符1"/>
    <w:link w:val="14"/>
    <w:qFormat/>
    <w:uiPriority w:val="0"/>
    <w:rPr>
      <w:rFonts w:ascii="Times New Roman" w:hAnsi="Times New Roman" w:eastAsia="宋体"/>
      <w:sz w:val="24"/>
    </w:rPr>
  </w:style>
  <w:style w:type="character" w:customStyle="1" w:styleId="37">
    <w:name w:val="批注框文本 字符"/>
    <w:link w:val="16"/>
    <w:semiHidden/>
    <w:qFormat/>
    <w:uiPriority w:val="0"/>
    <w:rPr>
      <w:rFonts w:ascii="Times New Roman" w:hAnsi="Times New Roman" w:eastAsia="宋体"/>
      <w:sz w:val="18"/>
    </w:rPr>
  </w:style>
  <w:style w:type="character" w:customStyle="1" w:styleId="38">
    <w:name w:val="页脚 字符1"/>
    <w:link w:val="17"/>
    <w:qFormat/>
    <w:uiPriority w:val="99"/>
    <w:rPr>
      <w:sz w:val="18"/>
    </w:rPr>
  </w:style>
  <w:style w:type="character" w:customStyle="1" w:styleId="39">
    <w:name w:val="页眉 字符"/>
    <w:link w:val="18"/>
    <w:qFormat/>
    <w:uiPriority w:val="99"/>
    <w:rPr>
      <w:sz w:val="18"/>
    </w:rPr>
  </w:style>
  <w:style w:type="character" w:customStyle="1" w:styleId="40">
    <w:name w:val="普通(网站) 字符"/>
    <w:link w:val="23"/>
    <w:qFormat/>
    <w:uiPriority w:val="0"/>
    <w:rPr>
      <w:rFonts w:ascii="宋体" w:hAnsi="宋体" w:eastAsia="宋体"/>
      <w:sz w:val="24"/>
    </w:rPr>
  </w:style>
  <w:style w:type="character" w:customStyle="1" w:styleId="41">
    <w:name w:val="批注主题 字符"/>
    <w:link w:val="24"/>
    <w:semiHidden/>
    <w:qFormat/>
    <w:uiPriority w:val="0"/>
    <w:rPr>
      <w:rFonts w:ascii="Times New Roman" w:hAnsi="Times New Roman" w:eastAsia="宋体"/>
      <w:b/>
      <w:kern w:val="2"/>
      <w:sz w:val="24"/>
    </w:rPr>
  </w:style>
  <w:style w:type="paragraph" w:customStyle="1" w:styleId="42">
    <w:name w:val="样式 正文文本缩进 + 行距: 1.5 倍行距"/>
    <w:basedOn w:val="10"/>
    <w:qFormat/>
    <w:uiPriority w:val="0"/>
    <w:pPr>
      <w:spacing w:after="120"/>
      <w:ind w:left="90" w:leftChars="32" w:firstLine="560" w:firstLineChars="200"/>
    </w:pPr>
    <w:rPr>
      <w:rFonts w:cs="宋体"/>
    </w:rPr>
  </w:style>
  <w:style w:type="paragraph" w:customStyle="1" w:styleId="43">
    <w:name w:val="样式 正文11 + 首行缩进:  2 字符"/>
    <w:basedOn w:val="1"/>
    <w:next w:val="44"/>
    <w:unhideWhenUsed/>
    <w:qFormat/>
    <w:uiPriority w:val="0"/>
    <w:pPr>
      <w:spacing w:beforeLines="0" w:afterLines="0" w:line="500" w:lineRule="exact"/>
      <w:ind w:firstLine="560" w:firstLineChars="200"/>
    </w:pPr>
    <w:rPr>
      <w:rFonts w:hint="eastAsia" w:ascii="宋体" w:hAnsi="宋体"/>
      <w:color w:val="FF0000"/>
      <w:sz w:val="28"/>
    </w:rPr>
  </w:style>
  <w:style w:type="paragraph" w:customStyle="1" w:styleId="44">
    <w:name w:val="样式 博士论文标题2 + 段前: 0.2 行 段后: 0.2 行"/>
    <w:basedOn w:val="1"/>
    <w:qFormat/>
    <w:uiPriority w:val="0"/>
    <w:pPr>
      <w:widowControl/>
      <w:spacing w:before="20" w:beforeLines="20" w:after="20" w:afterLines="20"/>
      <w:jc w:val="left"/>
    </w:pPr>
    <w:rPr>
      <w:rFonts w:ascii="宋体" w:hAnsi="宋体" w:eastAsia="黑体" w:cs="宋体"/>
      <w:kern w:val="0"/>
      <w:sz w:val="28"/>
      <w:szCs w:val="28"/>
    </w:rPr>
  </w:style>
  <w:style w:type="paragraph" w:customStyle="1" w:styleId="45">
    <w:name w:val="Default"/>
    <w:basedOn w:val="46"/>
    <w:next w:val="1"/>
    <w:unhideWhenUsed/>
    <w:qFormat/>
    <w:uiPriority w:val="99"/>
    <w:pPr>
      <w:widowControl w:val="0"/>
      <w:autoSpaceDE w:val="0"/>
      <w:autoSpaceDN w:val="0"/>
      <w:adjustRightInd w:val="0"/>
    </w:pPr>
    <w:rPr>
      <w:rFonts w:hint="eastAsia" w:ascii="宋体" w:hAnsi="宋体"/>
      <w:color w:val="000000"/>
      <w:sz w:val="24"/>
      <w:szCs w:val="24"/>
      <w:lang w:val="en-US" w:eastAsia="zh-CN" w:bidi="ar-SA"/>
    </w:rPr>
  </w:style>
  <w:style w:type="paragraph" w:customStyle="1" w:styleId="46">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纯文本1"/>
    <w:basedOn w:val="1"/>
    <w:qFormat/>
    <w:uiPriority w:val="0"/>
    <w:pPr>
      <w:adjustRightInd w:val="0"/>
    </w:pPr>
    <w:rPr>
      <w:rFonts w:ascii="宋体" w:hAnsi="Courier New"/>
      <w:szCs w:val="20"/>
    </w:rPr>
  </w:style>
  <w:style w:type="paragraph" w:customStyle="1" w:styleId="48">
    <w:name w:val="Default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49">
    <w:name w:val="NormalCharacter"/>
    <w:semiHidden/>
    <w:qFormat/>
    <w:uiPriority w:val="0"/>
    <w:rPr>
      <w:kern w:val="2"/>
      <w:sz w:val="21"/>
      <w:szCs w:val="24"/>
      <w:lang w:val="en-US" w:eastAsia="zh-CN" w:bidi="ar-SA"/>
    </w:rPr>
  </w:style>
  <w:style w:type="character" w:customStyle="1" w:styleId="50">
    <w:name w:val="页脚 字符"/>
    <w:qFormat/>
    <w:uiPriority w:val="99"/>
  </w:style>
  <w:style w:type="character" w:customStyle="1" w:styleId="51">
    <w:name w:val="日期 字符"/>
    <w:semiHidden/>
    <w:qFormat/>
    <w:uiPriority w:val="0"/>
    <w:rPr>
      <w:rFonts w:ascii="Times New Roman" w:hAnsi="Times New Roman" w:eastAsia="宋体"/>
      <w:sz w:val="24"/>
    </w:rPr>
  </w:style>
  <w:style w:type="character" w:customStyle="1" w:styleId="52">
    <w:name w:val="表格 Char"/>
    <w:link w:val="53"/>
    <w:qFormat/>
    <w:uiPriority w:val="0"/>
    <w:rPr>
      <w:rFonts w:ascii="宋体"/>
      <w:sz w:val="21"/>
    </w:rPr>
  </w:style>
  <w:style w:type="paragraph" w:customStyle="1" w:styleId="53">
    <w:name w:val="表格"/>
    <w:basedOn w:val="54"/>
    <w:next w:val="1"/>
    <w:link w:val="52"/>
    <w:qFormat/>
    <w:uiPriority w:val="0"/>
    <w:pPr>
      <w:adjustRightInd w:val="0"/>
      <w:snapToGrid w:val="0"/>
      <w:spacing w:beforeLines="10" w:afterLines="10" w:line="259" w:lineRule="auto"/>
      <w:jc w:val="center"/>
    </w:pPr>
    <w:rPr>
      <w:rFonts w:ascii="宋体"/>
      <w:kern w:val="0"/>
      <w:szCs w:val="20"/>
    </w:rPr>
  </w:style>
  <w:style w:type="paragraph" w:customStyle="1" w:styleId="54">
    <w:name w:val="表格格式"/>
    <w:basedOn w:val="1"/>
    <w:qFormat/>
    <w:uiPriority w:val="99"/>
    <w:rPr>
      <w:rFonts w:ascii="仿宋_GB2312" w:eastAsia="仿宋_GB2312"/>
      <w:bCs/>
      <w:color w:val="000000"/>
      <w:szCs w:val="21"/>
    </w:rPr>
  </w:style>
  <w:style w:type="character" w:customStyle="1" w:styleId="55">
    <w:name w:val="批注文字 字符1"/>
    <w:semiHidden/>
    <w:qFormat/>
    <w:uiPriority w:val="0"/>
    <w:rPr>
      <w:rFonts w:ascii="Times New Roman" w:hAnsi="Times New Roman" w:eastAsia="宋体"/>
      <w:sz w:val="24"/>
    </w:rPr>
  </w:style>
  <w:style w:type="character" w:customStyle="1" w:styleId="56">
    <w:name w:val="正文文本 字符1"/>
    <w:semiHidden/>
    <w:qFormat/>
    <w:uiPriority w:val="0"/>
    <w:rPr>
      <w:rFonts w:ascii="Times New Roman" w:hAnsi="Times New Roman" w:eastAsia="宋体"/>
      <w:sz w:val="24"/>
    </w:rPr>
  </w:style>
  <w:style w:type="paragraph" w:customStyle="1" w:styleId="57">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8">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59">
    <w:name w:val="p0"/>
    <w:basedOn w:val="1"/>
    <w:qFormat/>
    <w:uiPriority w:val="0"/>
    <w:pPr>
      <w:widowControl/>
    </w:pPr>
    <w:rPr>
      <w:kern w:val="0"/>
      <w:szCs w:val="21"/>
    </w:rPr>
  </w:style>
  <w:style w:type="paragraph" w:customStyle="1" w:styleId="60">
    <w:name w:val="文本文本文本"/>
    <w:basedOn w:val="1"/>
    <w:qFormat/>
    <w:uiPriority w:val="0"/>
    <w:pPr>
      <w:spacing w:line="360" w:lineRule="auto"/>
      <w:ind w:firstLine="480" w:firstLineChars="200"/>
    </w:pPr>
    <w:rPr>
      <w:rFonts w:ascii="宋体" w:hAnsi="宋体" w:cs="宋体"/>
      <w:sz w:val="24"/>
    </w:rPr>
  </w:style>
  <w:style w:type="paragraph" w:customStyle="1" w:styleId="61">
    <w:name w:val="EIS_TABLE_TITLE"/>
    <w:basedOn w:val="1"/>
    <w:next w:val="1"/>
    <w:qFormat/>
    <w:uiPriority w:val="0"/>
    <w:pPr>
      <w:tabs>
        <w:tab w:val="left" w:pos="425"/>
        <w:tab w:val="left" w:pos="3437"/>
      </w:tabs>
      <w:adjustRightInd w:val="0"/>
      <w:snapToGrid w:val="0"/>
      <w:spacing w:before="50" w:beforeLines="50"/>
      <w:contextualSpacing/>
      <w:jc w:val="center"/>
    </w:pPr>
    <w:rPr>
      <w:b/>
      <w:sz w:val="24"/>
      <w:szCs w:val="24"/>
    </w:rPr>
  </w:style>
  <w:style w:type="paragraph" w:customStyle="1" w:styleId="62">
    <w:name w:val="正文1"/>
    <w:basedOn w:val="1"/>
    <w:qFormat/>
    <w:uiPriority w:val="0"/>
    <w:pPr>
      <w:spacing w:line="500" w:lineRule="exact"/>
      <w:ind w:firstLine="560"/>
    </w:pPr>
    <w:rPr>
      <w:sz w:val="28"/>
      <w:szCs w:val="24"/>
    </w:rPr>
  </w:style>
  <w:style w:type="character" w:customStyle="1" w:styleId="63">
    <w:name w:val="标题 2 Char"/>
    <w:qFormat/>
    <w:uiPriority w:val="0"/>
    <w:rPr>
      <w:szCs w:val="30"/>
    </w:rPr>
  </w:style>
  <w:style w:type="paragraph" w:customStyle="1" w:styleId="64">
    <w:name w:val="kt1"/>
    <w:basedOn w:val="1"/>
    <w:qFormat/>
    <w:uiPriority w:val="0"/>
    <w:pPr>
      <w:adjustRightInd w:val="0"/>
      <w:snapToGrid w:val="0"/>
      <w:jc w:val="center"/>
    </w:pPr>
    <w:rPr>
      <w:rFonts w:ascii="宋体"/>
      <w:szCs w:val="21"/>
    </w:rPr>
  </w:style>
  <w:style w:type="paragraph" w:customStyle="1" w:styleId="65">
    <w:name w:val="kt2"/>
    <w:basedOn w:val="1"/>
    <w:qFormat/>
    <w:uiPriority w:val="0"/>
    <w:pPr>
      <w:adjustRightInd w:val="0"/>
      <w:snapToGrid w:val="0"/>
      <w:jc w:val="center"/>
    </w:pPr>
    <w:rPr>
      <w:szCs w:val="24"/>
    </w:rPr>
  </w:style>
  <w:style w:type="paragraph" w:customStyle="1" w:styleId="66">
    <w:name w:val="EIS_TABLE_TEXT"/>
    <w:basedOn w:val="1"/>
    <w:qFormat/>
    <w:uiPriority w:val="0"/>
    <w:pPr>
      <w:adjustRightInd w:val="0"/>
      <w:snapToGrid w:val="0"/>
      <w:contextualSpacing/>
      <w:jc w:val="center"/>
    </w:pPr>
    <w:rPr>
      <w:szCs w:val="21"/>
    </w:rPr>
  </w:style>
  <w:style w:type="paragraph" w:customStyle="1" w:styleId="67">
    <w:name w:val="报告表表头"/>
    <w:basedOn w:val="1"/>
    <w:qFormat/>
    <w:uiPriority w:val="0"/>
    <w:pPr>
      <w:tabs>
        <w:tab w:val="left" w:pos="0"/>
      </w:tabs>
      <w:jc w:val="center"/>
      <w:outlineLvl w:val="4"/>
    </w:pPr>
    <w:rPr>
      <w:rFonts w:ascii="宋体" w:hAnsi="宋体"/>
      <w:b/>
      <w:sz w:val="21"/>
      <w:szCs w:val="21"/>
    </w:rPr>
  </w:style>
  <w:style w:type="paragraph" w:customStyle="1" w:styleId="68">
    <w:name w:val="2兴业表格"/>
    <w:basedOn w:val="1"/>
    <w:qFormat/>
    <w:uiPriority w:val="0"/>
    <w:pPr>
      <w:adjustRightInd w:val="0"/>
      <w:snapToGrid w:val="0"/>
      <w:jc w:val="center"/>
    </w:pPr>
    <w:rPr>
      <w:rFonts w:ascii="Times New Roman" w:hAnsi="Times New Roman"/>
      <w:kern w:val="0"/>
      <w:szCs w:val="21"/>
    </w:rPr>
  </w:style>
  <w:style w:type="paragraph" w:customStyle="1" w:styleId="69">
    <w:name w:val="+正文"/>
    <w:basedOn w:val="1"/>
    <w:qFormat/>
    <w:uiPriority w:val="0"/>
    <w:pPr>
      <w:spacing w:line="360" w:lineRule="auto"/>
      <w:ind w:firstLine="200" w:firstLineChars="200"/>
    </w:pPr>
    <w:rPr>
      <w:sz w:val="28"/>
      <w:szCs w:val="28"/>
    </w:rPr>
  </w:style>
  <w:style w:type="paragraph" w:customStyle="1" w:styleId="70">
    <w:name w:val="Char11"/>
    <w:basedOn w:val="1"/>
    <w:qFormat/>
    <w:uiPriority w:val="0"/>
    <w:pPr>
      <w:spacing w:line="360" w:lineRule="auto"/>
      <w:ind w:firstLine="200" w:firstLineChars="200"/>
    </w:pPr>
    <w:rPr>
      <w:rFonts w:ascii="宋体"/>
      <w:sz w:val="24"/>
    </w:rPr>
  </w:style>
  <w:style w:type="paragraph" w:customStyle="1" w:styleId="71">
    <w:name w:val="兴业表格"/>
    <w:basedOn w:val="1"/>
    <w:qFormat/>
    <w:uiPriority w:val="0"/>
    <w:pPr>
      <w:adjustRightInd w:val="0"/>
      <w:snapToGrid w:val="0"/>
      <w:jc w:val="center"/>
    </w:pPr>
    <w:rPr>
      <w:rFonts w:ascii="Times New Roman" w:hAnsi="Times New Roman"/>
      <w:szCs w:val="21"/>
    </w:rPr>
  </w:style>
  <w:style w:type="paragraph" w:customStyle="1" w:styleId="72">
    <w:name w:val="表格内容"/>
    <w:basedOn w:val="1"/>
    <w:qFormat/>
    <w:uiPriority w:val="0"/>
    <w:pPr>
      <w:overflowPunct w:val="0"/>
      <w:adjustRightInd w:val="0"/>
      <w:snapToGrid w:val="0"/>
      <w:jc w:val="left"/>
      <w:textAlignment w:val="baseline"/>
    </w:pPr>
    <w:rPr>
      <w:rFonts w:ascii="Arial" w:hAnsi="Arial" w:eastAsia="楷体_GB2312"/>
      <w:kern w:val="0"/>
      <w:sz w:val="24"/>
      <w:szCs w:val="20"/>
    </w:rPr>
  </w:style>
  <w:style w:type="paragraph" w:customStyle="1" w:styleId="73">
    <w:name w:val="DM正文"/>
    <w:basedOn w:val="1"/>
    <w:qFormat/>
    <w:uiPriority w:val="3"/>
    <w:pPr>
      <w:spacing w:line="360" w:lineRule="auto"/>
      <w:ind w:firstLine="200" w:firstLineChars="200"/>
    </w:pPr>
    <w:rPr>
      <w:kern w:val="0"/>
      <w:sz w:val="24"/>
      <w:szCs w:val="24"/>
    </w:rPr>
  </w:style>
  <w:style w:type="paragraph" w:customStyle="1" w:styleId="74">
    <w:name w:val="DM表头"/>
    <w:basedOn w:val="1"/>
    <w:qFormat/>
    <w:uiPriority w:val="4"/>
    <w:pPr>
      <w:spacing w:after="30" w:afterLines="30"/>
      <w:jc w:val="center"/>
    </w:pPr>
    <w:rPr>
      <w:kern w:val="0"/>
      <w:sz w:val="24"/>
      <w:szCs w:val="22"/>
      <w:lang w:eastAsia="en-US"/>
    </w:rPr>
  </w:style>
  <w:style w:type="paragraph" w:customStyle="1" w:styleId="75">
    <w:name w:val="Re-表中文字"/>
    <w:basedOn w:val="1"/>
    <w:qFormat/>
    <w:uiPriority w:val="5"/>
    <w:pPr>
      <w:jc w:val="center"/>
    </w:pPr>
    <w:rPr>
      <w:kern w:val="0"/>
      <w:szCs w:val="22"/>
      <w:lang w:eastAsia="en-US"/>
    </w:rPr>
  </w:style>
  <w:style w:type="paragraph" w:customStyle="1" w:styleId="76">
    <w:name w:val="DM注释"/>
    <w:basedOn w:val="73"/>
    <w:qFormat/>
    <w:uiPriority w:val="6"/>
    <w:pPr>
      <w:spacing w:line="240" w:lineRule="auto"/>
      <w:ind w:firstLine="0" w:firstLineChars="0"/>
      <w:jc w:val="left"/>
    </w:pPr>
    <w:rPr>
      <w:sz w:val="21"/>
    </w:rPr>
  </w:style>
  <w:style w:type="paragraph" w:customStyle="1" w:styleId="77">
    <w:name w:val="TOC2"/>
    <w:basedOn w:val="1"/>
    <w:next w:val="1"/>
    <w:semiHidden/>
    <w:qFormat/>
    <w:uiPriority w:val="0"/>
    <w:pPr>
      <w:ind w:left="210"/>
      <w:jc w:val="left"/>
      <w:textAlignment w:val="baseline"/>
    </w:pPr>
    <w:rPr>
      <w:rFonts w:ascii="Calibri" w:hAnsi="Calibri" w:eastAsia="宋体"/>
      <w:smallCaps/>
      <w:kern w:val="2"/>
      <w:sz w:val="20"/>
      <w:szCs w:val="20"/>
      <w:lang w:val="en-US" w:eastAsia="zh-CN" w:bidi="ar-SA"/>
    </w:rPr>
  </w:style>
  <w:style w:type="paragraph" w:customStyle="1" w:styleId="78">
    <w:name w:val="表格标题--张思远"/>
    <w:basedOn w:val="1"/>
    <w:qFormat/>
    <w:uiPriority w:val="0"/>
    <w:pPr>
      <w:tabs>
        <w:tab w:val="left" w:pos="0"/>
        <w:tab w:val="left" w:pos="840"/>
      </w:tabs>
      <w:ind w:left="840" w:hanging="360"/>
      <w:jc w:val="center"/>
    </w:pPr>
    <w:rPr>
      <w:sz w:val="24"/>
      <w:szCs w:val="24"/>
    </w:rPr>
  </w:style>
  <w:style w:type="paragraph" w:customStyle="1" w:styleId="79">
    <w:name w:val="表格字体"/>
    <w:qFormat/>
    <w:uiPriority w:val="0"/>
    <w:pPr>
      <w:widowControl w:val="0"/>
      <w:jc w:val="center"/>
    </w:pPr>
    <w:rPr>
      <w:rFonts w:ascii="Times New Roman" w:hAnsi="Times New Roman" w:eastAsia="宋体" w:cs="Times New Roman"/>
      <w:kern w:val="2"/>
      <w:sz w:val="21"/>
      <w:szCs w:val="18"/>
      <w:lang w:val="en-US" w:eastAsia="zh-CN" w:bidi="ar-SA"/>
    </w:rPr>
  </w:style>
  <w:style w:type="paragraph" w:customStyle="1" w:styleId="80">
    <w:name w:val="2兴业表格标题"/>
    <w:basedOn w:val="1"/>
    <w:qFormat/>
    <w:uiPriority w:val="0"/>
    <w:pPr>
      <w:adjustRightInd w:val="0"/>
      <w:snapToGrid w:val="0"/>
      <w:spacing w:beforeLines="100"/>
      <w:jc w:val="center"/>
    </w:pPr>
    <w:rPr>
      <w:rFonts w:cs="Times New Roman"/>
      <w:b/>
      <w:sz w:val="24"/>
      <w:szCs w:val="24"/>
    </w:rPr>
  </w:style>
  <w:style w:type="paragraph" w:customStyle="1" w:styleId="81">
    <w:name w:val="样式 自由调整 + 首行缩进:  2 字符2"/>
    <w:basedOn w:val="1"/>
    <w:qFormat/>
    <w:uiPriority w:val="0"/>
    <w:pPr>
      <w:jc w:val="center"/>
    </w:pPr>
    <w:rPr>
      <w:rFonts w:cs="宋体"/>
      <w:b/>
    </w:rPr>
  </w:style>
  <w:style w:type="paragraph" w:customStyle="1" w:styleId="82">
    <w:name w:val="报告表格"/>
    <w:basedOn w:val="1"/>
    <w:next w:val="83"/>
    <w:qFormat/>
    <w:uiPriority w:val="0"/>
    <w:pPr>
      <w:autoSpaceDE w:val="0"/>
      <w:autoSpaceDN w:val="0"/>
      <w:adjustRightInd w:val="0"/>
      <w:spacing w:line="240" w:lineRule="auto"/>
      <w:ind w:firstLine="0" w:firstLineChars="0"/>
      <w:jc w:val="center"/>
      <w:textAlignment w:val="bottom"/>
    </w:pPr>
    <w:rPr>
      <w:kern w:val="0"/>
      <w:sz w:val="21"/>
      <w:szCs w:val="21"/>
    </w:rPr>
  </w:style>
  <w:style w:type="paragraph" w:customStyle="1" w:styleId="83">
    <w:name w:val="报告书"/>
    <w:basedOn w:val="1"/>
    <w:qFormat/>
    <w:uiPriority w:val="0"/>
    <w:pPr>
      <w:autoSpaceDE w:val="0"/>
      <w:autoSpaceDN w:val="0"/>
      <w:adjustRightInd w:val="0"/>
      <w:ind w:firstLine="505"/>
      <w:jc w:val="left"/>
      <w:textAlignment w:val="bottom"/>
    </w:pPr>
    <w:rPr>
      <w:kern w:val="0"/>
    </w:rPr>
  </w:style>
  <w:style w:type="paragraph" w:customStyle="1" w:styleId="84">
    <w:name w:val="Table Paragraph"/>
    <w:basedOn w:val="1"/>
    <w:qFormat/>
    <w:uiPriority w:val="1"/>
    <w:pPr>
      <w:jc w:val="left"/>
    </w:pPr>
    <w:rPr>
      <w:kern w:val="0"/>
      <w:sz w:val="22"/>
      <w:lang w:eastAsia="en-US"/>
    </w:rPr>
  </w:style>
  <w:style w:type="paragraph" w:customStyle="1" w:styleId="85">
    <w:name w:val="表文居中"/>
    <w:basedOn w:val="1"/>
    <w:qFormat/>
    <w:uiPriority w:val="99"/>
    <w:pPr>
      <w:widowControl/>
      <w:adjustRightInd w:val="0"/>
      <w:jc w:val="center"/>
      <w:textAlignment w:val="baseline"/>
    </w:pPr>
    <w:rPr>
      <w:rFonts w:ascii="宋体" w:hAnsi="宋体" w:cs="宋体"/>
      <w:kern w:val="0"/>
      <w:szCs w:val="21"/>
    </w:rPr>
  </w:style>
  <w:style w:type="paragraph" w:customStyle="1" w:styleId="86">
    <w:name w:val="环保表内字（五号）"/>
    <w:basedOn w:val="1"/>
    <w:qFormat/>
    <w:uiPriority w:val="0"/>
    <w:pPr>
      <w:widowControl/>
      <w:adjustRightInd w:val="0"/>
      <w:snapToGrid w:val="0"/>
      <w:spacing w:line="0" w:lineRule="atLeast"/>
      <w:jc w:val="center"/>
    </w:pPr>
    <w:rPr>
      <w:rFonts w:ascii="Times New Roman" w:hAnsi="Times New Roman"/>
      <w:snapToGrid w:val="0"/>
      <w:kern w:val="0"/>
      <w:szCs w:val="20"/>
    </w:rPr>
  </w:style>
  <w:style w:type="character" w:customStyle="1" w:styleId="87">
    <w:name w:val="fontstyle01"/>
    <w:qFormat/>
    <w:uiPriority w:val="0"/>
    <w:rPr>
      <w:rFonts w:hint="eastAsia" w:ascii="宋体" w:hAnsi="宋体" w:eastAsia="宋体"/>
      <w:color w:val="000000"/>
      <w:sz w:val="22"/>
      <w:szCs w:val="22"/>
    </w:rPr>
  </w:style>
  <w:style w:type="paragraph" w:customStyle="1" w:styleId="88">
    <w:name w:val="标题1"/>
    <w:basedOn w:val="62"/>
    <w:qFormat/>
    <w:uiPriority w:val="0"/>
    <w:rPr>
      <w:b/>
    </w:rPr>
  </w:style>
  <w:style w:type="paragraph" w:styleId="89">
    <w:name w:val="List Paragraph"/>
    <w:basedOn w:val="1"/>
    <w:qFormat/>
    <w:uiPriority w:val="34"/>
    <w:pPr>
      <w:ind w:firstLine="420" w:firstLineChars="200"/>
    </w:pPr>
    <w:rPr>
      <w:rFonts w:ascii="等线" w:hAnsi="等线" w:eastAsia="等线" w:cs="Times New Roman"/>
      <w:szCs w:val="22"/>
    </w:rPr>
  </w:style>
  <w:style w:type="paragraph" w:customStyle="1" w:styleId="90">
    <w:name w:val="表头"/>
    <w:basedOn w:val="1"/>
    <w:next w:val="1"/>
    <w:qFormat/>
    <w:uiPriority w:val="0"/>
    <w:pPr>
      <w:spacing w:before="50" w:beforeLines="50"/>
      <w:jc w:val="left"/>
      <w:textAlignment w:val="baseline"/>
    </w:pPr>
    <w:rPr>
      <w:b/>
      <w:bCs/>
      <w:szCs w:val="21"/>
    </w:rPr>
  </w:style>
  <w:style w:type="paragraph" w:customStyle="1" w:styleId="91">
    <w:name w:val="雷丹正文"/>
    <w:basedOn w:val="1"/>
    <w:qFormat/>
    <w:uiPriority w:val="0"/>
    <w:pPr>
      <w:adjustRightInd w:val="0"/>
      <w:snapToGrid w:val="0"/>
      <w:spacing w:line="360" w:lineRule="auto"/>
      <w:ind w:firstLine="480" w:firstLineChars="200"/>
      <w:jc w:val="both"/>
    </w:pPr>
    <w:rPr>
      <w:rFonts w:ascii="Times New Roman" w:hAnsi="Times New Roman"/>
    </w:rPr>
  </w:style>
  <w:style w:type="table" w:customStyle="1" w:styleId="92">
    <w:name w:val="表格式4"/>
    <w:basedOn w:val="27"/>
    <w:qFormat/>
    <w:uiPriority w:val="59"/>
    <w:pPr>
      <w:widowControl w:val="0"/>
      <w:spacing w:before="120" w:after="120" w:line="360" w:lineRule="exact"/>
      <w:ind w:firstLine="482"/>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
    <w:name w:val="Other|1"/>
    <w:basedOn w:val="1"/>
    <w:qFormat/>
    <w:uiPriority w:val="0"/>
    <w:pPr>
      <w:widowControl w:val="0"/>
      <w:shd w:val="clear" w:color="auto" w:fill="auto"/>
      <w:spacing w:after="200" w:line="463" w:lineRule="auto"/>
      <w:ind w:firstLine="400"/>
    </w:pPr>
    <w:rPr>
      <w:rFonts w:ascii="宋体" w:hAnsi="宋体" w:eastAsia="宋体" w:cs="宋体"/>
      <w:sz w:val="20"/>
      <w:szCs w:val="20"/>
      <w:u w:val="none"/>
      <w:shd w:val="clear" w:color="auto" w:fill="auto"/>
      <w:lang w:val="zh-TW" w:eastAsia="zh-TW" w:bidi="zh-TW"/>
    </w:rPr>
  </w:style>
  <w:style w:type="paragraph" w:customStyle="1" w:styleId="94">
    <w:name w:val="bgb表头"/>
    <w:basedOn w:val="1"/>
    <w:next w:val="1"/>
    <w:qFormat/>
    <w:uiPriority w:val="0"/>
    <w:pPr>
      <w:numPr>
        <w:ilvl w:val="0"/>
        <w:numId w:val="1"/>
      </w:numPr>
      <w:adjustRightInd w:val="0"/>
      <w:snapToGrid w:val="0"/>
      <w:spacing w:line="480" w:lineRule="exact"/>
      <w:contextualSpacing/>
      <w:jc w:val="center"/>
    </w:pPr>
    <w:rPr>
      <w:color w:val="000000"/>
      <w:kern w:val="0"/>
      <w:sz w:val="24"/>
      <w:szCs w:val="21"/>
    </w:rPr>
  </w:style>
  <w:style w:type="paragraph" w:customStyle="1" w:styleId="95">
    <w:name w:val="基地正文"/>
    <w:basedOn w:val="1"/>
    <w:qFormat/>
    <w:uiPriority w:val="0"/>
    <w:pPr>
      <w:ind w:firstLine="425" w:firstLineChars="177"/>
    </w:pPr>
    <w:rPr>
      <w:rFonts w:ascii="宋体" w:hAnsi="宋体"/>
      <w:color w:val="000000"/>
      <w:szCs w:val="21"/>
    </w:rPr>
  </w:style>
  <w:style w:type="paragraph" w:customStyle="1" w:styleId="96">
    <w:name w:val="博士论文正文"/>
    <w:basedOn w:val="1"/>
    <w:qFormat/>
    <w:uiPriority w:val="0"/>
    <w:pPr>
      <w:snapToGrid w:val="0"/>
      <w:spacing w:beforeLines="20" w:line="360" w:lineRule="auto"/>
      <w:ind w:firstLine="200" w:firstLineChars="200"/>
      <w:contextualSpacing/>
    </w:pPr>
    <w:rPr>
      <w:rFonts w:ascii="宋体"/>
      <w:kern w:val="0"/>
      <w:sz w:val="24"/>
      <w:szCs w:val="22"/>
    </w:rPr>
  </w:style>
  <w:style w:type="paragraph" w:customStyle="1" w:styleId="97">
    <w:name w:val="列出段落1"/>
    <w:basedOn w:val="1"/>
    <w:qFormat/>
    <w:uiPriority w:val="34"/>
    <w:pPr>
      <w:ind w:firstLine="420" w:firstLineChars="200"/>
    </w:pPr>
  </w:style>
  <w:style w:type="paragraph" w:customStyle="1" w:styleId="98">
    <w:name w:val="表格标题"/>
    <w:basedOn w:val="1"/>
    <w:next w:val="1"/>
    <w:qFormat/>
    <w:uiPriority w:val="0"/>
    <w:pPr>
      <w:spacing w:beforeLines="50" w:afterLines="50" w:line="440" w:lineRule="exact"/>
      <w:jc w:val="left"/>
    </w:pPr>
    <w:rPr>
      <w:rFonts w:eastAsia="黑体"/>
      <w:sz w:val="24"/>
    </w:rPr>
  </w:style>
  <w:style w:type="paragraph" w:customStyle="1" w:styleId="99">
    <w:name w:val="B环评正文"/>
    <w:basedOn w:val="1"/>
    <w:next w:val="26"/>
    <w:qFormat/>
    <w:uiPriority w:val="0"/>
    <w:pPr>
      <w:adjustRightInd w:val="0"/>
      <w:spacing w:line="360" w:lineRule="auto"/>
      <w:ind w:firstLine="480" w:firstLineChars="200"/>
    </w:pPr>
    <w:rPr>
      <w:bCs/>
      <w:color w:val="000000"/>
      <w:kern w:val="0"/>
      <w:sz w:val="24"/>
      <w:szCs w:val="28"/>
    </w:rPr>
  </w:style>
  <w:style w:type="paragraph" w:customStyle="1" w:styleId="100">
    <w:name w:val="车正文"/>
    <w:basedOn w:val="1"/>
    <w:qFormat/>
    <w:uiPriority w:val="0"/>
    <w:pPr>
      <w:adjustRightInd w:val="0"/>
      <w:snapToGrid w:val="0"/>
      <w:spacing w:line="360" w:lineRule="auto"/>
      <w:ind w:firstLine="480" w:firstLineChars="200"/>
    </w:pPr>
    <w:rPr>
      <w:sz w:val="24"/>
    </w:rPr>
  </w:style>
  <w:style w:type="paragraph" w:customStyle="1" w:styleId="101">
    <w:name w:val="李-正文"/>
    <w:basedOn w:val="1"/>
    <w:qFormat/>
    <w:uiPriority w:val="0"/>
    <w:pPr>
      <w:spacing w:line="360" w:lineRule="auto"/>
      <w:ind w:firstLine="560" w:firstLineChars="200"/>
    </w:pPr>
    <w:rPr>
      <w:kern w:val="0"/>
      <w:sz w:val="24"/>
    </w:rPr>
  </w:style>
  <w:style w:type="paragraph" w:customStyle="1" w:styleId="102">
    <w:name w:val="表格正文"/>
    <w:basedOn w:val="1"/>
    <w:qFormat/>
    <w:uiPriority w:val="0"/>
    <w:pPr>
      <w:jc w:val="center"/>
    </w:pPr>
    <w:rPr>
      <w:rFonts w:ascii="仿宋_GB2312" w:eastAsia="仿宋_GB2312"/>
    </w:rPr>
  </w:style>
  <w:style w:type="paragraph" w:customStyle="1" w:styleId="103">
    <w:name w:val="标准正文"/>
    <w:basedOn w:val="1"/>
    <w:qFormat/>
    <w:uiPriority w:val="0"/>
    <w:pPr>
      <w:ind w:firstLine="600"/>
    </w:pPr>
    <w:rPr>
      <w:rFonts w:ascii="Calibri" w:hAnsi="Calibri"/>
      <w:spacing w:val="10"/>
      <w:kern w:val="0"/>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Info spid="_x0000_s2109"/>
  </customShpExts>
  <extobjs>
    <extobj name="ECB019B1-382A-4266-B25C-5B523AA43C14-1">
      <extobjdata type="ECB019B1-382A-4266-B25C-5B523AA43C14" data="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776</Words>
  <Characters>847</Characters>
  <Lines>252</Lines>
  <Paragraphs>71</Paragraphs>
  <TotalTime>2</TotalTime>
  <ScaleCrop>false</ScaleCrop>
  <LinksUpToDate>false</LinksUpToDate>
  <CharactersWithSpaces>891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尚云环境</dc:creator>
  <cp:lastModifiedBy>凝视深渊的鱼</cp:lastModifiedBy>
  <cp:lastPrinted>2023-11-08T03:44:00Z</cp:lastPrinted>
  <dcterms:modified xsi:type="dcterms:W3CDTF">2024-12-16T01:15:33Z</dcterms:modified>
  <dc:title>建设项目环境影响报告表（污染影响类）</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6C5625AB428248519ADBD58D8A32F8AA_13</vt:lpwstr>
  </property>
</Properties>
</file>