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40"/>
        <w:rPr>
          <w:rFonts w:ascii="仿宋_GB2312" w:eastAsia="仿宋_GB2312"/>
          <w:sz w:val="36"/>
          <w:szCs w:val="36"/>
          <w:u w:val="singl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43"/>
        <w:gridCol w:w="1302"/>
        <w:gridCol w:w="6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43" w:type="dxa"/>
          </w:tcPr>
          <w:p>
            <w:pPr>
              <w:kinsoku w:val="0"/>
              <w:overflowPunct w:val="0"/>
              <w:autoSpaceDE w:val="0"/>
              <w:autoSpaceDN w:val="0"/>
              <w:adjustRightInd w:val="0"/>
              <w:snapToGrid w:val="0"/>
              <w:jc w:val="right"/>
              <w:rPr>
                <w:rFonts w:ascii="仿宋_GB2312" w:eastAsia="仿宋_GB2312"/>
                <w:kern w:val="0"/>
                <w:sz w:val="36"/>
                <w:szCs w:val="36"/>
                <w:u w:val="single"/>
              </w:rPr>
            </w:pPr>
            <w:bookmarkStart w:id="0" w:name="_Hlk57884087"/>
            <w:r>
              <w:rPr>
                <w:rFonts w:hint="eastAsia" w:ascii="仿宋_GB2312" w:eastAsia="仿宋_GB2312"/>
                <w:sz w:val="36"/>
                <w:szCs w:val="36"/>
              </w:rPr>
              <w:t>项目名称：</w:t>
            </w:r>
          </w:p>
        </w:tc>
        <w:tc>
          <w:tcPr>
            <w:tcW w:w="7795" w:type="dxa"/>
            <w:gridSpan w:val="2"/>
          </w:tcPr>
          <w:p>
            <w:pPr>
              <w:adjustRightInd w:val="0"/>
              <w:snapToGrid w:val="0"/>
              <w:rPr>
                <w:rFonts w:ascii="仿宋_GB2312" w:eastAsia="仿宋_GB2312"/>
                <w:sz w:val="36"/>
                <w:szCs w:val="36"/>
                <w:u w:val="single"/>
              </w:rPr>
            </w:pPr>
            <w:r>
              <w:rPr>
                <w:rFonts w:hint="eastAsia" w:ascii="仿宋_GB2312" w:eastAsia="仿宋_GB2312"/>
                <w:sz w:val="36"/>
                <w:szCs w:val="36"/>
                <w:u w:val="single"/>
              </w:rPr>
              <w:t>长春新区北湖科技开发区特陶产业园区（一期）项目锅炉项目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45" w:type="dxa"/>
            <w:gridSpan w:val="2"/>
          </w:tcPr>
          <w:p>
            <w:pPr>
              <w:kinsoku w:val="0"/>
              <w:wordWrap w:val="0"/>
              <w:overflowPunct w:val="0"/>
              <w:autoSpaceDE w:val="0"/>
              <w:autoSpaceDN w:val="0"/>
              <w:adjustRightInd w:val="0"/>
              <w:snapToGrid w:val="0"/>
              <w:rPr>
                <w:rFonts w:ascii="仿宋_GB2312" w:eastAsia="仿宋_GB2312"/>
                <w:sz w:val="36"/>
                <w:szCs w:val="36"/>
                <w:u w:val="single"/>
              </w:rPr>
            </w:pPr>
            <w:r>
              <w:rPr>
                <w:rFonts w:hint="eastAsia" w:ascii="仿宋_GB2312" w:eastAsia="仿宋_GB2312"/>
                <w:sz w:val="36"/>
                <w:szCs w:val="36"/>
              </w:rPr>
              <w:t>建设单位（盖章）：</w:t>
            </w:r>
          </w:p>
        </w:tc>
        <w:tc>
          <w:tcPr>
            <w:tcW w:w="6493" w:type="dxa"/>
          </w:tcPr>
          <w:p>
            <w:pPr>
              <w:adjustRightInd w:val="0"/>
              <w:snapToGrid w:val="0"/>
              <w:rPr>
                <w:rFonts w:ascii="仿宋_GB2312" w:eastAsia="仿宋_GB2312"/>
                <w:sz w:val="36"/>
                <w:szCs w:val="36"/>
                <w:u w:val="single"/>
              </w:rPr>
            </w:pPr>
            <w:r>
              <w:rPr>
                <w:rFonts w:hint="eastAsia" w:ascii="仿宋_GB2312" w:eastAsia="仿宋_GB2312"/>
                <w:sz w:val="36"/>
                <w:szCs w:val="36"/>
                <w:u w:val="single"/>
              </w:rPr>
              <w:t xml:space="preserve">吉林长玉特陶新材料技术股份有限公司 </w:t>
            </w:r>
            <w:r>
              <w:rPr>
                <w:rFonts w:ascii="仿宋_GB2312" w:eastAsia="仿宋_GB2312"/>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43" w:type="dxa"/>
          </w:tcPr>
          <w:p>
            <w:pPr>
              <w:kinsoku w:val="0"/>
              <w:overflowPunct w:val="0"/>
              <w:autoSpaceDE w:val="0"/>
              <w:autoSpaceDN w:val="0"/>
              <w:adjustRightInd w:val="0"/>
              <w:snapToGrid w:val="0"/>
              <w:jc w:val="right"/>
              <w:rPr>
                <w:rFonts w:ascii="仿宋_GB2312" w:eastAsia="仿宋_GB2312"/>
                <w:sz w:val="36"/>
                <w:szCs w:val="36"/>
                <w:u w:val="single"/>
              </w:rPr>
            </w:pPr>
            <w:r>
              <w:rPr>
                <w:rFonts w:hint="eastAsia" w:ascii="仿宋_GB2312" w:eastAsia="仿宋_GB2312"/>
                <w:sz w:val="36"/>
                <w:szCs w:val="36"/>
              </w:rPr>
              <w:t>编制日期：</w:t>
            </w:r>
          </w:p>
        </w:tc>
        <w:tc>
          <w:tcPr>
            <w:tcW w:w="7795" w:type="dxa"/>
            <w:gridSpan w:val="2"/>
          </w:tcPr>
          <w:p>
            <w:pPr>
              <w:adjustRightInd w:val="0"/>
              <w:snapToGrid w:val="0"/>
              <w:rPr>
                <w:rFonts w:eastAsia="仿宋_GB2312"/>
                <w:sz w:val="36"/>
                <w:szCs w:val="36"/>
                <w:u w:val="single"/>
              </w:rPr>
            </w:pPr>
            <w:r>
              <w:rPr>
                <w:rFonts w:ascii="仿宋_GB2312" w:eastAsia="仿宋_GB2312"/>
                <w:sz w:val="36"/>
                <w:szCs w:val="36"/>
                <w:u w:val="single"/>
              </w:rPr>
              <w:t xml:space="preserve">             </w:t>
            </w:r>
            <w:r>
              <w:rPr>
                <w:rFonts w:eastAsia="仿宋_GB2312"/>
                <w:sz w:val="36"/>
                <w:szCs w:val="36"/>
                <w:u w:val="single"/>
              </w:rPr>
              <w:t xml:space="preserve">    2023年11月                                  </w:t>
            </w:r>
          </w:p>
        </w:tc>
      </w:tr>
    </w:tbl>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widowControl/>
        <w:jc w:val="left"/>
        <w:rPr>
          <w:rFonts w:ascii="仿宋_GB2312" w:eastAsia="仿宋_GB2312"/>
          <w:sz w:val="36"/>
          <w:szCs w:val="36"/>
        </w:rPr>
      </w:pPr>
      <w:r>
        <w:rPr>
          <w:rFonts w:ascii="仿宋_GB2312" w:eastAsia="仿宋_GB2312"/>
          <w:sz w:val="36"/>
          <w:szCs w:val="36"/>
        </w:rPr>
        <w:br w:type="page"/>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type w:val="continuous"/>
          <w:pgSz w:w="11906" w:h="16838"/>
          <w:pgMar w:top="1134" w:right="1134" w:bottom="1134" w:left="1134" w:header="851" w:footer="1077" w:gutter="0"/>
          <w:pgNumType w:start="3"/>
          <w:cols w:space="720" w:num="1"/>
          <w:docGrid w:linePitch="312" w:charSpace="0"/>
        </w:sectPr>
      </w:pPr>
    </w:p>
    <w:p>
      <w:pPr>
        <w:pStyle w:val="17"/>
        <w:adjustRightInd w:val="0"/>
        <w:snapToGrid w:val="0"/>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61"/>
        <w:gridCol w:w="2035"/>
        <w:gridCol w:w="2093"/>
        <w:gridCol w:w="2101"/>
        <w:gridCol w:w="2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建设项目名称</w:t>
            </w:r>
          </w:p>
        </w:tc>
        <w:tc>
          <w:tcPr>
            <w:tcW w:w="3657" w:type="pct"/>
            <w:gridSpan w:val="3"/>
            <w:vAlign w:val="center"/>
          </w:tcPr>
          <w:p>
            <w:pPr>
              <w:adjustRightInd w:val="0"/>
              <w:snapToGrid w:val="0"/>
              <w:jc w:val="center"/>
              <w:rPr>
                <w:szCs w:val="21"/>
              </w:rPr>
            </w:pPr>
            <w:r>
              <w:rPr>
                <w:szCs w:val="21"/>
              </w:rPr>
              <w:t>长春新区北湖科技开发区特陶产业园区（一期）项目</w:t>
            </w:r>
            <w:r>
              <w:rPr>
                <w:rFonts w:hint="eastAsia"/>
                <w:szCs w:val="21"/>
              </w:rPr>
              <w:t>锅炉项目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项目代码</w:t>
            </w:r>
          </w:p>
        </w:tc>
        <w:tc>
          <w:tcPr>
            <w:tcW w:w="3657" w:type="pct"/>
            <w:gridSpan w:val="3"/>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建设单位联系人</w:t>
            </w:r>
          </w:p>
        </w:tc>
        <w:tc>
          <w:tcPr>
            <w:tcW w:w="1083" w:type="pct"/>
            <w:vAlign w:val="center"/>
          </w:tcPr>
          <w:p>
            <w:pPr>
              <w:adjustRightInd w:val="0"/>
              <w:snapToGrid w:val="0"/>
              <w:jc w:val="center"/>
              <w:rPr>
                <w:szCs w:val="21"/>
              </w:rPr>
            </w:pPr>
            <w:r>
              <w:rPr>
                <w:rFonts w:hint="eastAsia"/>
                <w:szCs w:val="21"/>
              </w:rPr>
              <w:t>蔡桂红</w:t>
            </w:r>
          </w:p>
        </w:tc>
        <w:tc>
          <w:tcPr>
            <w:tcW w:w="1087" w:type="pct"/>
            <w:vAlign w:val="center"/>
          </w:tcPr>
          <w:p>
            <w:pPr>
              <w:adjustRightInd w:val="0"/>
              <w:snapToGrid w:val="0"/>
              <w:jc w:val="center"/>
              <w:rPr>
                <w:szCs w:val="21"/>
              </w:rPr>
            </w:pPr>
            <w:r>
              <w:rPr>
                <w:szCs w:val="21"/>
              </w:rPr>
              <w:t>联系方式</w:t>
            </w:r>
          </w:p>
        </w:tc>
        <w:tc>
          <w:tcPr>
            <w:tcW w:w="1487" w:type="pct"/>
            <w:vAlign w:val="center"/>
          </w:tcPr>
          <w:p>
            <w:pPr>
              <w:adjustRightInd w:val="0"/>
              <w:snapToGrid w:val="0"/>
              <w:jc w:val="center"/>
              <w:rPr>
                <w:szCs w:val="21"/>
              </w:rPr>
            </w:pPr>
            <w:r>
              <w:rPr>
                <w:rFonts w:hint="eastAsia"/>
                <w:szCs w:val="21"/>
              </w:rPr>
              <w:t>1</w:t>
            </w:r>
            <w:r>
              <w:rPr>
                <w:szCs w:val="21"/>
              </w:rPr>
              <w:t>5946501773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建设地点</w:t>
            </w:r>
          </w:p>
        </w:tc>
        <w:tc>
          <w:tcPr>
            <w:tcW w:w="3657" w:type="pct"/>
            <w:gridSpan w:val="3"/>
            <w:vAlign w:val="center"/>
          </w:tcPr>
          <w:p>
            <w:pPr>
              <w:adjustRightInd w:val="0"/>
              <w:snapToGrid w:val="0"/>
              <w:jc w:val="center"/>
              <w:rPr>
                <w:szCs w:val="21"/>
              </w:rPr>
            </w:pPr>
            <w:r>
              <w:rPr>
                <w:rFonts w:hint="eastAsia"/>
                <w:szCs w:val="21"/>
              </w:rPr>
              <w:t>（长春新区）</w:t>
            </w:r>
            <w:bookmarkStart w:id="1" w:name="_Hlk149223770"/>
            <w:bookmarkStart w:id="2" w:name="_Hlk149223783"/>
            <w:r>
              <w:rPr>
                <w:szCs w:val="21"/>
              </w:rPr>
              <w:t>吉林省长春市北湖科技开发区</w:t>
            </w:r>
            <w:bookmarkEnd w:id="1"/>
            <w:r>
              <w:rPr>
                <w:szCs w:val="21"/>
              </w:rPr>
              <w:t>龙腾路以南、建丰街以东</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地理坐标</w:t>
            </w:r>
          </w:p>
        </w:tc>
        <w:tc>
          <w:tcPr>
            <w:tcW w:w="3657" w:type="pct"/>
            <w:gridSpan w:val="3"/>
            <w:vAlign w:val="center"/>
          </w:tcPr>
          <w:p>
            <w:pPr>
              <w:jc w:val="center"/>
              <w:rPr>
                <w:szCs w:val="21"/>
              </w:rPr>
            </w:pPr>
            <w:r>
              <w:rPr>
                <w:szCs w:val="21"/>
              </w:rPr>
              <w:t>（</w:t>
            </w:r>
            <w:r>
              <w:rPr>
                <w:szCs w:val="21"/>
                <w:u w:val="single"/>
              </w:rPr>
              <w:t>125°24′20.229″</w:t>
            </w:r>
            <w:r>
              <w:rPr>
                <w:szCs w:val="21"/>
              </w:rPr>
              <w:t>，</w:t>
            </w:r>
            <w:r>
              <w:rPr>
                <w:szCs w:val="21"/>
                <w:u w:val="single"/>
              </w:rPr>
              <w:t>44°0′55.056″</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国民经济</w:t>
            </w:r>
          </w:p>
          <w:p>
            <w:pPr>
              <w:adjustRightInd w:val="0"/>
              <w:snapToGrid w:val="0"/>
              <w:jc w:val="center"/>
              <w:rPr>
                <w:szCs w:val="21"/>
              </w:rPr>
            </w:pPr>
            <w:r>
              <w:rPr>
                <w:szCs w:val="21"/>
              </w:rPr>
              <w:t>行业类别</w:t>
            </w:r>
          </w:p>
        </w:tc>
        <w:tc>
          <w:tcPr>
            <w:tcW w:w="1083" w:type="pct"/>
            <w:vAlign w:val="center"/>
          </w:tcPr>
          <w:p>
            <w:pPr>
              <w:adjustRightInd w:val="0"/>
              <w:snapToGrid w:val="0"/>
              <w:jc w:val="center"/>
              <w:rPr>
                <w:szCs w:val="21"/>
              </w:rPr>
            </w:pPr>
            <w:r>
              <w:rPr>
                <w:szCs w:val="21"/>
              </w:rPr>
              <w:t>C4430</w:t>
            </w:r>
            <w:r>
              <w:rPr>
                <w:rFonts w:hint="eastAsia"/>
                <w:szCs w:val="21"/>
              </w:rPr>
              <w:t>热力生产和供应</w:t>
            </w:r>
          </w:p>
        </w:tc>
        <w:tc>
          <w:tcPr>
            <w:tcW w:w="1087" w:type="pct"/>
            <w:vAlign w:val="center"/>
          </w:tcPr>
          <w:p>
            <w:pPr>
              <w:adjustRightInd w:val="0"/>
              <w:snapToGrid w:val="0"/>
              <w:jc w:val="center"/>
              <w:rPr>
                <w:szCs w:val="21"/>
              </w:rPr>
            </w:pPr>
            <w:bookmarkStart w:id="3" w:name="_Hlk49843745"/>
            <w:r>
              <w:rPr>
                <w:szCs w:val="21"/>
              </w:rPr>
              <w:t>建设项目</w:t>
            </w:r>
          </w:p>
          <w:p>
            <w:pPr>
              <w:adjustRightInd w:val="0"/>
              <w:snapToGrid w:val="0"/>
              <w:jc w:val="center"/>
              <w:rPr>
                <w:szCs w:val="21"/>
              </w:rPr>
            </w:pPr>
            <w:r>
              <w:rPr>
                <w:szCs w:val="21"/>
              </w:rPr>
              <w:t>行业类别</w:t>
            </w:r>
            <w:bookmarkEnd w:id="3"/>
          </w:p>
        </w:tc>
        <w:tc>
          <w:tcPr>
            <w:tcW w:w="1487" w:type="pct"/>
            <w:vAlign w:val="center"/>
          </w:tcPr>
          <w:p>
            <w:pPr>
              <w:adjustRightInd w:val="0"/>
              <w:snapToGrid w:val="0"/>
              <w:rPr>
                <w:szCs w:val="21"/>
              </w:rPr>
            </w:pPr>
            <w:r>
              <w:rPr>
                <w:rFonts w:hint="eastAsia"/>
                <w:szCs w:val="21"/>
              </w:rPr>
              <w:t>四十一、电力、热力生产和供应业91热力生产和供应工程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建设性质</w:t>
            </w:r>
          </w:p>
        </w:tc>
        <w:tc>
          <w:tcPr>
            <w:tcW w:w="1083" w:type="pct"/>
            <w:vAlign w:val="center"/>
          </w:tcPr>
          <w:p>
            <w:pPr>
              <w:jc w:val="left"/>
              <w:rPr>
                <w:szCs w:val="21"/>
              </w:rPr>
            </w:pPr>
            <w:r>
              <w:rPr>
                <w:szCs w:val="21"/>
              </w:rPr>
              <w:sym w:font="Wingdings 2" w:char="00A3"/>
            </w:r>
            <w:r>
              <w:rPr>
                <w:szCs w:val="21"/>
              </w:rPr>
              <w:t>新建（迁建）</w:t>
            </w:r>
          </w:p>
          <w:p>
            <w:pPr>
              <w:jc w:val="left"/>
              <w:rPr>
                <w:szCs w:val="21"/>
              </w:rPr>
            </w:pPr>
            <w:r>
              <w:rPr>
                <w:szCs w:val="21"/>
              </w:rPr>
              <w:sym w:font="Wingdings 2" w:char="00A3"/>
            </w:r>
            <w:r>
              <w:rPr>
                <w:szCs w:val="21"/>
              </w:rPr>
              <w:t>改建</w:t>
            </w:r>
          </w:p>
          <w:p>
            <w:pPr>
              <w:jc w:val="left"/>
              <w:rPr>
                <w:szCs w:val="21"/>
              </w:rPr>
            </w:pPr>
            <w:r>
              <w:rPr>
                <w:szCs w:val="21"/>
              </w:rPr>
              <w:sym w:font="Wingdings 2" w:char="F052"/>
            </w:r>
            <w:r>
              <w:rPr>
                <w:szCs w:val="21"/>
              </w:rPr>
              <w:t>扩建</w:t>
            </w:r>
          </w:p>
          <w:p>
            <w:pPr>
              <w:jc w:val="left"/>
              <w:rPr>
                <w:szCs w:val="21"/>
              </w:rPr>
            </w:pPr>
            <w:r>
              <w:rPr>
                <w:szCs w:val="21"/>
              </w:rPr>
              <w:sym w:font="Wingdings 2" w:char="00A3"/>
            </w:r>
            <w:r>
              <w:rPr>
                <w:szCs w:val="21"/>
              </w:rPr>
              <w:t>技术改造</w:t>
            </w:r>
          </w:p>
        </w:tc>
        <w:tc>
          <w:tcPr>
            <w:tcW w:w="1087" w:type="pct"/>
            <w:vAlign w:val="center"/>
          </w:tcPr>
          <w:p>
            <w:pPr>
              <w:adjustRightInd w:val="0"/>
              <w:snapToGrid w:val="0"/>
              <w:jc w:val="center"/>
              <w:rPr>
                <w:szCs w:val="21"/>
              </w:rPr>
            </w:pPr>
            <w:r>
              <w:rPr>
                <w:szCs w:val="21"/>
              </w:rPr>
              <w:t>建设项目</w:t>
            </w:r>
          </w:p>
          <w:p>
            <w:pPr>
              <w:adjustRightInd w:val="0"/>
              <w:snapToGrid w:val="0"/>
              <w:jc w:val="center"/>
              <w:rPr>
                <w:szCs w:val="21"/>
              </w:rPr>
            </w:pPr>
            <w:r>
              <w:rPr>
                <w:szCs w:val="21"/>
              </w:rPr>
              <w:t>申报情形</w:t>
            </w:r>
          </w:p>
        </w:tc>
        <w:tc>
          <w:tcPr>
            <w:tcW w:w="1487" w:type="pct"/>
            <w:vAlign w:val="center"/>
          </w:tcPr>
          <w:p>
            <w:pPr>
              <w:jc w:val="left"/>
              <w:rPr>
                <w:szCs w:val="21"/>
              </w:rPr>
            </w:pPr>
            <w:r>
              <w:rPr>
                <w:szCs w:val="21"/>
              </w:rPr>
              <w:sym w:font="Wingdings 2" w:char="F052"/>
            </w:r>
            <w:r>
              <w:rPr>
                <w:szCs w:val="21"/>
              </w:rPr>
              <w:t xml:space="preserve">首次申报项目             </w:t>
            </w:r>
          </w:p>
          <w:p>
            <w:pPr>
              <w:jc w:val="left"/>
              <w:rPr>
                <w:szCs w:val="21"/>
              </w:rPr>
            </w:pPr>
            <w:r>
              <w:rPr>
                <w:szCs w:val="21"/>
              </w:rPr>
              <w:sym w:font="Wingdings 2" w:char="00A3"/>
            </w:r>
            <w:r>
              <w:rPr>
                <w:szCs w:val="21"/>
              </w:rPr>
              <w:t>不予批准后再次申报项目</w:t>
            </w:r>
          </w:p>
          <w:p>
            <w:pPr>
              <w:jc w:val="left"/>
              <w:rPr>
                <w:szCs w:val="21"/>
              </w:rPr>
            </w:pPr>
            <w:r>
              <w:rPr>
                <w:szCs w:val="21"/>
              </w:rPr>
              <w:sym w:font="Wingdings 2" w:char="00A3"/>
            </w:r>
            <w:r>
              <w:rPr>
                <w:szCs w:val="21"/>
              </w:rPr>
              <w:t xml:space="preserve">超五年重新审核项目     </w:t>
            </w:r>
          </w:p>
          <w:p>
            <w:pPr>
              <w:jc w:val="left"/>
              <w:rPr>
                <w:szCs w:val="21"/>
              </w:rPr>
            </w:pPr>
            <w:r>
              <w:rPr>
                <w:szCs w:val="21"/>
              </w:rPr>
              <w:sym w:font="Wingdings 2" w:char="00A3"/>
            </w: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备案）部门（选填）</w:t>
            </w:r>
          </w:p>
        </w:tc>
        <w:tc>
          <w:tcPr>
            <w:tcW w:w="1083" w:type="pct"/>
            <w:vAlign w:val="center"/>
          </w:tcPr>
          <w:p>
            <w:pPr>
              <w:adjustRightInd w:val="0"/>
              <w:snapToGrid w:val="0"/>
              <w:jc w:val="center"/>
              <w:rPr>
                <w:szCs w:val="21"/>
              </w:rPr>
            </w:pPr>
            <w:r>
              <w:rPr>
                <w:rFonts w:hint="eastAsia"/>
                <w:szCs w:val="21"/>
              </w:rPr>
              <w:t>/</w:t>
            </w:r>
          </w:p>
        </w:tc>
        <w:tc>
          <w:tcPr>
            <w:tcW w:w="1087" w:type="pct"/>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备案）文号（选填）</w:t>
            </w:r>
          </w:p>
        </w:tc>
        <w:tc>
          <w:tcPr>
            <w:tcW w:w="1487" w:type="pct"/>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总投资（万元）</w:t>
            </w:r>
          </w:p>
        </w:tc>
        <w:tc>
          <w:tcPr>
            <w:tcW w:w="1083" w:type="pct"/>
            <w:vAlign w:val="center"/>
          </w:tcPr>
          <w:p>
            <w:pPr>
              <w:adjustRightInd w:val="0"/>
              <w:snapToGrid w:val="0"/>
              <w:jc w:val="center"/>
              <w:rPr>
                <w:szCs w:val="21"/>
              </w:rPr>
            </w:pPr>
            <w:r>
              <w:rPr>
                <w:szCs w:val="21"/>
              </w:rPr>
              <w:t>200</w:t>
            </w:r>
          </w:p>
        </w:tc>
        <w:tc>
          <w:tcPr>
            <w:tcW w:w="1087" w:type="pct"/>
            <w:tcMar>
              <w:top w:w="16" w:type="dxa"/>
              <w:left w:w="16" w:type="dxa"/>
              <w:right w:w="16" w:type="dxa"/>
            </w:tcMar>
            <w:vAlign w:val="center"/>
          </w:tcPr>
          <w:p>
            <w:pPr>
              <w:adjustRightInd w:val="0"/>
              <w:snapToGrid w:val="0"/>
              <w:jc w:val="center"/>
              <w:rPr>
                <w:szCs w:val="21"/>
              </w:rPr>
            </w:pPr>
            <w:r>
              <w:rPr>
                <w:szCs w:val="21"/>
              </w:rPr>
              <w:t>环保投资（万元）</w:t>
            </w:r>
          </w:p>
        </w:tc>
        <w:tc>
          <w:tcPr>
            <w:tcW w:w="1487" w:type="pct"/>
            <w:vAlign w:val="center"/>
          </w:tcPr>
          <w:p>
            <w:pPr>
              <w:adjustRightInd w:val="0"/>
              <w:snapToGrid w:val="0"/>
              <w:jc w:val="center"/>
              <w:rPr>
                <w:szCs w:val="21"/>
              </w:rPr>
            </w:pPr>
            <w:r>
              <w:rPr>
                <w:szCs w:val="21"/>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环保投资占比（%）</w:t>
            </w:r>
          </w:p>
        </w:tc>
        <w:tc>
          <w:tcPr>
            <w:tcW w:w="1083" w:type="pct"/>
            <w:vAlign w:val="center"/>
          </w:tcPr>
          <w:p>
            <w:pPr>
              <w:adjustRightInd w:val="0"/>
              <w:snapToGrid w:val="0"/>
              <w:jc w:val="center"/>
              <w:rPr>
                <w:szCs w:val="21"/>
              </w:rPr>
            </w:pPr>
            <w:r>
              <w:rPr>
                <w:szCs w:val="21"/>
              </w:rPr>
              <w:t>11.5</w:t>
            </w:r>
          </w:p>
        </w:tc>
        <w:tc>
          <w:tcPr>
            <w:tcW w:w="1087" w:type="pct"/>
            <w:tcMar>
              <w:top w:w="16" w:type="dxa"/>
              <w:left w:w="16" w:type="dxa"/>
              <w:right w:w="16" w:type="dxa"/>
            </w:tcMar>
            <w:vAlign w:val="center"/>
          </w:tcPr>
          <w:p>
            <w:pPr>
              <w:adjustRightInd w:val="0"/>
              <w:snapToGrid w:val="0"/>
              <w:jc w:val="center"/>
              <w:rPr>
                <w:szCs w:val="21"/>
              </w:rPr>
            </w:pPr>
            <w:r>
              <w:rPr>
                <w:szCs w:val="21"/>
              </w:rPr>
              <w:t>施工工期</w:t>
            </w:r>
          </w:p>
        </w:tc>
        <w:tc>
          <w:tcPr>
            <w:tcW w:w="1487" w:type="pct"/>
            <w:vAlign w:val="center"/>
          </w:tcPr>
          <w:p>
            <w:pPr>
              <w:adjustRightInd w:val="0"/>
              <w:snapToGrid w:val="0"/>
              <w:jc w:val="center"/>
              <w:rPr>
                <w:szCs w:val="21"/>
              </w:rPr>
            </w:pPr>
            <w:r>
              <w:rPr>
                <w:rFonts w:hint="eastAsia"/>
                <w:szCs w:val="21"/>
              </w:rPr>
              <w:t>3</w:t>
            </w:r>
            <w:r>
              <w:rPr>
                <w:szCs w:val="21"/>
              </w:rPr>
              <w:t>0</w:t>
            </w:r>
            <w:r>
              <w:rPr>
                <w:rFonts w:hint="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43" w:type="pct"/>
            <w:gridSpan w:val="2"/>
            <w:tcMar>
              <w:top w:w="16" w:type="dxa"/>
              <w:left w:w="16" w:type="dxa"/>
              <w:right w:w="16" w:type="dxa"/>
            </w:tcMar>
            <w:vAlign w:val="center"/>
          </w:tcPr>
          <w:p>
            <w:pPr>
              <w:adjustRightInd w:val="0"/>
              <w:snapToGrid w:val="0"/>
              <w:jc w:val="center"/>
              <w:rPr>
                <w:szCs w:val="21"/>
              </w:rPr>
            </w:pPr>
            <w:r>
              <w:rPr>
                <w:szCs w:val="21"/>
              </w:rPr>
              <w:t>是否开工建设</w:t>
            </w:r>
          </w:p>
        </w:tc>
        <w:tc>
          <w:tcPr>
            <w:tcW w:w="1083" w:type="pct"/>
            <w:vAlign w:val="center"/>
          </w:tcPr>
          <w:p>
            <w:pPr>
              <w:adjustRightInd w:val="0"/>
              <w:snapToGrid w:val="0"/>
              <w:rPr>
                <w:szCs w:val="21"/>
              </w:rPr>
            </w:pPr>
            <w:r>
              <w:rPr>
                <w:szCs w:val="21"/>
              </w:rPr>
              <w:sym w:font="Wingdings 2" w:char="F052"/>
            </w:r>
            <w:r>
              <w:rPr>
                <w:szCs w:val="21"/>
              </w:rPr>
              <w:t>否</w:t>
            </w:r>
          </w:p>
          <w:p>
            <w:pPr>
              <w:adjustRightInd w:val="0"/>
              <w:snapToGrid w:val="0"/>
              <w:rPr>
                <w:szCs w:val="21"/>
              </w:rPr>
            </w:pPr>
            <w:r>
              <w:rPr>
                <w:szCs w:val="21"/>
              </w:rPr>
              <w:sym w:font="Wingdings 2" w:char="00A3"/>
            </w:r>
            <w:r>
              <w:rPr>
                <w:szCs w:val="21"/>
              </w:rPr>
              <w:t>是：</w:t>
            </w:r>
            <w:r>
              <w:rPr>
                <w:szCs w:val="21"/>
                <w:u w:val="single"/>
              </w:rPr>
              <w:t xml:space="preserve"> </w:t>
            </w:r>
            <w:r>
              <w:rPr>
                <w:rFonts w:hint="eastAsia"/>
                <w:szCs w:val="21"/>
                <w:u w:val="single"/>
              </w:rPr>
              <w:t xml:space="preserve"> </w:t>
            </w:r>
            <w:r>
              <w:rPr>
                <w:szCs w:val="21"/>
                <w:u w:val="single"/>
              </w:rPr>
              <w:t xml:space="preserve">                </w:t>
            </w:r>
          </w:p>
        </w:tc>
        <w:tc>
          <w:tcPr>
            <w:tcW w:w="1087" w:type="pct"/>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1487" w:type="pct"/>
            <w:vAlign w:val="center"/>
          </w:tcPr>
          <w:p>
            <w:pPr>
              <w:adjustRightInd w:val="0"/>
              <w:snapToGrid w:val="0"/>
              <w:jc w:val="center"/>
              <w:rPr>
                <w:szCs w:val="21"/>
              </w:rPr>
            </w:pPr>
            <w:r>
              <w:rPr>
                <w:rFonts w:hint="eastAsia"/>
                <w:szCs w:val="21"/>
              </w:rPr>
              <w:t>5</w:t>
            </w:r>
            <w:r>
              <w:rPr>
                <w:szCs w:val="21"/>
              </w:rPr>
              <w:t>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43" w:type="pct"/>
            <w:gridSpan w:val="2"/>
            <w:vAlign w:val="center"/>
          </w:tcPr>
          <w:p>
            <w:pPr>
              <w:autoSpaceDE w:val="0"/>
              <w:autoSpaceDN w:val="0"/>
              <w:adjustRightInd w:val="0"/>
              <w:snapToGrid w:val="0"/>
              <w:jc w:val="center"/>
              <w:rPr>
                <w:kern w:val="0"/>
                <w:szCs w:val="21"/>
              </w:rPr>
            </w:pPr>
            <w:r>
              <w:rPr>
                <w:kern w:val="0"/>
                <w:szCs w:val="21"/>
              </w:rPr>
              <w:t>专项评价设置情况</w:t>
            </w:r>
          </w:p>
        </w:tc>
        <w:tc>
          <w:tcPr>
            <w:tcW w:w="3657" w:type="pct"/>
            <w:gridSpan w:val="3"/>
            <w:vAlign w:val="center"/>
          </w:tcPr>
          <w:p>
            <w:pPr>
              <w:pStyle w:val="3"/>
              <w:jc w:val="center"/>
              <w:rPr>
                <w:kern w:val="0"/>
                <w:szCs w:val="21"/>
              </w:rPr>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343" w:type="pct"/>
            <w:gridSpan w:val="2"/>
            <w:vAlign w:val="center"/>
          </w:tcPr>
          <w:p>
            <w:pPr>
              <w:autoSpaceDE w:val="0"/>
              <w:autoSpaceDN w:val="0"/>
              <w:adjustRightInd w:val="0"/>
              <w:snapToGrid w:val="0"/>
              <w:jc w:val="center"/>
              <w:rPr>
                <w:kern w:val="0"/>
                <w:szCs w:val="21"/>
              </w:rPr>
            </w:pPr>
            <w:r>
              <w:rPr>
                <w:szCs w:val="21"/>
              </w:rPr>
              <w:t>规划情况</w:t>
            </w:r>
          </w:p>
        </w:tc>
        <w:tc>
          <w:tcPr>
            <w:tcW w:w="3657" w:type="pct"/>
            <w:gridSpan w:val="3"/>
            <w:vAlign w:val="center"/>
          </w:tcPr>
          <w:p>
            <w:pPr>
              <w:pStyle w:val="44"/>
              <w:ind w:firstLine="420" w:firstLineChars="200"/>
            </w:pPr>
            <w:r>
              <w:t>1、规划文件：</w:t>
            </w:r>
            <w:r>
              <w:rPr>
                <w:rFonts w:hint="eastAsia"/>
              </w:rPr>
              <w:t>《</w:t>
            </w:r>
            <w:r>
              <w:t>长春北湖科技开发区分区规划修编》（2018-2030）；</w:t>
            </w:r>
          </w:p>
          <w:p>
            <w:pPr>
              <w:pStyle w:val="44"/>
              <w:ind w:firstLine="420" w:firstLineChars="200"/>
            </w:pPr>
            <w:r>
              <w:t>2、审查机关：吉林省</w:t>
            </w:r>
            <w:r>
              <w:rPr>
                <w:rFonts w:hint="eastAsia"/>
              </w:rPr>
              <w:t>人民政府</w:t>
            </w:r>
            <w:r>
              <w:t>；</w:t>
            </w:r>
          </w:p>
          <w:p>
            <w:pPr>
              <w:pStyle w:val="44"/>
              <w:ind w:firstLine="420" w:firstLineChars="200"/>
            </w:pPr>
            <w:r>
              <w:t>3、审查文件名称及文号：</w:t>
            </w:r>
            <w:bookmarkStart w:id="4" w:name="_Hlk144214790"/>
            <w:r>
              <w:t>吉政函</w:t>
            </w:r>
            <w:r>
              <w:rPr>
                <w:rFonts w:hint="eastAsia" w:ascii="宋体" w:hAnsi="宋体"/>
              </w:rPr>
              <w:t>〔</w:t>
            </w:r>
            <w:r>
              <w:t>2016</w:t>
            </w:r>
            <w:r>
              <w:rPr>
                <w:rFonts w:hint="eastAsia" w:ascii="宋体" w:hAnsi="宋体"/>
              </w:rPr>
              <w:t>〕</w:t>
            </w:r>
            <w:r>
              <w:t>44号</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343" w:type="pct"/>
            <w:gridSpan w:val="2"/>
            <w:vAlign w:val="center"/>
          </w:tcPr>
          <w:p>
            <w:pPr>
              <w:adjustRightInd w:val="0"/>
              <w:snapToGrid w:val="0"/>
              <w:jc w:val="center"/>
              <w:rPr>
                <w:szCs w:val="21"/>
              </w:rPr>
            </w:pPr>
            <w:r>
              <w:rPr>
                <w:szCs w:val="21"/>
              </w:rPr>
              <w:t>规划环境影响</w:t>
            </w:r>
          </w:p>
          <w:p>
            <w:pPr>
              <w:adjustRightInd w:val="0"/>
              <w:snapToGrid w:val="0"/>
              <w:jc w:val="center"/>
              <w:rPr>
                <w:kern w:val="0"/>
                <w:szCs w:val="21"/>
              </w:rPr>
            </w:pPr>
            <w:r>
              <w:rPr>
                <w:szCs w:val="21"/>
              </w:rPr>
              <w:t>评价情况</w:t>
            </w:r>
          </w:p>
        </w:tc>
        <w:tc>
          <w:tcPr>
            <w:tcW w:w="3657" w:type="pct"/>
            <w:gridSpan w:val="3"/>
            <w:vAlign w:val="center"/>
          </w:tcPr>
          <w:p>
            <w:pPr>
              <w:pStyle w:val="44"/>
              <w:ind w:firstLine="420" w:firstLineChars="200"/>
            </w:pPr>
            <w:r>
              <w:t>1、规划环境影响评价文件：《长春北湖科技开发区分区规划调整（2018-2030年）</w:t>
            </w:r>
            <w:r>
              <w:rPr>
                <w:rFonts w:hint="eastAsia"/>
              </w:rPr>
              <w:t>修编</w:t>
            </w:r>
            <w:r>
              <w:t>环境影响报告书》；</w:t>
            </w:r>
          </w:p>
          <w:p>
            <w:pPr>
              <w:pStyle w:val="44"/>
              <w:ind w:firstLine="420" w:firstLineChars="200"/>
            </w:pPr>
            <w:r>
              <w:t>2、审查机关：吉林省生态环境厅；</w:t>
            </w:r>
          </w:p>
          <w:p>
            <w:pPr>
              <w:pStyle w:val="44"/>
              <w:ind w:firstLine="420" w:firstLineChars="200"/>
            </w:pPr>
            <w:r>
              <w:t>3、审查文件名称及文号：《吉林省生态环境厅关于</w:t>
            </w:r>
            <w:r>
              <w:rPr>
                <w:rFonts w:hint="eastAsia" w:ascii="宋体" w:hAnsi="宋体"/>
              </w:rPr>
              <w:t>〈</w:t>
            </w:r>
            <w:r>
              <w:t>长春北湖科技开发区分区规划调整（2018-2030年）</w:t>
            </w:r>
            <w:r>
              <w:rPr>
                <w:rFonts w:hint="eastAsia"/>
              </w:rPr>
              <w:t>修编</w:t>
            </w:r>
            <w:r>
              <w:t>环境影响报告书</w:t>
            </w:r>
            <w:r>
              <w:rPr>
                <w:rFonts w:hint="eastAsia" w:ascii="宋体" w:hAnsi="宋体"/>
              </w:rPr>
              <w:t>〉</w:t>
            </w:r>
            <w:r>
              <w:t>的审查意见》（</w:t>
            </w:r>
            <w:bookmarkStart w:id="5" w:name="_Hlk144215058"/>
            <w:r>
              <w:t>吉环环评字</w:t>
            </w:r>
            <w:r>
              <w:rPr>
                <w:rFonts w:hint="eastAsia" w:ascii="宋体" w:hAnsi="宋体"/>
              </w:rPr>
              <w:t>〔</w:t>
            </w:r>
            <w:r>
              <w:t>2021</w:t>
            </w:r>
            <w:r>
              <w:rPr>
                <w:rFonts w:hint="eastAsia" w:ascii="宋体" w:hAnsi="宋体"/>
              </w:rPr>
              <w:t>〕</w:t>
            </w:r>
            <w:r>
              <w:t>27号</w:t>
            </w:r>
            <w:bookmarkEnd w:id="5"/>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 w:type="pct"/>
            <w:vAlign w:val="center"/>
          </w:tcPr>
          <w:p>
            <w:pPr>
              <w:autoSpaceDE w:val="0"/>
              <w:autoSpaceDN w:val="0"/>
              <w:adjustRightInd w:val="0"/>
              <w:snapToGrid w:val="0"/>
              <w:jc w:val="center"/>
              <w:rPr>
                <w:kern w:val="0"/>
                <w:szCs w:val="21"/>
              </w:rPr>
            </w:pPr>
            <w:r>
              <w:rPr>
                <w:kern w:val="0"/>
                <w:szCs w:val="21"/>
              </w:rPr>
              <w:t>规划及规划环境</w:t>
            </w:r>
          </w:p>
          <w:p>
            <w:pPr>
              <w:autoSpaceDE w:val="0"/>
              <w:autoSpaceDN w:val="0"/>
              <w:adjustRightInd w:val="0"/>
              <w:snapToGrid w:val="0"/>
              <w:jc w:val="center"/>
              <w:rPr>
                <w:kern w:val="0"/>
                <w:szCs w:val="21"/>
              </w:rPr>
            </w:pPr>
            <w:r>
              <w:rPr>
                <w:kern w:val="0"/>
                <w:szCs w:val="21"/>
              </w:rPr>
              <w:t>影响评价符合性分析</w:t>
            </w:r>
          </w:p>
        </w:tc>
        <w:tc>
          <w:tcPr>
            <w:tcW w:w="4710" w:type="pct"/>
            <w:gridSpan w:val="4"/>
            <w:vAlign w:val="center"/>
          </w:tcPr>
          <w:p>
            <w:pPr>
              <w:pStyle w:val="44"/>
              <w:ind w:firstLine="422" w:firstLineChars="200"/>
              <w:rPr>
                <w:b/>
                <w:bCs/>
                <w:i/>
                <w:iCs/>
                <w:u w:val="single"/>
              </w:rPr>
            </w:pPr>
            <w:r>
              <w:rPr>
                <w:b/>
                <w:bCs/>
                <w:i/>
                <w:iCs/>
                <w:u w:val="single"/>
              </w:rPr>
              <w:t>1、项目与《长春北湖科技开发区</w:t>
            </w:r>
            <w:r>
              <w:rPr>
                <w:rFonts w:hint="eastAsia"/>
                <w:b/>
                <w:bCs/>
                <w:i/>
                <w:iCs/>
                <w:u w:val="single"/>
              </w:rPr>
              <w:t>分区规划（2018-2030）修编</w:t>
            </w:r>
            <w:r>
              <w:rPr>
                <w:b/>
                <w:bCs/>
                <w:i/>
                <w:iCs/>
                <w:u w:val="single"/>
              </w:rPr>
              <w:t>》符合性分析</w:t>
            </w:r>
          </w:p>
          <w:p>
            <w:pPr>
              <w:pStyle w:val="44"/>
              <w:ind w:firstLine="422" w:firstLineChars="200"/>
              <w:rPr>
                <w:b/>
                <w:bCs/>
                <w:i/>
                <w:iCs/>
                <w:u w:val="single"/>
              </w:rPr>
            </w:pPr>
            <w:r>
              <w:rPr>
                <w:b/>
                <w:bCs/>
                <w:i/>
                <w:iCs/>
                <w:u w:val="single"/>
              </w:rPr>
              <w:t>开发区主要产业包括四个产业基地，即：北湖智谷新城、配套生活区、科技创新中心和智能工业与物流发展区。</w:t>
            </w:r>
          </w:p>
          <w:p>
            <w:pPr>
              <w:pStyle w:val="44"/>
              <w:ind w:firstLine="422" w:firstLineChars="200"/>
              <w:rPr>
                <w:b/>
                <w:bCs/>
                <w:i/>
                <w:iCs/>
                <w:u w:val="single"/>
              </w:rPr>
            </w:pPr>
            <w:r>
              <w:rPr>
                <w:b/>
                <w:bCs/>
                <w:i/>
                <w:iCs/>
                <w:u w:val="single"/>
              </w:rPr>
              <w:t>北湖智谷新城主要是依托吉林大学的全面升级，集聚与整合国际化的创新资源，建设以电子信息、新材料、大健康、地球探测、人工智能、生态农业等六大领域为重点，涵盖人才培训、科技研发、成果转化、企业孵化、企业加速等创新企业全链条的各项功能。</w:t>
            </w:r>
          </w:p>
          <w:p>
            <w:pPr>
              <w:pStyle w:val="44"/>
              <w:ind w:firstLine="422" w:firstLineChars="200"/>
              <w:rPr>
                <w:b/>
                <w:bCs/>
                <w:i/>
                <w:iCs/>
                <w:u w:val="single"/>
              </w:rPr>
            </w:pPr>
            <w:r>
              <w:rPr>
                <w:b/>
                <w:bCs/>
                <w:i/>
                <w:iCs/>
                <w:u w:val="single"/>
              </w:rPr>
              <w:t>配套生活区主要以建设居民住宅、商贸服务、文化、娱乐、学校、医疗等于开发区居民生活息息相关的领域为重点，为开发区居民提供优良的生活发展空间。</w:t>
            </w:r>
          </w:p>
          <w:p>
            <w:pPr>
              <w:pStyle w:val="44"/>
              <w:ind w:firstLine="422" w:firstLineChars="200"/>
              <w:rPr>
                <w:b/>
                <w:bCs/>
                <w:i/>
                <w:iCs/>
                <w:u w:val="single"/>
              </w:rPr>
            </w:pPr>
            <w:r>
              <w:rPr>
                <w:b/>
                <w:bCs/>
                <w:i/>
                <w:iCs/>
                <w:u w:val="single"/>
              </w:rPr>
              <w:t>科技创新中心主要包括集中商务区、科技研发与高校集中区、居住区、附属生活配套设施区域及少数轻污染型企业，同时，科技创新中心区域内涵盖三个产业园，即光电与智能信息产业园、航天信息产业园和基因工程创新产业园。</w:t>
            </w:r>
          </w:p>
          <w:p>
            <w:pPr>
              <w:pStyle w:val="44"/>
              <w:ind w:firstLine="422" w:firstLineChars="200"/>
              <w:rPr>
                <w:b/>
                <w:bCs/>
                <w:i/>
                <w:iCs/>
                <w:u w:val="single"/>
              </w:rPr>
            </w:pPr>
            <w:r>
              <w:rPr>
                <w:b/>
                <w:bCs/>
                <w:i/>
                <w:iCs/>
                <w:u w:val="single"/>
              </w:rPr>
              <w:t>智能工业与物流发展区是开发区重点工业区，主要包括精细化工产业园、</w:t>
            </w:r>
            <w:r>
              <w:rPr>
                <w:rFonts w:hint="eastAsia"/>
                <w:b/>
                <w:bCs/>
                <w:i/>
                <w:iCs/>
                <w:u w:val="single"/>
              </w:rPr>
              <w:t>现代</w:t>
            </w:r>
            <w:r>
              <w:rPr>
                <w:b/>
                <w:bCs/>
                <w:i/>
                <w:iCs/>
                <w:u w:val="single"/>
              </w:rPr>
              <w:t>物流园区、医药健康产业园、精优食品产业园</w:t>
            </w:r>
            <w:r>
              <w:rPr>
                <w:rFonts w:hint="eastAsia"/>
                <w:b/>
                <w:bCs/>
                <w:i/>
                <w:iCs/>
                <w:u w:val="single"/>
              </w:rPr>
              <w:t>、先进装备制造产业园</w:t>
            </w:r>
            <w:r>
              <w:rPr>
                <w:b/>
                <w:bCs/>
                <w:i/>
                <w:iCs/>
                <w:u w:val="single"/>
              </w:rPr>
              <w:t>和</w:t>
            </w:r>
            <w:r>
              <w:rPr>
                <w:rFonts w:hint="eastAsia"/>
                <w:b/>
                <w:bCs/>
                <w:i/>
                <w:iCs/>
                <w:u w:val="single"/>
              </w:rPr>
              <w:t>新材料</w:t>
            </w:r>
            <w:r>
              <w:rPr>
                <w:b/>
                <w:bCs/>
                <w:i/>
                <w:iCs/>
                <w:u w:val="single"/>
              </w:rPr>
              <w:t>产业园。</w:t>
            </w:r>
          </w:p>
          <w:p>
            <w:pPr>
              <w:pStyle w:val="44"/>
              <w:ind w:firstLine="422" w:firstLineChars="200"/>
              <w:rPr>
                <w:b/>
                <w:bCs/>
                <w:i/>
                <w:iCs/>
                <w:u w:val="single"/>
              </w:rPr>
            </w:pPr>
            <w:r>
              <w:rPr>
                <w:b/>
                <w:bCs/>
                <w:i/>
                <w:iCs/>
                <w:u w:val="single"/>
              </w:rPr>
              <w:t>本项目位于智能工业与物流发展区</w:t>
            </w:r>
            <w:r>
              <w:rPr>
                <w:rFonts w:hint="eastAsia"/>
                <w:b/>
                <w:bCs/>
                <w:i/>
                <w:iCs/>
                <w:u w:val="single"/>
              </w:rPr>
              <w:t>中的新材料产业园，项目占地</w:t>
            </w:r>
            <w:r>
              <w:rPr>
                <w:b/>
                <w:bCs/>
                <w:i/>
                <w:iCs/>
                <w:u w:val="single"/>
              </w:rPr>
              <w:t>属于规划的工业用地，本项目</w:t>
            </w:r>
            <w:r>
              <w:rPr>
                <w:rFonts w:hint="eastAsia"/>
                <w:b/>
                <w:bCs/>
                <w:i/>
                <w:iCs/>
                <w:u w:val="single"/>
              </w:rPr>
              <w:t>主要为特种陶瓷材料配套项目</w:t>
            </w:r>
            <w:r>
              <w:rPr>
                <w:b/>
                <w:bCs/>
                <w:i/>
                <w:iCs/>
                <w:u w:val="single"/>
              </w:rPr>
              <w:t>，项目</w:t>
            </w:r>
            <w:r>
              <w:rPr>
                <w:rFonts w:hint="eastAsia"/>
                <w:b/>
                <w:bCs/>
                <w:i/>
                <w:iCs/>
                <w:u w:val="single"/>
              </w:rPr>
              <w:t>符合园区发展规划</w:t>
            </w:r>
            <w:r>
              <w:rPr>
                <w:b/>
                <w:bCs/>
                <w:i/>
                <w:iCs/>
                <w:u w:val="single"/>
              </w:rPr>
              <w:t>。</w:t>
            </w:r>
          </w:p>
          <w:p>
            <w:pPr>
              <w:pStyle w:val="44"/>
              <w:ind w:firstLine="422" w:firstLineChars="200"/>
              <w:rPr>
                <w:b/>
                <w:bCs/>
                <w:i/>
                <w:iCs/>
                <w:u w:val="single"/>
              </w:rPr>
            </w:pPr>
            <w:r>
              <w:rPr>
                <w:b/>
                <w:bCs/>
                <w:i/>
                <w:iCs/>
                <w:u w:val="single"/>
              </w:rPr>
              <w:t>2、项目与《</w:t>
            </w:r>
            <w:r>
              <w:rPr>
                <w:rFonts w:hint="eastAsia"/>
                <w:b/>
                <w:bCs/>
                <w:i/>
                <w:iCs/>
                <w:u w:val="single"/>
              </w:rPr>
              <w:t>长春北湖科技开发区分区规划（2018-2030）修编</w:t>
            </w:r>
            <w:r>
              <w:rPr>
                <w:b/>
                <w:bCs/>
                <w:i/>
                <w:iCs/>
                <w:u w:val="single"/>
              </w:rPr>
              <w:t>环境影响报告书》及审查意见（吉环环评字〔2021〕</w:t>
            </w:r>
            <w:r>
              <w:rPr>
                <w:rFonts w:hint="eastAsia"/>
                <w:b/>
                <w:bCs/>
                <w:i/>
                <w:iCs/>
                <w:u w:val="single"/>
              </w:rPr>
              <w:t>2</w:t>
            </w:r>
            <w:r>
              <w:rPr>
                <w:b/>
                <w:bCs/>
                <w:i/>
                <w:iCs/>
                <w:u w:val="single"/>
              </w:rPr>
              <w:t>7号）符合性</w:t>
            </w:r>
          </w:p>
          <w:p>
            <w:pPr>
              <w:pStyle w:val="42"/>
              <w:adjustRightInd w:val="0"/>
              <w:snapToGrid w:val="0"/>
              <w:spacing w:before="0" w:beforeLines="0"/>
              <w:rPr>
                <w:i/>
                <w:iCs/>
              </w:rPr>
            </w:pPr>
            <w:r>
              <w:rPr>
                <w:rFonts w:ascii="Times New Roman" w:hAnsi="Times New Roman"/>
                <w:i/>
                <w:iCs/>
              </w:rPr>
              <w:t>表1-1  与“</w:t>
            </w:r>
            <w:r>
              <w:rPr>
                <w:rFonts w:hint="eastAsia" w:ascii="Times New Roman" w:hAnsi="Times New Roman"/>
                <w:i/>
                <w:iCs/>
              </w:rPr>
              <w:t>报告书</w:t>
            </w:r>
            <w:r>
              <w:rPr>
                <w:rFonts w:ascii="Times New Roman" w:hAnsi="Times New Roman"/>
                <w:i/>
                <w:iCs/>
              </w:rPr>
              <w:t>”</w:t>
            </w:r>
            <w:r>
              <w:rPr>
                <w:rFonts w:hint="eastAsia"/>
                <w:i/>
                <w:iCs/>
              </w:rPr>
              <w:t>符合性分析</w:t>
            </w:r>
          </w:p>
          <w:tbl>
            <w:tblPr>
              <w:tblStyle w:val="1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761"/>
              <w:gridCol w:w="635"/>
              <w:gridCol w:w="2752"/>
              <w:gridCol w:w="627"/>
              <w:gridCol w:w="35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3" w:type="dxa"/>
                  <w:tcMar>
                    <w:left w:w="57" w:type="dxa"/>
                    <w:right w:w="57" w:type="dxa"/>
                  </w:tcMar>
                  <w:vAlign w:val="center"/>
                </w:tcPr>
                <w:p>
                  <w:pPr>
                    <w:jc w:val="center"/>
                    <w:rPr>
                      <w:b/>
                      <w:bCs/>
                      <w:i/>
                      <w:iCs/>
                      <w:spacing w:val="-4"/>
                      <w:szCs w:val="20"/>
                      <w:u w:val="single"/>
                    </w:rPr>
                  </w:pPr>
                  <w:r>
                    <w:rPr>
                      <w:b/>
                      <w:bCs/>
                      <w:i/>
                      <w:iCs/>
                      <w:spacing w:val="-4"/>
                      <w:szCs w:val="20"/>
                      <w:u w:val="single"/>
                    </w:rPr>
                    <w:t>类别</w:t>
                  </w:r>
                </w:p>
              </w:tc>
              <w:tc>
                <w:tcPr>
                  <w:tcW w:w="5245" w:type="dxa"/>
                  <w:gridSpan w:val="4"/>
                  <w:tcMar>
                    <w:left w:w="57" w:type="dxa"/>
                    <w:right w:w="57" w:type="dxa"/>
                  </w:tcMar>
                  <w:vAlign w:val="center"/>
                </w:tcPr>
                <w:p>
                  <w:pPr>
                    <w:jc w:val="center"/>
                    <w:rPr>
                      <w:b/>
                      <w:bCs/>
                      <w:i/>
                      <w:iCs/>
                      <w:spacing w:val="-4"/>
                      <w:szCs w:val="20"/>
                      <w:u w:val="single"/>
                    </w:rPr>
                  </w:pPr>
                  <w:r>
                    <w:rPr>
                      <w:b/>
                      <w:bCs/>
                      <w:i/>
                      <w:iCs/>
                      <w:spacing w:val="-4"/>
                      <w:szCs w:val="20"/>
                      <w:u w:val="single"/>
                    </w:rPr>
                    <w:t>规划环评要求</w:t>
                  </w:r>
                </w:p>
              </w:tc>
              <w:tc>
                <w:tcPr>
                  <w:tcW w:w="0" w:type="auto"/>
                  <w:tcMar>
                    <w:left w:w="57" w:type="dxa"/>
                    <w:right w:w="57" w:type="dxa"/>
                  </w:tcMar>
                  <w:vAlign w:val="center"/>
                </w:tcPr>
                <w:p>
                  <w:pPr>
                    <w:jc w:val="center"/>
                    <w:rPr>
                      <w:b/>
                      <w:bCs/>
                      <w:i/>
                      <w:iCs/>
                      <w:spacing w:val="-4"/>
                      <w:szCs w:val="20"/>
                      <w:u w:val="single"/>
                    </w:rPr>
                  </w:pPr>
                  <w:r>
                    <w:rPr>
                      <w:b/>
                      <w:bCs/>
                      <w:i/>
                      <w:iCs/>
                      <w:spacing w:val="-4"/>
                      <w:szCs w:val="20"/>
                      <w:u w:val="single"/>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Mar>
                    <w:left w:w="57" w:type="dxa"/>
                    <w:right w:w="57" w:type="dxa"/>
                  </w:tcMar>
                  <w:vAlign w:val="center"/>
                </w:tcPr>
                <w:p>
                  <w:pPr>
                    <w:autoSpaceDE w:val="0"/>
                    <w:autoSpaceDN w:val="0"/>
                    <w:adjustRightInd w:val="0"/>
                    <w:jc w:val="center"/>
                    <w:rPr>
                      <w:b/>
                      <w:bCs/>
                      <w:i/>
                      <w:iCs/>
                      <w:spacing w:val="-4"/>
                      <w:kern w:val="0"/>
                      <w:szCs w:val="21"/>
                      <w:u w:val="single"/>
                    </w:rPr>
                  </w:pPr>
                  <w:r>
                    <w:rPr>
                      <w:b/>
                      <w:bCs/>
                      <w:i/>
                      <w:iCs/>
                      <w:spacing w:val="-4"/>
                      <w:kern w:val="0"/>
                      <w:szCs w:val="21"/>
                      <w:u w:val="single"/>
                    </w:rPr>
                    <w:t>产业</w:t>
                  </w:r>
                </w:p>
                <w:p>
                  <w:pPr>
                    <w:autoSpaceDE w:val="0"/>
                    <w:autoSpaceDN w:val="0"/>
                    <w:adjustRightInd w:val="0"/>
                    <w:jc w:val="center"/>
                    <w:rPr>
                      <w:b/>
                      <w:bCs/>
                      <w:i/>
                      <w:iCs/>
                      <w:spacing w:val="-4"/>
                      <w:kern w:val="0"/>
                      <w:szCs w:val="21"/>
                      <w:u w:val="single"/>
                    </w:rPr>
                  </w:pPr>
                  <w:r>
                    <w:rPr>
                      <w:b/>
                      <w:bCs/>
                      <w:i/>
                      <w:iCs/>
                      <w:spacing w:val="-4"/>
                      <w:kern w:val="0"/>
                      <w:szCs w:val="21"/>
                      <w:u w:val="single"/>
                    </w:rPr>
                    <w:t>定位</w:t>
                  </w:r>
                </w:p>
                <w:p>
                  <w:pPr>
                    <w:autoSpaceDE w:val="0"/>
                    <w:autoSpaceDN w:val="0"/>
                    <w:adjustRightInd w:val="0"/>
                    <w:jc w:val="center"/>
                    <w:rPr>
                      <w:b/>
                      <w:bCs/>
                      <w:i/>
                      <w:iCs/>
                      <w:spacing w:val="-4"/>
                      <w:kern w:val="0"/>
                      <w:szCs w:val="21"/>
                      <w:u w:val="single"/>
                    </w:rPr>
                  </w:pPr>
                  <w:r>
                    <w:rPr>
                      <w:b/>
                      <w:bCs/>
                      <w:i/>
                      <w:iCs/>
                      <w:spacing w:val="-4"/>
                      <w:kern w:val="0"/>
                      <w:szCs w:val="21"/>
                      <w:u w:val="single"/>
                    </w:rPr>
                    <w:t>相符</w:t>
                  </w:r>
                </w:p>
                <w:p>
                  <w:pPr>
                    <w:autoSpaceDE w:val="0"/>
                    <w:autoSpaceDN w:val="0"/>
                    <w:adjustRightInd w:val="0"/>
                    <w:jc w:val="center"/>
                    <w:rPr>
                      <w:b/>
                      <w:bCs/>
                      <w:i/>
                      <w:iCs/>
                      <w:spacing w:val="-4"/>
                      <w:szCs w:val="20"/>
                      <w:u w:val="single"/>
                    </w:rPr>
                  </w:pPr>
                  <w:r>
                    <w:rPr>
                      <w:b/>
                      <w:bCs/>
                      <w:i/>
                      <w:iCs/>
                      <w:spacing w:val="-4"/>
                      <w:kern w:val="0"/>
                      <w:szCs w:val="21"/>
                      <w:u w:val="single"/>
                    </w:rPr>
                    <w:t>性</w:t>
                  </w:r>
                </w:p>
              </w:tc>
              <w:tc>
                <w:tcPr>
                  <w:tcW w:w="5245" w:type="dxa"/>
                  <w:gridSpan w:val="4"/>
                  <w:tcMar>
                    <w:left w:w="57" w:type="dxa"/>
                    <w:right w:w="57" w:type="dxa"/>
                  </w:tcMar>
                  <w:vAlign w:val="center"/>
                </w:tcPr>
                <w:p>
                  <w:pPr>
                    <w:autoSpaceDE w:val="0"/>
                    <w:autoSpaceDN w:val="0"/>
                    <w:adjustRightInd w:val="0"/>
                    <w:rPr>
                      <w:b/>
                      <w:bCs/>
                      <w:i/>
                      <w:iCs/>
                      <w:spacing w:val="-4"/>
                      <w:szCs w:val="20"/>
                      <w:u w:val="single"/>
                    </w:rPr>
                  </w:pPr>
                  <w:r>
                    <w:rPr>
                      <w:b/>
                      <w:bCs/>
                      <w:i/>
                      <w:iCs/>
                      <w:spacing w:val="-4"/>
                      <w:kern w:val="0"/>
                      <w:szCs w:val="21"/>
                      <w:u w:val="single"/>
                    </w:rPr>
                    <w:t>逐步形成以交通工具制造业、医药健康产业、光机电一体化装备制造业、新材料新能源产业等四大产业为支柱，以电商产业、保税物流、专业物流、装备物流为基础，以高端生产性服务业为核心的高端化、集群化、融合型的现代产业体系，实现长春北湖科技开发区在总量稳定增长基础上的结构优化，确保长春北湖科技开发区经济的跨越式发展和可持续发展</w:t>
                  </w:r>
                </w:p>
              </w:tc>
              <w:tc>
                <w:tcPr>
                  <w:tcW w:w="0" w:type="auto"/>
                  <w:tcMar>
                    <w:left w:w="57" w:type="dxa"/>
                    <w:right w:w="57" w:type="dxa"/>
                  </w:tcMar>
                  <w:vAlign w:val="center"/>
                </w:tcPr>
                <w:p>
                  <w:pPr>
                    <w:autoSpaceDE w:val="0"/>
                    <w:autoSpaceDN w:val="0"/>
                    <w:adjustRightInd w:val="0"/>
                    <w:rPr>
                      <w:b/>
                      <w:bCs/>
                      <w:i/>
                      <w:iCs/>
                      <w:spacing w:val="-4"/>
                      <w:szCs w:val="20"/>
                      <w:u w:val="single"/>
                    </w:rPr>
                  </w:pPr>
                  <w:r>
                    <w:rPr>
                      <w:rFonts w:hint="eastAsia"/>
                      <w:b/>
                      <w:bCs/>
                      <w:i/>
                      <w:iCs/>
                      <w:spacing w:val="-4"/>
                      <w:kern w:val="0"/>
                      <w:szCs w:val="21"/>
                      <w:u w:val="single"/>
                    </w:rPr>
                    <w:t>本</w:t>
                  </w:r>
                  <w:r>
                    <w:rPr>
                      <w:b/>
                      <w:bCs/>
                      <w:i/>
                      <w:iCs/>
                      <w:spacing w:val="-4"/>
                      <w:kern w:val="0"/>
                      <w:szCs w:val="21"/>
                      <w:u w:val="single"/>
                    </w:rPr>
                    <w:t>项目属于</w:t>
                  </w:r>
                  <w:r>
                    <w:rPr>
                      <w:rFonts w:hint="eastAsia"/>
                      <w:b/>
                      <w:bCs/>
                      <w:i/>
                      <w:iCs/>
                      <w:spacing w:val="-4"/>
                      <w:kern w:val="0"/>
                      <w:szCs w:val="21"/>
                      <w:u w:val="single"/>
                    </w:rPr>
                    <w:t>特种陶瓷制造项目配套项目</w:t>
                  </w:r>
                  <w:r>
                    <w:rPr>
                      <w:b/>
                      <w:bCs/>
                      <w:i/>
                      <w:iCs/>
                      <w:spacing w:val="-4"/>
                      <w:kern w:val="0"/>
                      <w:szCs w:val="21"/>
                      <w:u w:val="single"/>
                    </w:rPr>
                    <w:t>，属于</w:t>
                  </w:r>
                  <w:r>
                    <w:rPr>
                      <w:rFonts w:hint="eastAsia"/>
                      <w:b/>
                      <w:bCs/>
                      <w:i/>
                      <w:iCs/>
                      <w:spacing w:val="-4"/>
                      <w:kern w:val="0"/>
                      <w:szCs w:val="21"/>
                      <w:u w:val="single"/>
                    </w:rPr>
                    <w:t>新材料产业</w:t>
                  </w:r>
                  <w:r>
                    <w:rPr>
                      <w:b/>
                      <w:bCs/>
                      <w:i/>
                      <w:iCs/>
                      <w:spacing w:val="-4"/>
                      <w:kern w:val="0"/>
                      <w:szCs w:val="21"/>
                      <w:u w:val="single"/>
                    </w:rPr>
                    <w:t>，</w:t>
                  </w:r>
                  <w:r>
                    <w:rPr>
                      <w:rFonts w:hint="eastAsia"/>
                      <w:b/>
                      <w:bCs/>
                      <w:i/>
                      <w:iCs/>
                      <w:spacing w:val="-4"/>
                      <w:kern w:val="0"/>
                      <w:szCs w:val="21"/>
                      <w:u w:val="single"/>
                    </w:rPr>
                    <w:t>符合</w:t>
                  </w:r>
                  <w:r>
                    <w:rPr>
                      <w:b/>
                      <w:bCs/>
                      <w:i/>
                      <w:iCs/>
                      <w:spacing w:val="-4"/>
                      <w:kern w:val="0"/>
                      <w:szCs w:val="21"/>
                      <w:u w:val="single"/>
                    </w:rPr>
                    <w:t>长春北湖科技开发区产业定位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Mar>
                    <w:left w:w="57" w:type="dxa"/>
                    <w:right w:w="57" w:type="dxa"/>
                  </w:tcMar>
                  <w:vAlign w:val="center"/>
                </w:tcPr>
                <w:p>
                  <w:pPr>
                    <w:autoSpaceDE w:val="0"/>
                    <w:autoSpaceDN w:val="0"/>
                    <w:adjustRightInd w:val="0"/>
                    <w:jc w:val="center"/>
                    <w:rPr>
                      <w:b/>
                      <w:bCs/>
                      <w:i/>
                      <w:iCs/>
                      <w:spacing w:val="-4"/>
                      <w:kern w:val="0"/>
                      <w:szCs w:val="21"/>
                      <w:u w:val="single"/>
                    </w:rPr>
                  </w:pPr>
                  <w:r>
                    <w:rPr>
                      <w:b/>
                      <w:bCs/>
                      <w:i/>
                      <w:iCs/>
                      <w:spacing w:val="-4"/>
                      <w:kern w:val="0"/>
                      <w:szCs w:val="21"/>
                      <w:u w:val="single"/>
                    </w:rPr>
                    <w:t>环境</w:t>
                  </w:r>
                </w:p>
                <w:p>
                  <w:pPr>
                    <w:autoSpaceDE w:val="0"/>
                    <w:autoSpaceDN w:val="0"/>
                    <w:adjustRightInd w:val="0"/>
                    <w:jc w:val="center"/>
                    <w:rPr>
                      <w:b/>
                      <w:bCs/>
                      <w:i/>
                      <w:iCs/>
                      <w:spacing w:val="-4"/>
                      <w:kern w:val="0"/>
                      <w:szCs w:val="21"/>
                      <w:u w:val="single"/>
                    </w:rPr>
                  </w:pPr>
                  <w:r>
                    <w:rPr>
                      <w:b/>
                      <w:bCs/>
                      <w:i/>
                      <w:iCs/>
                      <w:spacing w:val="-4"/>
                      <w:kern w:val="0"/>
                      <w:szCs w:val="21"/>
                      <w:u w:val="single"/>
                    </w:rPr>
                    <w:t>准</w:t>
                  </w:r>
                  <w:r>
                    <w:rPr>
                      <w:rFonts w:hint="eastAsia"/>
                      <w:b/>
                      <w:bCs/>
                      <w:i/>
                      <w:iCs/>
                      <w:spacing w:val="-4"/>
                      <w:kern w:val="0"/>
                      <w:szCs w:val="21"/>
                      <w:u w:val="single"/>
                    </w:rPr>
                    <w:t>入</w:t>
                  </w:r>
                </w:p>
                <w:p>
                  <w:pPr>
                    <w:autoSpaceDE w:val="0"/>
                    <w:autoSpaceDN w:val="0"/>
                    <w:adjustRightInd w:val="0"/>
                    <w:jc w:val="center"/>
                    <w:rPr>
                      <w:b/>
                      <w:bCs/>
                      <w:i/>
                      <w:iCs/>
                      <w:spacing w:val="-4"/>
                      <w:kern w:val="0"/>
                      <w:szCs w:val="21"/>
                      <w:u w:val="single"/>
                    </w:rPr>
                  </w:pPr>
                  <w:r>
                    <w:rPr>
                      <w:b/>
                      <w:bCs/>
                      <w:i/>
                      <w:iCs/>
                      <w:spacing w:val="-4"/>
                      <w:kern w:val="0"/>
                      <w:szCs w:val="21"/>
                      <w:u w:val="single"/>
                    </w:rPr>
                    <w:t>负面</w:t>
                  </w:r>
                </w:p>
                <w:p>
                  <w:pPr>
                    <w:autoSpaceDE w:val="0"/>
                    <w:autoSpaceDN w:val="0"/>
                    <w:adjustRightInd w:val="0"/>
                    <w:jc w:val="center"/>
                    <w:rPr>
                      <w:b/>
                      <w:bCs/>
                      <w:i/>
                      <w:iCs/>
                      <w:spacing w:val="-4"/>
                      <w:szCs w:val="20"/>
                      <w:u w:val="single"/>
                    </w:rPr>
                  </w:pPr>
                  <w:r>
                    <w:rPr>
                      <w:b/>
                      <w:bCs/>
                      <w:i/>
                      <w:iCs/>
                      <w:spacing w:val="-4"/>
                      <w:kern w:val="0"/>
                      <w:szCs w:val="21"/>
                      <w:u w:val="single"/>
                    </w:rPr>
                    <w:t>清单</w:t>
                  </w:r>
                </w:p>
              </w:tc>
              <w:tc>
                <w:tcPr>
                  <w:tcW w:w="5245" w:type="dxa"/>
                  <w:gridSpan w:val="4"/>
                  <w:tcMar>
                    <w:left w:w="57" w:type="dxa"/>
                    <w:right w:w="57" w:type="dxa"/>
                  </w:tcMar>
                  <w:vAlign w:val="center"/>
                </w:tcPr>
                <w:p>
                  <w:pPr>
                    <w:autoSpaceDE w:val="0"/>
                    <w:autoSpaceDN w:val="0"/>
                    <w:adjustRightInd w:val="0"/>
                    <w:rPr>
                      <w:b/>
                      <w:bCs/>
                      <w:i/>
                      <w:iCs/>
                      <w:spacing w:val="-4"/>
                      <w:szCs w:val="20"/>
                      <w:u w:val="single"/>
                    </w:rPr>
                  </w:pPr>
                  <w:r>
                    <w:rPr>
                      <w:b/>
                      <w:bCs/>
                      <w:i/>
                      <w:iCs/>
                      <w:spacing w:val="-4"/>
                      <w:kern w:val="0"/>
                      <w:szCs w:val="21"/>
                      <w:u w:val="single"/>
                    </w:rPr>
                    <w:t>执行《报告书》中提出的环境准入负面清单</w:t>
                  </w:r>
                </w:p>
              </w:tc>
              <w:tc>
                <w:tcPr>
                  <w:tcW w:w="0" w:type="auto"/>
                  <w:tcMar>
                    <w:left w:w="57" w:type="dxa"/>
                    <w:right w:w="57" w:type="dxa"/>
                  </w:tcMar>
                  <w:vAlign w:val="center"/>
                </w:tcPr>
                <w:p>
                  <w:pPr>
                    <w:autoSpaceDE w:val="0"/>
                    <w:autoSpaceDN w:val="0"/>
                    <w:adjustRightInd w:val="0"/>
                    <w:rPr>
                      <w:b/>
                      <w:bCs/>
                      <w:i/>
                      <w:iCs/>
                      <w:spacing w:val="-4"/>
                      <w:szCs w:val="20"/>
                      <w:u w:val="single"/>
                    </w:rPr>
                  </w:pPr>
                  <w:r>
                    <w:rPr>
                      <w:rFonts w:hint="eastAsia"/>
                      <w:b/>
                      <w:bCs/>
                      <w:i/>
                      <w:iCs/>
                      <w:spacing w:val="-4"/>
                      <w:kern w:val="0"/>
                      <w:szCs w:val="21"/>
                      <w:u w:val="single"/>
                    </w:rPr>
                    <w:t>本</w:t>
                  </w:r>
                  <w:r>
                    <w:rPr>
                      <w:b/>
                      <w:bCs/>
                      <w:i/>
                      <w:iCs/>
                      <w:spacing w:val="-4"/>
                      <w:kern w:val="0"/>
                      <w:szCs w:val="21"/>
                      <w:u w:val="single"/>
                    </w:rPr>
                    <w:t>项目行业类别为</w:t>
                  </w:r>
                  <w:r>
                    <w:rPr>
                      <w:rFonts w:hint="eastAsia"/>
                      <w:b/>
                      <w:bCs/>
                      <w:i/>
                      <w:iCs/>
                      <w:szCs w:val="21"/>
                      <w:u w:val="single"/>
                    </w:rPr>
                    <w:t>四十一、电力、热力生产和供应业91热力生产和供应工程</w:t>
                  </w:r>
                  <w:r>
                    <w:rPr>
                      <w:b/>
                      <w:bCs/>
                      <w:i/>
                      <w:iCs/>
                      <w:spacing w:val="-4"/>
                      <w:kern w:val="0"/>
                      <w:szCs w:val="21"/>
                      <w:u w:val="single"/>
                    </w:rPr>
                    <w:t>，不属于化工，农药企业，不在规划区环境准入负面清单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Mar>
                    <w:left w:w="57" w:type="dxa"/>
                    <w:right w:w="57" w:type="dxa"/>
                  </w:tcMar>
                  <w:vAlign w:val="center"/>
                </w:tcPr>
                <w:p>
                  <w:pPr>
                    <w:pStyle w:val="15"/>
                    <w:rPr>
                      <w:b/>
                      <w:bCs/>
                      <w:i/>
                      <w:iCs/>
                      <w:szCs w:val="20"/>
                      <w:u w:val="single"/>
                    </w:rPr>
                  </w:pPr>
                  <w:r>
                    <w:rPr>
                      <w:b/>
                      <w:bCs/>
                      <w:i/>
                      <w:iCs/>
                      <w:u w:val="single"/>
                    </w:rPr>
                    <w:t>用地性质</w:t>
                  </w:r>
                </w:p>
              </w:tc>
              <w:tc>
                <w:tcPr>
                  <w:tcW w:w="5245" w:type="dxa"/>
                  <w:gridSpan w:val="4"/>
                  <w:tcMar>
                    <w:left w:w="57" w:type="dxa"/>
                    <w:right w:w="57" w:type="dxa"/>
                  </w:tcMar>
                  <w:vAlign w:val="center"/>
                </w:tcPr>
                <w:p>
                  <w:pPr>
                    <w:autoSpaceDE w:val="0"/>
                    <w:autoSpaceDN w:val="0"/>
                    <w:adjustRightInd w:val="0"/>
                    <w:jc w:val="left"/>
                    <w:rPr>
                      <w:b/>
                      <w:bCs/>
                      <w:i/>
                      <w:iCs/>
                      <w:spacing w:val="-4"/>
                      <w:szCs w:val="20"/>
                      <w:u w:val="single"/>
                    </w:rPr>
                  </w:pPr>
                  <w:r>
                    <w:rPr>
                      <w:b/>
                      <w:bCs/>
                      <w:i/>
                      <w:iCs/>
                      <w:spacing w:val="-4"/>
                      <w:kern w:val="0"/>
                      <w:szCs w:val="21"/>
                      <w:u w:val="single"/>
                    </w:rPr>
                    <w:t>规划为工业用地、居住用地、公共管理与公共服务设施用地、商业服务业设施用地、道路与交通设施用地、公用设施用地及绿地与广场用地。规划区工业用地规模为11805.69hm</w:t>
                  </w:r>
                  <w:r>
                    <w:rPr>
                      <w:b/>
                      <w:bCs/>
                      <w:i/>
                      <w:iCs/>
                      <w:spacing w:val="-4"/>
                      <w:kern w:val="0"/>
                      <w:szCs w:val="21"/>
                      <w:u w:val="single"/>
                      <w:vertAlign w:val="superscript"/>
                    </w:rPr>
                    <w:t>2</w:t>
                  </w:r>
                  <w:r>
                    <w:rPr>
                      <w:b/>
                      <w:bCs/>
                      <w:i/>
                      <w:iCs/>
                      <w:spacing w:val="-4"/>
                      <w:kern w:val="0"/>
                      <w:szCs w:val="21"/>
                      <w:u w:val="single"/>
                    </w:rPr>
                    <w:t>，约占总规划用地面积的12.18%，占城市建设用地的20.69%。</w:t>
                  </w:r>
                </w:p>
              </w:tc>
              <w:tc>
                <w:tcPr>
                  <w:tcW w:w="0" w:type="auto"/>
                  <w:tcMar>
                    <w:left w:w="57" w:type="dxa"/>
                    <w:right w:w="57" w:type="dxa"/>
                  </w:tcMar>
                  <w:vAlign w:val="center"/>
                </w:tcPr>
                <w:p>
                  <w:pPr>
                    <w:autoSpaceDE w:val="0"/>
                    <w:autoSpaceDN w:val="0"/>
                    <w:adjustRightInd w:val="0"/>
                    <w:jc w:val="left"/>
                    <w:rPr>
                      <w:b/>
                      <w:bCs/>
                      <w:i/>
                      <w:iCs/>
                      <w:spacing w:val="-4"/>
                      <w:szCs w:val="20"/>
                      <w:u w:val="single"/>
                    </w:rPr>
                  </w:pPr>
                  <w:r>
                    <w:rPr>
                      <w:b/>
                      <w:bCs/>
                      <w:i/>
                      <w:iCs/>
                      <w:spacing w:val="-4"/>
                      <w:kern w:val="0"/>
                      <w:szCs w:val="21"/>
                      <w:u w:val="single"/>
                    </w:rPr>
                    <w:t>项目用地为二类工业用地，符合用地规划要求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Mar>
                    <w:left w:w="57" w:type="dxa"/>
                    <w:right w:w="57" w:type="dxa"/>
                  </w:tcMar>
                  <w:vAlign w:val="center"/>
                </w:tcPr>
                <w:p>
                  <w:pPr>
                    <w:autoSpaceDE w:val="0"/>
                    <w:autoSpaceDN w:val="0"/>
                    <w:adjustRightInd w:val="0"/>
                    <w:jc w:val="center"/>
                    <w:rPr>
                      <w:b/>
                      <w:bCs/>
                      <w:i/>
                      <w:iCs/>
                      <w:spacing w:val="-4"/>
                      <w:kern w:val="0"/>
                      <w:szCs w:val="21"/>
                      <w:u w:val="single"/>
                    </w:rPr>
                  </w:pPr>
                  <w:r>
                    <w:rPr>
                      <w:b/>
                      <w:bCs/>
                      <w:i/>
                      <w:iCs/>
                      <w:spacing w:val="-4"/>
                      <w:kern w:val="0"/>
                      <w:szCs w:val="21"/>
                      <w:u w:val="single"/>
                    </w:rPr>
                    <w:t>环境</w:t>
                  </w:r>
                </w:p>
                <w:p>
                  <w:pPr>
                    <w:autoSpaceDE w:val="0"/>
                    <w:autoSpaceDN w:val="0"/>
                    <w:adjustRightInd w:val="0"/>
                    <w:jc w:val="center"/>
                    <w:rPr>
                      <w:b/>
                      <w:bCs/>
                      <w:i/>
                      <w:iCs/>
                      <w:spacing w:val="-4"/>
                      <w:kern w:val="0"/>
                      <w:szCs w:val="21"/>
                      <w:u w:val="single"/>
                    </w:rPr>
                  </w:pPr>
                  <w:r>
                    <w:rPr>
                      <w:b/>
                      <w:bCs/>
                      <w:i/>
                      <w:iCs/>
                      <w:spacing w:val="-4"/>
                      <w:kern w:val="0"/>
                      <w:szCs w:val="21"/>
                      <w:u w:val="single"/>
                    </w:rPr>
                    <w:t>质量</w:t>
                  </w:r>
                </w:p>
                <w:p>
                  <w:pPr>
                    <w:autoSpaceDE w:val="0"/>
                    <w:autoSpaceDN w:val="0"/>
                    <w:adjustRightInd w:val="0"/>
                    <w:jc w:val="center"/>
                    <w:rPr>
                      <w:b/>
                      <w:bCs/>
                      <w:i/>
                      <w:iCs/>
                      <w:spacing w:val="-4"/>
                      <w:szCs w:val="20"/>
                      <w:u w:val="single"/>
                    </w:rPr>
                  </w:pPr>
                  <w:r>
                    <w:rPr>
                      <w:b/>
                      <w:bCs/>
                      <w:i/>
                      <w:iCs/>
                      <w:spacing w:val="-4"/>
                      <w:kern w:val="0"/>
                      <w:szCs w:val="21"/>
                      <w:u w:val="single"/>
                    </w:rPr>
                    <w:t>底线</w:t>
                  </w:r>
                </w:p>
              </w:tc>
              <w:tc>
                <w:tcPr>
                  <w:tcW w:w="5245" w:type="dxa"/>
                  <w:gridSpan w:val="4"/>
                  <w:tcMar>
                    <w:left w:w="57" w:type="dxa"/>
                    <w:right w:w="57" w:type="dxa"/>
                  </w:tcMar>
                  <w:vAlign w:val="center"/>
                </w:tcPr>
                <w:p>
                  <w:pPr>
                    <w:autoSpaceDE w:val="0"/>
                    <w:autoSpaceDN w:val="0"/>
                    <w:adjustRightInd w:val="0"/>
                    <w:jc w:val="left"/>
                    <w:rPr>
                      <w:b/>
                      <w:bCs/>
                      <w:i/>
                      <w:iCs/>
                      <w:spacing w:val="-4"/>
                      <w:szCs w:val="20"/>
                      <w:u w:val="single"/>
                    </w:rPr>
                  </w:pPr>
                  <w:r>
                    <w:rPr>
                      <w:b/>
                      <w:bCs/>
                      <w:i/>
                      <w:iCs/>
                      <w:spacing w:val="-4"/>
                      <w:kern w:val="0"/>
                      <w:szCs w:val="21"/>
                      <w:u w:val="single"/>
                    </w:rPr>
                    <w:t>结合《关于规划环境影响评价加强空间管制、总量管控和环境准入的指导意见（试行）》（环办环评[2016]14号）的有关规定，制定区域环境质量底线，开发区内企业应满足开发区环境质量底线</w:t>
                  </w:r>
                </w:p>
              </w:tc>
              <w:tc>
                <w:tcPr>
                  <w:tcW w:w="0" w:type="auto"/>
                  <w:tcMar>
                    <w:left w:w="57" w:type="dxa"/>
                    <w:right w:w="57" w:type="dxa"/>
                  </w:tcMar>
                  <w:vAlign w:val="center"/>
                </w:tcPr>
                <w:p>
                  <w:pPr>
                    <w:jc w:val="center"/>
                    <w:rPr>
                      <w:b/>
                      <w:bCs/>
                      <w:i/>
                      <w:iCs/>
                      <w:spacing w:val="-4"/>
                      <w:szCs w:val="20"/>
                      <w:u w:val="single"/>
                    </w:rPr>
                  </w:pPr>
                  <w:r>
                    <w:rPr>
                      <w:rFonts w:hint="eastAsia"/>
                      <w:b/>
                      <w:bCs/>
                      <w:i/>
                      <w:iCs/>
                      <w:spacing w:val="-4"/>
                      <w:kern w:val="0"/>
                      <w:szCs w:val="21"/>
                      <w:u w:val="single"/>
                    </w:rPr>
                    <w:t>长春市为环境空气质量达标区；伊通河水质断面达标；本项目排放污染物主要为颗粒物、二氧化硫、氮氧化物，锅炉排水为清净下水，不加重本项目所在区域的环境质量。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3" w:type="dxa"/>
                  <w:vMerge w:val="restart"/>
                  <w:tcMar>
                    <w:left w:w="57" w:type="dxa"/>
                    <w:right w:w="57" w:type="dxa"/>
                  </w:tcMar>
                  <w:vAlign w:val="center"/>
                </w:tcPr>
                <w:p>
                  <w:pPr>
                    <w:autoSpaceDE w:val="0"/>
                    <w:autoSpaceDN w:val="0"/>
                    <w:adjustRightInd w:val="0"/>
                    <w:jc w:val="center"/>
                    <w:rPr>
                      <w:b/>
                      <w:bCs/>
                      <w:i/>
                      <w:iCs/>
                      <w:spacing w:val="-4"/>
                      <w:kern w:val="0"/>
                      <w:szCs w:val="21"/>
                      <w:u w:val="single"/>
                    </w:rPr>
                  </w:pPr>
                  <w:r>
                    <w:rPr>
                      <w:rFonts w:hint="eastAsia"/>
                      <w:b/>
                      <w:bCs/>
                      <w:i/>
                      <w:iCs/>
                      <w:spacing w:val="-4"/>
                      <w:kern w:val="0"/>
                      <w:szCs w:val="21"/>
                      <w:u w:val="single"/>
                    </w:rPr>
                    <w:t>生态</w:t>
                  </w:r>
                  <w:r>
                    <w:rPr>
                      <w:b/>
                      <w:bCs/>
                      <w:i/>
                      <w:iCs/>
                      <w:spacing w:val="-4"/>
                      <w:kern w:val="0"/>
                      <w:szCs w:val="21"/>
                      <w:u w:val="single"/>
                    </w:rPr>
                    <w:t>空间</w:t>
                  </w:r>
                </w:p>
                <w:p>
                  <w:pPr>
                    <w:autoSpaceDE w:val="0"/>
                    <w:autoSpaceDN w:val="0"/>
                    <w:adjustRightInd w:val="0"/>
                    <w:jc w:val="center"/>
                    <w:rPr>
                      <w:b/>
                      <w:bCs/>
                      <w:i/>
                      <w:iCs/>
                      <w:spacing w:val="-4"/>
                      <w:kern w:val="0"/>
                      <w:szCs w:val="21"/>
                      <w:u w:val="single"/>
                    </w:rPr>
                  </w:pPr>
                  <w:r>
                    <w:rPr>
                      <w:b/>
                      <w:bCs/>
                      <w:i/>
                      <w:iCs/>
                      <w:spacing w:val="-4"/>
                      <w:kern w:val="0"/>
                      <w:szCs w:val="21"/>
                      <w:u w:val="single"/>
                    </w:rPr>
                    <w:t>管控</w:t>
                  </w:r>
                </w:p>
                <w:p>
                  <w:pPr>
                    <w:autoSpaceDE w:val="0"/>
                    <w:autoSpaceDN w:val="0"/>
                    <w:adjustRightInd w:val="0"/>
                    <w:jc w:val="center"/>
                    <w:rPr>
                      <w:b/>
                      <w:bCs/>
                      <w:i/>
                      <w:iCs/>
                      <w:spacing w:val="-4"/>
                      <w:kern w:val="0"/>
                      <w:szCs w:val="21"/>
                      <w:u w:val="single"/>
                    </w:rPr>
                  </w:pPr>
                  <w:r>
                    <w:rPr>
                      <w:b/>
                      <w:bCs/>
                      <w:i/>
                      <w:iCs/>
                      <w:spacing w:val="-4"/>
                      <w:kern w:val="0"/>
                      <w:szCs w:val="21"/>
                      <w:u w:val="single"/>
                    </w:rPr>
                    <w:t>要求</w:t>
                  </w:r>
                </w:p>
              </w:tc>
              <w:tc>
                <w:tcPr>
                  <w:tcW w:w="761" w:type="dxa"/>
                  <w:vMerge w:val="restart"/>
                  <w:tcMar>
                    <w:left w:w="57" w:type="dxa"/>
                    <w:right w:w="57" w:type="dxa"/>
                  </w:tcMar>
                  <w:vAlign w:val="center"/>
                </w:tcPr>
                <w:p>
                  <w:pPr>
                    <w:autoSpaceDE w:val="0"/>
                    <w:autoSpaceDN w:val="0"/>
                    <w:adjustRightInd w:val="0"/>
                    <w:jc w:val="center"/>
                    <w:rPr>
                      <w:b/>
                      <w:bCs/>
                      <w:i/>
                      <w:iCs/>
                      <w:spacing w:val="-4"/>
                      <w:kern w:val="0"/>
                      <w:szCs w:val="21"/>
                      <w:u w:val="single"/>
                    </w:rPr>
                  </w:pPr>
                  <w:r>
                    <w:rPr>
                      <w:b/>
                      <w:bCs/>
                      <w:i/>
                      <w:iCs/>
                      <w:szCs w:val="21"/>
                      <w:u w:val="single"/>
                    </w:rPr>
                    <w:t>除生态红线之外的其他生态空间</w:t>
                  </w:r>
                </w:p>
              </w:tc>
              <w:tc>
                <w:tcPr>
                  <w:tcW w:w="0" w:type="auto"/>
                  <w:vAlign w:val="center"/>
                </w:tcPr>
                <w:p>
                  <w:pPr>
                    <w:autoSpaceDE w:val="0"/>
                    <w:autoSpaceDN w:val="0"/>
                    <w:adjustRightInd w:val="0"/>
                    <w:jc w:val="center"/>
                    <w:rPr>
                      <w:b/>
                      <w:bCs/>
                      <w:i/>
                      <w:iCs/>
                      <w:spacing w:val="-4"/>
                      <w:kern w:val="0"/>
                      <w:szCs w:val="21"/>
                      <w:u w:val="single"/>
                    </w:rPr>
                  </w:pPr>
                  <w:r>
                    <w:rPr>
                      <w:b/>
                      <w:bCs/>
                      <w:i/>
                      <w:iCs/>
                      <w:u w:val="single"/>
                    </w:rPr>
                    <w:t>生态保护修复</w:t>
                  </w:r>
                </w:p>
              </w:tc>
              <w:tc>
                <w:tcPr>
                  <w:tcW w:w="0" w:type="auto"/>
                  <w:vAlign w:val="center"/>
                </w:tcPr>
                <w:p>
                  <w:pPr>
                    <w:autoSpaceDE w:val="0"/>
                    <w:autoSpaceDN w:val="0"/>
                    <w:adjustRightInd w:val="0"/>
                    <w:jc w:val="left"/>
                    <w:rPr>
                      <w:b/>
                      <w:bCs/>
                      <w:i/>
                      <w:iCs/>
                      <w:spacing w:val="-4"/>
                      <w:kern w:val="0"/>
                      <w:szCs w:val="21"/>
                      <w:u w:val="single"/>
                    </w:rPr>
                  </w:pPr>
                  <w:r>
                    <w:rPr>
                      <w:b/>
                      <w:bCs/>
                      <w:i/>
                      <w:iCs/>
                      <w:spacing w:val="-4"/>
                      <w:kern w:val="0"/>
                      <w:szCs w:val="21"/>
                      <w:u w:val="single"/>
                    </w:rPr>
                    <w:t>防护林区、水土保持设施区及开发区边界与区外其它区域之间的防护绿地（生态缓冲带）。</w:t>
                  </w:r>
                </w:p>
              </w:tc>
              <w:tc>
                <w:tcPr>
                  <w:tcW w:w="0" w:type="auto"/>
                  <w:vAlign w:val="center"/>
                </w:tcPr>
                <w:p>
                  <w:pPr>
                    <w:autoSpaceDE w:val="0"/>
                    <w:autoSpaceDN w:val="0"/>
                    <w:adjustRightInd w:val="0"/>
                    <w:jc w:val="center"/>
                    <w:rPr>
                      <w:b/>
                      <w:bCs/>
                      <w:i/>
                      <w:iCs/>
                      <w:spacing w:val="-4"/>
                      <w:kern w:val="0"/>
                      <w:szCs w:val="21"/>
                      <w:u w:val="single"/>
                    </w:rPr>
                  </w:pPr>
                  <w:r>
                    <w:rPr>
                      <w:b/>
                      <w:bCs/>
                      <w:i/>
                      <w:iCs/>
                      <w:spacing w:val="-4"/>
                      <w:kern w:val="0"/>
                      <w:szCs w:val="21"/>
                      <w:u w:val="single"/>
                    </w:rPr>
                    <w:t>限制开发建设</w:t>
                  </w:r>
                </w:p>
              </w:tc>
              <w:tc>
                <w:tcPr>
                  <w:tcW w:w="0" w:type="auto"/>
                  <w:vMerge w:val="restart"/>
                  <w:tcMar>
                    <w:left w:w="57" w:type="dxa"/>
                    <w:right w:w="57" w:type="dxa"/>
                  </w:tcMar>
                  <w:vAlign w:val="center"/>
                </w:tcPr>
                <w:p>
                  <w:pPr>
                    <w:jc w:val="center"/>
                    <w:rPr>
                      <w:b/>
                      <w:bCs/>
                      <w:i/>
                      <w:iCs/>
                      <w:spacing w:val="-4"/>
                      <w:kern w:val="0"/>
                      <w:szCs w:val="21"/>
                      <w:u w:val="single"/>
                    </w:rPr>
                  </w:pPr>
                  <w:r>
                    <w:rPr>
                      <w:rFonts w:hint="eastAsia"/>
                      <w:b/>
                      <w:bCs/>
                      <w:i/>
                      <w:iCs/>
                      <w:spacing w:val="-4"/>
                      <w:kern w:val="0"/>
                      <w:szCs w:val="21"/>
                      <w:u w:val="single"/>
                    </w:rPr>
                    <w:t>本项目不涉及</w:t>
                  </w:r>
                  <w:r>
                    <w:rPr>
                      <w:b/>
                      <w:bCs/>
                      <w:i/>
                      <w:iCs/>
                      <w:u w:val="single"/>
                    </w:rPr>
                    <w:t>“</w:t>
                  </w:r>
                  <w:r>
                    <w:rPr>
                      <w:rFonts w:hint="eastAsia"/>
                      <w:b/>
                      <w:bCs/>
                      <w:i/>
                      <w:iCs/>
                      <w:u w:val="single"/>
                    </w:rPr>
                    <w:t>报告书</w:t>
                  </w:r>
                  <w:r>
                    <w:rPr>
                      <w:b/>
                      <w:bCs/>
                      <w:i/>
                      <w:iCs/>
                      <w:u w:val="single"/>
                    </w:rPr>
                    <w:t>”</w:t>
                  </w:r>
                  <w:r>
                    <w:rPr>
                      <w:rFonts w:hint="eastAsia"/>
                      <w:b/>
                      <w:bCs/>
                      <w:i/>
                      <w:iCs/>
                      <w:u w:val="single"/>
                    </w:rPr>
                    <w:t>中的除生态红线之外的其他生态空间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3" w:type="dxa"/>
                  <w:vMerge w:val="continue"/>
                  <w:tcMar>
                    <w:left w:w="57" w:type="dxa"/>
                    <w:right w:w="57" w:type="dxa"/>
                  </w:tcMar>
                  <w:vAlign w:val="center"/>
                </w:tcPr>
                <w:p>
                  <w:pPr>
                    <w:autoSpaceDE w:val="0"/>
                    <w:autoSpaceDN w:val="0"/>
                    <w:adjustRightInd w:val="0"/>
                    <w:jc w:val="center"/>
                    <w:rPr>
                      <w:b/>
                      <w:bCs/>
                      <w:i/>
                      <w:iCs/>
                      <w:spacing w:val="-4"/>
                      <w:kern w:val="0"/>
                      <w:szCs w:val="21"/>
                      <w:u w:val="single"/>
                    </w:rPr>
                  </w:pPr>
                </w:p>
              </w:tc>
              <w:tc>
                <w:tcPr>
                  <w:tcW w:w="761" w:type="dxa"/>
                  <w:vMerge w:val="continue"/>
                  <w:tcMar>
                    <w:left w:w="57" w:type="dxa"/>
                    <w:right w:w="57" w:type="dxa"/>
                  </w:tcMar>
                  <w:vAlign w:val="center"/>
                </w:tcPr>
                <w:p>
                  <w:pPr>
                    <w:autoSpaceDE w:val="0"/>
                    <w:autoSpaceDN w:val="0"/>
                    <w:adjustRightInd w:val="0"/>
                    <w:jc w:val="center"/>
                    <w:rPr>
                      <w:b/>
                      <w:bCs/>
                      <w:i/>
                      <w:iCs/>
                      <w:spacing w:val="-4"/>
                      <w:kern w:val="0"/>
                      <w:szCs w:val="21"/>
                      <w:u w:val="single"/>
                    </w:rPr>
                  </w:pPr>
                </w:p>
              </w:tc>
              <w:tc>
                <w:tcPr>
                  <w:tcW w:w="0" w:type="auto"/>
                  <w:vAlign w:val="center"/>
                </w:tcPr>
                <w:p>
                  <w:pPr>
                    <w:autoSpaceDE w:val="0"/>
                    <w:autoSpaceDN w:val="0"/>
                    <w:adjustRightInd w:val="0"/>
                    <w:jc w:val="center"/>
                    <w:rPr>
                      <w:b/>
                      <w:bCs/>
                      <w:i/>
                      <w:iCs/>
                      <w:spacing w:val="-4"/>
                      <w:kern w:val="0"/>
                      <w:szCs w:val="21"/>
                      <w:u w:val="single"/>
                    </w:rPr>
                  </w:pPr>
                  <w:r>
                    <w:rPr>
                      <w:b/>
                      <w:bCs/>
                      <w:i/>
                      <w:iCs/>
                      <w:u w:val="single"/>
                    </w:rPr>
                    <w:t>基础设施</w:t>
                  </w:r>
                </w:p>
              </w:tc>
              <w:tc>
                <w:tcPr>
                  <w:tcW w:w="0" w:type="auto"/>
                  <w:vAlign w:val="center"/>
                </w:tcPr>
                <w:p>
                  <w:pPr>
                    <w:autoSpaceDE w:val="0"/>
                    <w:autoSpaceDN w:val="0"/>
                    <w:adjustRightInd w:val="0"/>
                    <w:jc w:val="left"/>
                    <w:rPr>
                      <w:b/>
                      <w:bCs/>
                      <w:i/>
                      <w:iCs/>
                      <w:spacing w:val="-4"/>
                      <w:kern w:val="0"/>
                      <w:szCs w:val="21"/>
                      <w:u w:val="single"/>
                    </w:rPr>
                  </w:pPr>
                  <w:r>
                    <w:rPr>
                      <w:b/>
                      <w:bCs/>
                      <w:i/>
                      <w:iCs/>
                      <w:spacing w:val="-4"/>
                      <w:kern w:val="0"/>
                      <w:szCs w:val="21"/>
                      <w:u w:val="single"/>
                    </w:rPr>
                    <w:t>公路、铁路、水利等国家和省重大基础设施及管网、电网、电视塔台等；</w:t>
                  </w:r>
                </w:p>
              </w:tc>
              <w:tc>
                <w:tcPr>
                  <w:tcW w:w="0" w:type="auto"/>
                  <w:vAlign w:val="center"/>
                </w:tcPr>
                <w:p>
                  <w:pPr>
                    <w:autoSpaceDE w:val="0"/>
                    <w:autoSpaceDN w:val="0"/>
                    <w:adjustRightInd w:val="0"/>
                    <w:jc w:val="center"/>
                    <w:rPr>
                      <w:b/>
                      <w:bCs/>
                      <w:i/>
                      <w:iCs/>
                      <w:spacing w:val="-4"/>
                      <w:kern w:val="0"/>
                      <w:szCs w:val="21"/>
                      <w:u w:val="single"/>
                    </w:rPr>
                  </w:pPr>
                  <w:r>
                    <w:rPr>
                      <w:b/>
                      <w:bCs/>
                      <w:i/>
                      <w:iCs/>
                      <w:spacing w:val="-4"/>
                      <w:kern w:val="0"/>
                      <w:szCs w:val="21"/>
                      <w:u w:val="single"/>
                    </w:rPr>
                    <w:t>限制开发建设</w:t>
                  </w:r>
                </w:p>
              </w:tc>
              <w:tc>
                <w:tcPr>
                  <w:tcW w:w="0" w:type="auto"/>
                  <w:vMerge w:val="continue"/>
                  <w:tcMar>
                    <w:left w:w="57" w:type="dxa"/>
                    <w:right w:w="57" w:type="dxa"/>
                  </w:tcMar>
                  <w:vAlign w:val="center"/>
                </w:tcPr>
                <w:p>
                  <w:pPr>
                    <w:jc w:val="center"/>
                    <w:rPr>
                      <w:b/>
                      <w:bCs/>
                      <w:i/>
                      <w:iCs/>
                      <w:spacing w:val="-4"/>
                      <w:kern w:val="0"/>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3" w:type="dxa"/>
                  <w:vMerge w:val="continue"/>
                  <w:tcMar>
                    <w:left w:w="57" w:type="dxa"/>
                    <w:right w:w="57" w:type="dxa"/>
                  </w:tcMar>
                  <w:vAlign w:val="center"/>
                </w:tcPr>
                <w:p>
                  <w:pPr>
                    <w:autoSpaceDE w:val="0"/>
                    <w:autoSpaceDN w:val="0"/>
                    <w:adjustRightInd w:val="0"/>
                    <w:jc w:val="center"/>
                    <w:rPr>
                      <w:b/>
                      <w:bCs/>
                      <w:i/>
                      <w:iCs/>
                      <w:spacing w:val="-4"/>
                      <w:kern w:val="0"/>
                      <w:szCs w:val="21"/>
                      <w:u w:val="single"/>
                    </w:rPr>
                  </w:pPr>
                </w:p>
              </w:tc>
              <w:tc>
                <w:tcPr>
                  <w:tcW w:w="761" w:type="dxa"/>
                  <w:vMerge w:val="continue"/>
                  <w:tcMar>
                    <w:left w:w="57" w:type="dxa"/>
                    <w:right w:w="57" w:type="dxa"/>
                  </w:tcMar>
                  <w:vAlign w:val="center"/>
                </w:tcPr>
                <w:p>
                  <w:pPr>
                    <w:autoSpaceDE w:val="0"/>
                    <w:autoSpaceDN w:val="0"/>
                    <w:adjustRightInd w:val="0"/>
                    <w:jc w:val="center"/>
                    <w:rPr>
                      <w:b/>
                      <w:bCs/>
                      <w:i/>
                      <w:iCs/>
                      <w:spacing w:val="-4"/>
                      <w:kern w:val="0"/>
                      <w:szCs w:val="21"/>
                      <w:u w:val="single"/>
                    </w:rPr>
                  </w:pPr>
                </w:p>
              </w:tc>
              <w:tc>
                <w:tcPr>
                  <w:tcW w:w="0" w:type="auto"/>
                  <w:vAlign w:val="center"/>
                </w:tcPr>
                <w:p>
                  <w:pPr>
                    <w:autoSpaceDE w:val="0"/>
                    <w:autoSpaceDN w:val="0"/>
                    <w:adjustRightInd w:val="0"/>
                    <w:jc w:val="center"/>
                    <w:rPr>
                      <w:b/>
                      <w:bCs/>
                      <w:i/>
                      <w:iCs/>
                      <w:spacing w:val="-4"/>
                      <w:kern w:val="0"/>
                      <w:szCs w:val="21"/>
                      <w:u w:val="single"/>
                    </w:rPr>
                  </w:pPr>
                  <w:r>
                    <w:rPr>
                      <w:b/>
                      <w:bCs/>
                      <w:i/>
                      <w:iCs/>
                      <w:u w:val="single"/>
                    </w:rPr>
                    <w:t>民生项目</w:t>
                  </w:r>
                </w:p>
              </w:tc>
              <w:tc>
                <w:tcPr>
                  <w:tcW w:w="0" w:type="auto"/>
                  <w:vAlign w:val="center"/>
                </w:tcPr>
                <w:p>
                  <w:pPr>
                    <w:autoSpaceDE w:val="0"/>
                    <w:autoSpaceDN w:val="0"/>
                    <w:adjustRightInd w:val="0"/>
                    <w:jc w:val="left"/>
                    <w:rPr>
                      <w:b/>
                      <w:bCs/>
                      <w:i/>
                      <w:iCs/>
                      <w:spacing w:val="-4"/>
                      <w:kern w:val="0"/>
                      <w:szCs w:val="21"/>
                      <w:u w:val="single"/>
                    </w:rPr>
                  </w:pPr>
                  <w:r>
                    <w:rPr>
                      <w:b/>
                      <w:bCs/>
                      <w:i/>
                      <w:iCs/>
                      <w:spacing w:val="-4"/>
                      <w:kern w:val="0"/>
                      <w:szCs w:val="21"/>
                      <w:u w:val="single"/>
                    </w:rPr>
                    <w:t>农业灌溉设施、不超过现有用地规模的自用住房维修改造、教育医疗服务设施、社区服务设施、公用工程设施等；</w:t>
                  </w:r>
                </w:p>
              </w:tc>
              <w:tc>
                <w:tcPr>
                  <w:tcW w:w="0" w:type="auto"/>
                  <w:vAlign w:val="center"/>
                </w:tcPr>
                <w:p>
                  <w:pPr>
                    <w:autoSpaceDE w:val="0"/>
                    <w:autoSpaceDN w:val="0"/>
                    <w:adjustRightInd w:val="0"/>
                    <w:jc w:val="center"/>
                    <w:rPr>
                      <w:b/>
                      <w:bCs/>
                      <w:i/>
                      <w:iCs/>
                      <w:spacing w:val="-4"/>
                      <w:kern w:val="0"/>
                      <w:szCs w:val="21"/>
                      <w:u w:val="single"/>
                    </w:rPr>
                  </w:pPr>
                  <w:r>
                    <w:rPr>
                      <w:b/>
                      <w:bCs/>
                      <w:i/>
                      <w:iCs/>
                      <w:spacing w:val="-4"/>
                      <w:kern w:val="0"/>
                      <w:szCs w:val="21"/>
                      <w:u w:val="single"/>
                    </w:rPr>
                    <w:t>限制开发建设</w:t>
                  </w:r>
                </w:p>
              </w:tc>
              <w:tc>
                <w:tcPr>
                  <w:tcW w:w="0" w:type="auto"/>
                  <w:vMerge w:val="continue"/>
                  <w:tcMar>
                    <w:left w:w="57" w:type="dxa"/>
                    <w:right w:w="57" w:type="dxa"/>
                  </w:tcMar>
                  <w:vAlign w:val="center"/>
                </w:tcPr>
                <w:p>
                  <w:pPr>
                    <w:jc w:val="center"/>
                    <w:rPr>
                      <w:b/>
                      <w:bCs/>
                      <w:i/>
                      <w:iCs/>
                      <w:spacing w:val="-4"/>
                      <w:kern w:val="0"/>
                      <w:szCs w:val="21"/>
                      <w:u w:val="single"/>
                    </w:rPr>
                  </w:pPr>
                </w:p>
              </w:tc>
            </w:tr>
          </w:tbl>
          <w:p>
            <w:pPr>
              <w:pStyle w:val="42"/>
              <w:adjustRightInd w:val="0"/>
              <w:snapToGrid w:val="0"/>
              <w:spacing w:before="0" w:beforeLines="0"/>
              <w:rPr>
                <w:rFonts w:ascii="Times New Roman" w:hAnsi="Times New Roman"/>
                <w:i/>
                <w:iCs/>
              </w:rPr>
            </w:pPr>
            <w:r>
              <w:rPr>
                <w:rFonts w:hint="eastAsia" w:ascii="Times New Roman" w:hAnsi="Times New Roman"/>
                <w:i/>
                <w:iCs/>
              </w:rPr>
              <w:t>表1</w:t>
            </w:r>
            <w:r>
              <w:rPr>
                <w:rFonts w:ascii="Times New Roman" w:hAnsi="Times New Roman"/>
                <w:i/>
                <w:iCs/>
              </w:rPr>
              <w:t xml:space="preserve">-2  </w:t>
            </w:r>
            <w:r>
              <w:rPr>
                <w:rFonts w:hint="eastAsia" w:ascii="Times New Roman" w:hAnsi="Times New Roman"/>
                <w:i/>
                <w:iCs/>
              </w:rPr>
              <w:t>与“吉环环评字〔202</w:t>
            </w:r>
            <w:r>
              <w:rPr>
                <w:rFonts w:ascii="Times New Roman" w:hAnsi="Times New Roman"/>
                <w:i/>
                <w:iCs/>
              </w:rPr>
              <w:t>2</w:t>
            </w:r>
            <w:r>
              <w:rPr>
                <w:rFonts w:hint="eastAsia" w:ascii="Times New Roman" w:hAnsi="Times New Roman"/>
                <w:i/>
                <w:iCs/>
              </w:rPr>
              <w:t>〕2</w:t>
            </w:r>
            <w:r>
              <w:rPr>
                <w:rFonts w:ascii="Times New Roman" w:hAnsi="Times New Roman"/>
                <w:i/>
                <w:iCs/>
              </w:rPr>
              <w:t>7</w:t>
            </w:r>
            <w:r>
              <w:rPr>
                <w:rFonts w:hint="eastAsia" w:ascii="Times New Roman" w:hAnsi="Times New Roman"/>
                <w:i/>
                <w:iCs/>
              </w:rPr>
              <w:t>号”符合性分析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94"/>
              <w:gridCol w:w="3029"/>
              <w:gridCol w:w="12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85" w:type="pct"/>
                  <w:vAlign w:val="center"/>
                </w:tcPr>
                <w:p>
                  <w:pPr>
                    <w:jc w:val="center"/>
                    <w:rPr>
                      <w:b/>
                      <w:bCs/>
                      <w:i/>
                      <w:iCs/>
                      <w:spacing w:val="-4"/>
                      <w:szCs w:val="20"/>
                      <w:u w:val="single"/>
                    </w:rPr>
                  </w:pPr>
                  <w:r>
                    <w:rPr>
                      <w:b/>
                      <w:bCs/>
                      <w:i/>
                      <w:iCs/>
                      <w:spacing w:val="-4"/>
                      <w:szCs w:val="20"/>
                      <w:u w:val="single"/>
                    </w:rPr>
                    <w:t>审查意见要求</w:t>
                  </w:r>
                </w:p>
              </w:tc>
              <w:tc>
                <w:tcPr>
                  <w:tcW w:w="1704" w:type="pct"/>
                  <w:vAlign w:val="center"/>
                </w:tcPr>
                <w:p>
                  <w:pPr>
                    <w:jc w:val="center"/>
                    <w:rPr>
                      <w:b/>
                      <w:bCs/>
                      <w:i/>
                      <w:iCs/>
                      <w:spacing w:val="-4"/>
                      <w:szCs w:val="20"/>
                      <w:u w:val="single"/>
                    </w:rPr>
                  </w:pPr>
                  <w:r>
                    <w:rPr>
                      <w:b/>
                      <w:bCs/>
                      <w:i/>
                      <w:iCs/>
                      <w:spacing w:val="-4"/>
                      <w:szCs w:val="20"/>
                      <w:u w:val="single"/>
                    </w:rPr>
                    <w:t>本项目情况</w:t>
                  </w:r>
                </w:p>
              </w:tc>
              <w:tc>
                <w:tcPr>
                  <w:tcW w:w="711" w:type="pct"/>
                  <w:vAlign w:val="center"/>
                </w:tcPr>
                <w:p>
                  <w:pPr>
                    <w:jc w:val="center"/>
                    <w:rPr>
                      <w:b/>
                      <w:bCs/>
                      <w:i/>
                      <w:iCs/>
                      <w:spacing w:val="-4"/>
                      <w:szCs w:val="20"/>
                      <w:u w:val="single"/>
                    </w:rPr>
                  </w:pPr>
                  <w:r>
                    <w:rPr>
                      <w:b/>
                      <w:bCs/>
                      <w:i/>
                      <w:iCs/>
                      <w:spacing w:val="-4"/>
                      <w:szCs w:val="20"/>
                      <w:u w:val="single"/>
                    </w:rPr>
                    <w:t>符合性</w:t>
                  </w:r>
                </w:p>
                <w:p>
                  <w:pPr>
                    <w:jc w:val="center"/>
                    <w:rPr>
                      <w:b/>
                      <w:bCs/>
                      <w:i/>
                      <w:iCs/>
                      <w:spacing w:val="-4"/>
                      <w:szCs w:val="20"/>
                      <w:u w:val="single"/>
                    </w:rPr>
                  </w:pPr>
                  <w:r>
                    <w:rPr>
                      <w:b/>
                      <w:bCs/>
                      <w:i/>
                      <w:iCs/>
                      <w:spacing w:val="-4"/>
                      <w:szCs w:val="20"/>
                      <w:u w:val="single"/>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5" w:type="pct"/>
                  <w:vAlign w:val="center"/>
                </w:tcPr>
                <w:p>
                  <w:pPr>
                    <w:autoSpaceDE w:val="0"/>
                    <w:autoSpaceDN w:val="0"/>
                    <w:adjustRightInd w:val="0"/>
                    <w:rPr>
                      <w:b/>
                      <w:bCs/>
                      <w:i/>
                      <w:iCs/>
                      <w:spacing w:val="-4"/>
                      <w:szCs w:val="20"/>
                      <w:u w:val="single"/>
                    </w:rPr>
                  </w:pPr>
                  <w:r>
                    <w:rPr>
                      <w:rFonts w:hint="eastAsia"/>
                      <w:b/>
                      <w:bCs/>
                      <w:i/>
                      <w:iCs/>
                      <w:spacing w:val="-4"/>
                      <w:kern w:val="0"/>
                      <w:szCs w:val="21"/>
                      <w:u w:val="single"/>
                    </w:rPr>
                    <w:t>长春地区2020年度环境空气质量不达标，拟入区项目应严格落实《关于部分重点城市建设项目执行大气污染物特别排放限值的公告》（2019年第1号）要求，在环境空气质量达标前，新增大气污染物排放的新、改、扩建项目执行大气污染物特别排放限值。</w:t>
                  </w:r>
                </w:p>
              </w:tc>
              <w:tc>
                <w:tcPr>
                  <w:tcW w:w="1704" w:type="pct"/>
                  <w:vAlign w:val="center"/>
                </w:tcPr>
                <w:p>
                  <w:pPr>
                    <w:autoSpaceDE w:val="0"/>
                    <w:autoSpaceDN w:val="0"/>
                    <w:adjustRightInd w:val="0"/>
                    <w:rPr>
                      <w:b/>
                      <w:bCs/>
                      <w:i/>
                      <w:iCs/>
                      <w:spacing w:val="-4"/>
                      <w:szCs w:val="20"/>
                      <w:u w:val="single"/>
                    </w:rPr>
                  </w:pPr>
                  <w:r>
                    <w:rPr>
                      <w:rFonts w:hint="eastAsia"/>
                      <w:b/>
                      <w:bCs/>
                      <w:i/>
                      <w:iCs/>
                      <w:spacing w:val="-4"/>
                      <w:kern w:val="0"/>
                      <w:szCs w:val="21"/>
                      <w:u w:val="single"/>
                    </w:rPr>
                    <w:t>项目位于长春地区，</w:t>
                  </w:r>
                  <w:r>
                    <w:rPr>
                      <w:b/>
                      <w:bCs/>
                      <w:i/>
                      <w:iCs/>
                      <w:spacing w:val="-4"/>
                      <w:kern w:val="0"/>
                      <w:szCs w:val="21"/>
                      <w:u w:val="single"/>
                    </w:rPr>
                    <w:t>根据吉林省2022年</w:t>
                  </w:r>
                  <w:r>
                    <w:rPr>
                      <w:rFonts w:hint="eastAsia"/>
                      <w:b/>
                      <w:bCs/>
                      <w:i/>
                      <w:iCs/>
                      <w:spacing w:val="-4"/>
                      <w:kern w:val="0"/>
                      <w:szCs w:val="21"/>
                      <w:u w:val="single"/>
                    </w:rPr>
                    <w:t>生态</w:t>
                  </w:r>
                  <w:r>
                    <w:rPr>
                      <w:b/>
                      <w:bCs/>
                      <w:i/>
                      <w:iCs/>
                      <w:spacing w:val="-4"/>
                      <w:kern w:val="0"/>
                      <w:szCs w:val="21"/>
                      <w:u w:val="single"/>
                    </w:rPr>
                    <w:t>环境状况公报，长春地区属于环境空气质量达标区，本项目废气执行</w:t>
                  </w:r>
                  <w:r>
                    <w:rPr>
                      <w:rFonts w:hint="eastAsia"/>
                      <w:b/>
                      <w:bCs/>
                      <w:i/>
                      <w:iCs/>
                      <w:u w:val="single"/>
                    </w:rPr>
                    <w:t>锅炉大气污染物排放标准》（G</w:t>
                  </w:r>
                  <w:r>
                    <w:rPr>
                      <w:b/>
                      <w:bCs/>
                      <w:i/>
                      <w:iCs/>
                      <w:u w:val="single"/>
                    </w:rPr>
                    <w:t>B 13271-2014</w:t>
                  </w:r>
                  <w:r>
                    <w:rPr>
                      <w:rFonts w:hint="eastAsia"/>
                      <w:b/>
                      <w:bCs/>
                      <w:i/>
                      <w:iCs/>
                      <w:u w:val="single"/>
                    </w:rPr>
                    <w:t>）中表3大气污染物特别排放限值</w:t>
                  </w:r>
                </w:p>
              </w:tc>
              <w:tc>
                <w:tcPr>
                  <w:tcW w:w="711" w:type="pct"/>
                  <w:vAlign w:val="center"/>
                </w:tcPr>
                <w:p>
                  <w:pPr>
                    <w:autoSpaceDE w:val="0"/>
                    <w:autoSpaceDN w:val="0"/>
                    <w:adjustRightInd w:val="0"/>
                    <w:jc w:val="center"/>
                    <w:rPr>
                      <w:b/>
                      <w:bCs/>
                      <w:i/>
                      <w:iCs/>
                      <w:spacing w:val="-4"/>
                      <w:szCs w:val="20"/>
                      <w:u w:val="single"/>
                    </w:rPr>
                  </w:pPr>
                  <w:r>
                    <w:rPr>
                      <w:rFonts w:hint="eastAsia"/>
                      <w:b/>
                      <w:bCs/>
                      <w:i/>
                      <w:iCs/>
                      <w:spacing w:val="-4"/>
                      <w:szCs w:val="20"/>
                      <w:u w:val="singl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5" w:type="pct"/>
                  <w:vAlign w:val="center"/>
                </w:tcPr>
                <w:p>
                  <w:pPr>
                    <w:autoSpaceDE w:val="0"/>
                    <w:autoSpaceDN w:val="0"/>
                    <w:adjustRightInd w:val="0"/>
                    <w:rPr>
                      <w:b/>
                      <w:bCs/>
                      <w:i/>
                      <w:iCs/>
                      <w:spacing w:val="-4"/>
                      <w:kern w:val="0"/>
                      <w:szCs w:val="21"/>
                      <w:u w:val="single"/>
                    </w:rPr>
                  </w:pPr>
                  <w:r>
                    <w:rPr>
                      <w:rFonts w:hint="eastAsia"/>
                      <w:b/>
                      <w:bCs/>
                      <w:i/>
                      <w:iCs/>
                      <w:spacing w:val="-4"/>
                      <w:kern w:val="0"/>
                      <w:szCs w:val="21"/>
                      <w:u w:val="single"/>
                    </w:rPr>
                    <w:t>区内排水体系应全部改造为雨污分流，加快推进精细化工产业园污水处理厂、开发区污水处理厂建设及配套管网建设进度，合理规划处理工艺和规模，及时组织编制排污口论证报告。对分散村屯生活污水治理进行合理规划，遵循“应纳尽纳”的原则，对满足城镇污水收集管网接入要求的村庄和区域逐步实现应接尽接，对于偏远分散污水管网无法覆盖的区域，实行污水就地分散处理和资源化利用，确保农村生活污水得到有效治理。</w:t>
                  </w:r>
                </w:p>
              </w:tc>
              <w:tc>
                <w:tcPr>
                  <w:tcW w:w="1704" w:type="pct"/>
                  <w:vAlign w:val="center"/>
                </w:tcPr>
                <w:p>
                  <w:pPr>
                    <w:autoSpaceDE w:val="0"/>
                    <w:autoSpaceDN w:val="0"/>
                    <w:adjustRightInd w:val="0"/>
                    <w:rPr>
                      <w:b/>
                      <w:bCs/>
                      <w:i/>
                      <w:iCs/>
                      <w:spacing w:val="-4"/>
                      <w:kern w:val="0"/>
                      <w:szCs w:val="21"/>
                      <w:u w:val="single"/>
                    </w:rPr>
                  </w:pPr>
                  <w:r>
                    <w:rPr>
                      <w:b/>
                      <w:bCs/>
                      <w:i/>
                      <w:iCs/>
                      <w:spacing w:val="-4"/>
                      <w:kern w:val="0"/>
                      <w:szCs w:val="21"/>
                      <w:u w:val="single"/>
                    </w:rPr>
                    <w:t>项目产生的废水</w:t>
                  </w:r>
                  <w:r>
                    <w:rPr>
                      <w:rFonts w:hint="eastAsia"/>
                      <w:b/>
                      <w:bCs/>
                      <w:i/>
                      <w:iCs/>
                      <w:spacing w:val="-4"/>
                      <w:kern w:val="0"/>
                      <w:szCs w:val="21"/>
                      <w:u w:val="single"/>
                    </w:rPr>
                    <w:t>为清净下水，</w:t>
                  </w:r>
                  <w:r>
                    <w:rPr>
                      <w:b/>
                      <w:bCs/>
                      <w:i/>
                      <w:iCs/>
                      <w:spacing w:val="-4"/>
                      <w:kern w:val="0"/>
                      <w:szCs w:val="21"/>
                      <w:u w:val="single"/>
                    </w:rPr>
                    <w:t>经市政污水管网排入</w:t>
                  </w:r>
                  <w:r>
                    <w:rPr>
                      <w:rFonts w:hint="eastAsia"/>
                      <w:b/>
                      <w:bCs/>
                      <w:i/>
                      <w:iCs/>
                      <w:u w:val="single"/>
                    </w:rPr>
                    <w:t>长春高新技术产业开发区北区污水处理厂</w:t>
                  </w:r>
                  <w:r>
                    <w:rPr>
                      <w:b/>
                      <w:bCs/>
                      <w:i/>
                      <w:iCs/>
                      <w:spacing w:val="-4"/>
                      <w:kern w:val="0"/>
                      <w:szCs w:val="21"/>
                      <w:u w:val="single"/>
                    </w:rPr>
                    <w:t>，达到《城镇污水处理厂污染物排放标准》（GB18918-2002）一级（A）标准后排入伊通河</w:t>
                  </w:r>
                </w:p>
              </w:tc>
              <w:tc>
                <w:tcPr>
                  <w:tcW w:w="711" w:type="pct"/>
                  <w:vAlign w:val="center"/>
                </w:tcPr>
                <w:p>
                  <w:pPr>
                    <w:autoSpaceDE w:val="0"/>
                    <w:autoSpaceDN w:val="0"/>
                    <w:adjustRightInd w:val="0"/>
                    <w:jc w:val="center"/>
                    <w:rPr>
                      <w:b/>
                      <w:bCs/>
                      <w:i/>
                      <w:iCs/>
                      <w:spacing w:val="-4"/>
                      <w:szCs w:val="20"/>
                      <w:u w:val="single"/>
                    </w:rPr>
                  </w:pPr>
                  <w:r>
                    <w:rPr>
                      <w:rFonts w:hint="eastAsia"/>
                      <w:b/>
                      <w:bCs/>
                      <w:i/>
                      <w:iCs/>
                      <w:spacing w:val="-4"/>
                      <w:szCs w:val="20"/>
                      <w:u w:val="single"/>
                    </w:rPr>
                    <w:t>符合</w:t>
                  </w:r>
                </w:p>
              </w:tc>
            </w:tr>
          </w:tbl>
          <w:p>
            <w:pPr>
              <w:autoSpaceDE w:val="0"/>
              <w:autoSpaceDN w:val="0"/>
              <w:adjustRightInd w:val="0"/>
              <w:snapToGrid w:val="0"/>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 w:type="pct"/>
            <w:vAlign w:val="center"/>
          </w:tcPr>
          <w:p>
            <w:pPr>
              <w:autoSpaceDE w:val="0"/>
              <w:autoSpaceDN w:val="0"/>
              <w:adjustRightInd w:val="0"/>
              <w:snapToGrid w:val="0"/>
              <w:jc w:val="center"/>
              <w:rPr>
                <w:kern w:val="0"/>
                <w:szCs w:val="21"/>
              </w:rPr>
            </w:pPr>
            <w:r>
              <w:rPr>
                <w:kern w:val="0"/>
                <w:szCs w:val="21"/>
              </w:rPr>
              <w:t>其他符合性分析</w:t>
            </w:r>
          </w:p>
        </w:tc>
        <w:tc>
          <w:tcPr>
            <w:tcW w:w="4710" w:type="pct"/>
            <w:gridSpan w:val="4"/>
            <w:vAlign w:val="center"/>
          </w:tcPr>
          <w:p>
            <w:pPr>
              <w:pStyle w:val="3"/>
              <w:ind w:firstLine="422"/>
              <w:rPr>
                <w:b/>
                <w:bCs/>
              </w:rPr>
            </w:pPr>
            <w:r>
              <w:rPr>
                <w:rFonts w:hint="eastAsia"/>
                <w:b/>
                <w:bCs/>
              </w:rPr>
              <w:t>1、产业政策符合性分析</w:t>
            </w:r>
          </w:p>
          <w:p>
            <w:pPr>
              <w:autoSpaceDE w:val="0"/>
              <w:autoSpaceDN w:val="0"/>
              <w:adjustRightInd w:val="0"/>
              <w:snapToGrid w:val="0"/>
              <w:spacing w:line="360" w:lineRule="auto"/>
              <w:ind w:firstLine="420" w:firstLineChars="200"/>
              <w:rPr>
                <w:szCs w:val="21"/>
              </w:rPr>
            </w:pPr>
            <w:r>
              <w:rPr>
                <w:szCs w:val="21"/>
              </w:rPr>
              <w:t>根据国家发展和改革委员会发布的《产业结构调整指导目录（2019年本）》（2019年本），本</w:t>
            </w:r>
            <w:r>
              <w:rPr>
                <w:rFonts w:hint="eastAsia"/>
                <w:szCs w:val="21"/>
              </w:rPr>
              <w:t>项目不属于鼓励类、限制类、淘汰类项目，</w:t>
            </w:r>
            <w:r>
              <w:rPr>
                <w:szCs w:val="21"/>
              </w:rPr>
              <w:t>因此</w:t>
            </w:r>
            <w:r>
              <w:rPr>
                <w:rFonts w:hint="eastAsia"/>
                <w:szCs w:val="21"/>
              </w:rPr>
              <w:t>本项目为允许类项目</w:t>
            </w:r>
            <w:r>
              <w:rPr>
                <w:szCs w:val="21"/>
              </w:rPr>
              <w:t>，符合国家现行产业政策。</w:t>
            </w:r>
          </w:p>
          <w:p>
            <w:pPr>
              <w:autoSpaceDE w:val="0"/>
              <w:autoSpaceDN w:val="0"/>
              <w:adjustRightInd w:val="0"/>
              <w:snapToGrid w:val="0"/>
              <w:spacing w:line="360" w:lineRule="auto"/>
              <w:ind w:firstLine="420" w:firstLineChars="200"/>
              <w:rPr>
                <w:szCs w:val="21"/>
              </w:rPr>
            </w:pPr>
            <w:r>
              <w:rPr>
                <w:rFonts w:hint="eastAsia"/>
                <w:szCs w:val="21"/>
              </w:rPr>
              <w:t>综上所述，项目的建设符合国家现行产业政策。</w:t>
            </w:r>
          </w:p>
          <w:p>
            <w:pPr>
              <w:autoSpaceDE w:val="0"/>
              <w:autoSpaceDN w:val="0"/>
              <w:adjustRightInd w:val="0"/>
              <w:snapToGrid w:val="0"/>
              <w:spacing w:line="360" w:lineRule="auto"/>
              <w:ind w:firstLine="422" w:firstLineChars="200"/>
              <w:jc w:val="left"/>
              <w:rPr>
                <w:b/>
                <w:bCs/>
                <w:szCs w:val="21"/>
              </w:rPr>
            </w:pPr>
            <w:r>
              <w:rPr>
                <w:rFonts w:hint="eastAsia"/>
                <w:b/>
                <w:bCs/>
                <w:szCs w:val="21"/>
              </w:rPr>
              <w:t>2、“三线一单”符合性分析</w:t>
            </w:r>
          </w:p>
          <w:p>
            <w:pPr>
              <w:autoSpaceDE w:val="0"/>
              <w:autoSpaceDN w:val="0"/>
              <w:adjustRightInd w:val="0"/>
              <w:snapToGrid w:val="0"/>
              <w:spacing w:line="360" w:lineRule="auto"/>
              <w:ind w:firstLine="420" w:firstLineChars="200"/>
              <w:rPr>
                <w:szCs w:val="21"/>
              </w:rPr>
            </w:pPr>
            <w:r>
              <w:rPr>
                <w:rFonts w:hint="eastAsia"/>
                <w:szCs w:val="21"/>
              </w:rPr>
              <w:t>根据《长春市人民政府关于实施“三线一单”生态环境分区管控的意见》（长府函〔2021〕62号），并结合长春市生态保护红线成果，周边无自然保护区、饮用水源保护区等生态保护目标，本项目位于长春北湖经济开发区，属于重点管控单元（</w:t>
            </w:r>
            <w:r>
              <w:rPr>
                <w:szCs w:val="21"/>
              </w:rPr>
              <w:t>ZH22010320010</w:t>
            </w:r>
            <w:r>
              <w:rPr>
                <w:rFonts w:hint="eastAsia"/>
                <w:szCs w:val="21"/>
              </w:rPr>
              <w:t>）（附图5），满足生态保护红线管控要求。</w:t>
            </w:r>
          </w:p>
          <w:p>
            <w:pPr>
              <w:autoSpaceDE w:val="0"/>
              <w:autoSpaceDN w:val="0"/>
              <w:adjustRightInd w:val="0"/>
              <w:snapToGrid w:val="0"/>
              <w:spacing w:line="360" w:lineRule="auto"/>
              <w:ind w:firstLine="422" w:firstLineChars="200"/>
              <w:jc w:val="left"/>
              <w:rPr>
                <w:b/>
                <w:bCs/>
                <w:kern w:val="0"/>
                <w:szCs w:val="21"/>
              </w:rPr>
            </w:pPr>
            <w:r>
              <w:rPr>
                <w:rFonts w:hint="eastAsia"/>
                <w:b/>
                <w:bCs/>
                <w:kern w:val="0"/>
                <w:szCs w:val="21"/>
              </w:rPr>
              <w:t>2</w:t>
            </w:r>
            <w:r>
              <w:rPr>
                <w:b/>
                <w:bCs/>
                <w:kern w:val="0"/>
                <w:szCs w:val="21"/>
              </w:rPr>
              <w:t xml:space="preserve">.1 </w:t>
            </w:r>
            <w:r>
              <w:rPr>
                <w:rFonts w:hint="eastAsia"/>
                <w:b/>
                <w:bCs/>
                <w:kern w:val="0"/>
                <w:szCs w:val="21"/>
              </w:rPr>
              <w:t>环境准入清单</w:t>
            </w:r>
          </w:p>
          <w:p>
            <w:pPr>
              <w:autoSpaceDE w:val="0"/>
              <w:autoSpaceDN w:val="0"/>
              <w:adjustRightInd w:val="0"/>
              <w:snapToGrid w:val="0"/>
              <w:jc w:val="center"/>
              <w:rPr>
                <w:b/>
                <w:bCs/>
                <w:szCs w:val="21"/>
              </w:rPr>
            </w:pPr>
            <w:r>
              <w:rPr>
                <w:rFonts w:hint="eastAsia"/>
                <w:b/>
                <w:bCs/>
                <w:szCs w:val="21"/>
              </w:rPr>
              <w:t>表</w:t>
            </w:r>
            <w:r>
              <w:rPr>
                <w:b/>
                <w:bCs/>
                <w:szCs w:val="21"/>
              </w:rPr>
              <w:t>1-3</w:t>
            </w:r>
            <w:r>
              <w:rPr>
                <w:rFonts w:ascii="宋体" w:hAnsi="宋体"/>
                <w:b/>
                <w:bCs/>
                <w:szCs w:val="21"/>
              </w:rPr>
              <w:t xml:space="preserve">  </w:t>
            </w:r>
            <w:r>
              <w:rPr>
                <w:rFonts w:hint="eastAsia" w:ascii="宋体" w:hAnsi="宋体"/>
                <w:b/>
                <w:bCs/>
                <w:szCs w:val="21"/>
              </w:rPr>
              <w:t>与</w:t>
            </w:r>
            <w:r>
              <w:rPr>
                <w:rFonts w:hint="eastAsia"/>
                <w:b/>
                <w:bCs/>
                <w:szCs w:val="21"/>
              </w:rPr>
              <w:t>“</w:t>
            </w:r>
            <w:r>
              <w:rPr>
                <w:rFonts w:hint="eastAsia" w:ascii="宋体" w:hAnsi="宋体"/>
                <w:b/>
                <w:bCs/>
                <w:szCs w:val="21"/>
              </w:rPr>
              <w:t>长春市</w:t>
            </w:r>
            <w:r>
              <w:rPr>
                <w:rFonts w:hint="eastAsia"/>
                <w:b/>
                <w:bCs/>
                <w:szCs w:val="21"/>
              </w:rPr>
              <w:t>生态环境准入清单”符合性分析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574"/>
              <w:gridCol w:w="3761"/>
              <w:gridCol w:w="3515"/>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0" w:type="auto"/>
                  <w:tcBorders>
                    <w:top w:val="single" w:color="auto" w:sz="12" w:space="0"/>
                    <w:left w:val="nil"/>
                  </w:tcBorders>
                  <w:vAlign w:val="center"/>
                </w:tcPr>
                <w:p>
                  <w:pPr>
                    <w:pStyle w:val="33"/>
                    <w:spacing w:before="24" w:after="24"/>
                    <w:rPr>
                      <w:rFonts w:hAnsi="宋体" w:cs="仿宋"/>
                      <w:b/>
                      <w:szCs w:val="21"/>
                    </w:rPr>
                  </w:pPr>
                  <w:r>
                    <w:rPr>
                      <w:rFonts w:hint="eastAsia" w:hAnsi="宋体" w:cs="仿宋"/>
                      <w:b/>
                      <w:szCs w:val="21"/>
                    </w:rPr>
                    <w:t>管控领域</w:t>
                  </w:r>
                </w:p>
              </w:tc>
              <w:tc>
                <w:tcPr>
                  <w:tcW w:w="0" w:type="auto"/>
                  <w:gridSpan w:val="2"/>
                  <w:tcBorders>
                    <w:top w:val="single" w:color="auto" w:sz="12" w:space="0"/>
                  </w:tcBorders>
                  <w:vAlign w:val="center"/>
                </w:tcPr>
                <w:p>
                  <w:pPr>
                    <w:pStyle w:val="33"/>
                    <w:spacing w:before="24" w:after="24"/>
                    <w:rPr>
                      <w:rFonts w:hAnsi="宋体" w:cs="仿宋"/>
                      <w:b/>
                      <w:szCs w:val="21"/>
                    </w:rPr>
                  </w:pPr>
                  <w:r>
                    <w:rPr>
                      <w:rFonts w:hint="eastAsia" w:hAnsi="宋体" w:cs="仿宋"/>
                      <w:b/>
                      <w:szCs w:val="21"/>
                    </w:rPr>
                    <w:t>管控要求</w:t>
                  </w:r>
                </w:p>
              </w:tc>
              <w:tc>
                <w:tcPr>
                  <w:tcW w:w="0" w:type="auto"/>
                  <w:tcBorders>
                    <w:top w:val="single" w:color="auto" w:sz="12" w:space="0"/>
                    <w:right w:val="nil"/>
                  </w:tcBorders>
                  <w:vAlign w:val="center"/>
                </w:tcPr>
                <w:p>
                  <w:pPr>
                    <w:pStyle w:val="33"/>
                    <w:spacing w:before="24" w:after="24"/>
                    <w:rPr>
                      <w:rFonts w:hAnsi="宋体" w:cs="仿宋"/>
                      <w:b/>
                      <w:szCs w:val="21"/>
                    </w:rPr>
                  </w:pPr>
                  <w:r>
                    <w:rPr>
                      <w:rFonts w:hint="eastAsia" w:hAnsi="宋体" w:cs="仿宋"/>
                      <w:b/>
                      <w:szCs w:val="21"/>
                    </w:rPr>
                    <w:t>本项目情况</w:t>
                  </w:r>
                </w:p>
              </w:tc>
              <w:tc>
                <w:tcPr>
                  <w:tcW w:w="0" w:type="auto"/>
                  <w:tcBorders>
                    <w:top w:val="single" w:color="auto" w:sz="12" w:space="0"/>
                    <w:right w:val="nil"/>
                  </w:tcBorders>
                  <w:vAlign w:val="center"/>
                </w:tcPr>
                <w:p>
                  <w:pPr>
                    <w:pStyle w:val="33"/>
                    <w:spacing w:before="24" w:after="24"/>
                    <w:rPr>
                      <w:rFonts w:hAnsi="宋体" w:cs="仿宋"/>
                      <w:b/>
                      <w:szCs w:val="21"/>
                    </w:rPr>
                  </w:pPr>
                  <w:r>
                    <w:rPr>
                      <w:rFonts w:hint="eastAsia" w:hAnsi="宋体" w:cs="仿宋"/>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left w:val="nil"/>
                  </w:tcBorders>
                  <w:vAlign w:val="center"/>
                </w:tcPr>
                <w:p>
                  <w:pPr>
                    <w:autoSpaceDE w:val="0"/>
                    <w:autoSpaceDN w:val="0"/>
                    <w:adjustRightInd w:val="0"/>
                    <w:snapToGrid w:val="0"/>
                    <w:jc w:val="center"/>
                    <w:rPr>
                      <w:szCs w:val="21"/>
                    </w:rPr>
                  </w:pPr>
                  <w:r>
                    <w:rPr>
                      <w:rFonts w:hint="eastAsia"/>
                      <w:szCs w:val="21"/>
                    </w:rPr>
                    <w:t>空间布局约束</w:t>
                  </w:r>
                </w:p>
              </w:tc>
              <w:tc>
                <w:tcPr>
                  <w:tcW w:w="0" w:type="auto"/>
                  <w:gridSpan w:val="2"/>
                  <w:vAlign w:val="center"/>
                </w:tcPr>
                <w:p>
                  <w:pPr>
                    <w:autoSpaceDE w:val="0"/>
                    <w:autoSpaceDN w:val="0"/>
                    <w:adjustRightInd w:val="0"/>
                    <w:snapToGrid w:val="0"/>
                    <w:rPr>
                      <w:szCs w:val="21"/>
                    </w:rPr>
                  </w:pPr>
                  <w:r>
                    <w:rPr>
                      <w:rFonts w:hint="eastAsia"/>
                      <w:szCs w:val="21"/>
                    </w:rPr>
                    <w:t>严格按照产业结构调整指导目录等相关政策要求，结合区域生态环境保护要求，确定具体措施。对有条件的地区，宜优先提出整合重组、升级改造任务；对存在高污染企业的水污染严重地区、敏感区域、城市建成区、提出退城入园、异地搬迁等任务；对落后产能，提出淘汰关闭任务。</w:t>
                  </w:r>
                </w:p>
              </w:tc>
              <w:tc>
                <w:tcPr>
                  <w:tcW w:w="0" w:type="auto"/>
                  <w:tcBorders>
                    <w:right w:val="nil"/>
                  </w:tcBorders>
                  <w:vAlign w:val="center"/>
                </w:tcPr>
                <w:p>
                  <w:pPr>
                    <w:autoSpaceDE w:val="0"/>
                    <w:autoSpaceDN w:val="0"/>
                    <w:adjustRightInd w:val="0"/>
                    <w:snapToGrid w:val="0"/>
                    <w:jc w:val="center"/>
                    <w:rPr>
                      <w:szCs w:val="21"/>
                    </w:rPr>
                  </w:pPr>
                  <w:r>
                    <w:rPr>
                      <w:rFonts w:hint="eastAsia"/>
                      <w:szCs w:val="21"/>
                    </w:rPr>
                    <w:t>本项目</w:t>
                  </w:r>
                  <w:r>
                    <w:rPr>
                      <w:rFonts w:hint="eastAsia"/>
                    </w:rPr>
                    <w:t>属于《</w:t>
                  </w:r>
                  <w:r>
                    <w:rPr>
                      <w:rFonts w:hint="eastAsia"/>
                      <w:szCs w:val="21"/>
                    </w:rPr>
                    <w:t>产业结构调整指导目录》允许类项目，不属于高污染企业</w:t>
                  </w:r>
                </w:p>
              </w:tc>
              <w:tc>
                <w:tcPr>
                  <w:tcW w:w="0" w:type="auto"/>
                  <w:tcBorders>
                    <w:right w:val="nil"/>
                  </w:tcBorders>
                  <w:vAlign w:val="center"/>
                </w:tcPr>
                <w:p>
                  <w:pPr>
                    <w:autoSpaceDE w:val="0"/>
                    <w:autoSpaceDN w:val="0"/>
                    <w:adjustRightInd w:val="0"/>
                    <w:snapToGrid w:val="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gridSpan w:val="2"/>
                  <w:vAlign w:val="center"/>
                </w:tcPr>
                <w:p>
                  <w:pPr>
                    <w:autoSpaceDE w:val="0"/>
                    <w:autoSpaceDN w:val="0"/>
                    <w:adjustRightInd w:val="0"/>
                    <w:snapToGrid w:val="0"/>
                    <w:rPr>
                      <w:szCs w:val="21"/>
                    </w:rPr>
                  </w:pPr>
                  <w:r>
                    <w:rPr>
                      <w:rFonts w:hint="eastAsia"/>
                      <w:szCs w:val="21"/>
                    </w:rPr>
                    <w:t>新建、扩建“两高”项目应采用先进适用的工艺技术和装备，单位产品物耗、能耗、水耗等达到清洁生产先进水平。</w:t>
                  </w:r>
                </w:p>
              </w:tc>
              <w:tc>
                <w:tcPr>
                  <w:tcW w:w="0" w:type="auto"/>
                  <w:tcBorders>
                    <w:right w:val="nil"/>
                  </w:tcBorders>
                  <w:vAlign w:val="center"/>
                </w:tcPr>
                <w:p>
                  <w:pPr>
                    <w:autoSpaceDE w:val="0"/>
                    <w:autoSpaceDN w:val="0"/>
                    <w:adjustRightInd w:val="0"/>
                    <w:snapToGrid w:val="0"/>
                    <w:jc w:val="center"/>
                    <w:rPr>
                      <w:szCs w:val="21"/>
                    </w:rPr>
                  </w:pPr>
                  <w:r>
                    <w:rPr>
                      <w:rFonts w:hint="eastAsia"/>
                      <w:szCs w:val="21"/>
                    </w:rPr>
                    <w:t>本项目不属于“两高行业”</w:t>
                  </w:r>
                </w:p>
              </w:tc>
              <w:tc>
                <w:tcPr>
                  <w:tcW w:w="0" w:type="auto"/>
                  <w:tcBorders>
                    <w:right w:val="nil"/>
                  </w:tcBorders>
                  <w:vAlign w:val="center"/>
                </w:tcPr>
                <w:p>
                  <w:pPr>
                    <w:autoSpaceDE w:val="0"/>
                    <w:autoSpaceDN w:val="0"/>
                    <w:adjustRightInd w:val="0"/>
                    <w:snapToGrid w:val="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gridSpan w:val="2"/>
                  <w:vAlign w:val="center"/>
                </w:tcPr>
                <w:p>
                  <w:pPr>
                    <w:autoSpaceDE w:val="0"/>
                    <w:autoSpaceDN w:val="0"/>
                    <w:adjustRightInd w:val="0"/>
                    <w:snapToGrid w:val="0"/>
                    <w:rPr>
                      <w:szCs w:val="21"/>
                    </w:rPr>
                  </w:pPr>
                  <w:r>
                    <w:rPr>
                      <w:rFonts w:hint="eastAsia"/>
                      <w:szCs w:val="21"/>
                    </w:rPr>
                    <w:t>市区及榆树市、农安县、德惠市、公主岭市建成区原则上不再新建单台容量</w:t>
                  </w:r>
                  <w:r>
                    <w:rPr>
                      <w:szCs w:val="21"/>
                    </w:rPr>
                    <w:t>29</w:t>
                  </w:r>
                  <w:r>
                    <w:rPr>
                      <w:rFonts w:hint="eastAsia"/>
                      <w:szCs w:val="21"/>
                    </w:rPr>
                    <w:t>兆瓦</w:t>
                  </w:r>
                  <w:r>
                    <w:rPr>
                      <w:szCs w:val="21"/>
                    </w:rPr>
                    <w:t>(40</w:t>
                  </w:r>
                  <w:r>
                    <w:rPr>
                      <w:rFonts w:hint="eastAsia"/>
                      <w:szCs w:val="21"/>
                    </w:rPr>
                    <w:t>蒸吨</w:t>
                  </w:r>
                  <w:r>
                    <w:rPr>
                      <w:szCs w:val="21"/>
                    </w:rPr>
                    <w:t>/</w:t>
                  </w:r>
                  <w:r>
                    <w:rPr>
                      <w:rFonts w:hint="eastAsia"/>
                      <w:szCs w:val="21"/>
                    </w:rPr>
                    <w:t>小时</w:t>
                  </w:r>
                  <w:r>
                    <w:rPr>
                      <w:szCs w:val="21"/>
                    </w:rPr>
                    <w:t>)</w:t>
                  </w:r>
                  <w:r>
                    <w:rPr>
                      <w:rFonts w:hint="eastAsia"/>
                      <w:szCs w:val="21"/>
                    </w:rPr>
                    <w:t>以下燃煤锅炉，其他区域原则上不再新建单台容量</w:t>
                  </w:r>
                  <w:r>
                    <w:rPr>
                      <w:szCs w:val="21"/>
                    </w:rPr>
                    <w:t>14</w:t>
                  </w:r>
                  <w:r>
                    <w:rPr>
                      <w:rFonts w:hint="eastAsia"/>
                      <w:szCs w:val="21"/>
                    </w:rPr>
                    <w:t>兆瓦</w:t>
                  </w:r>
                  <w:r>
                    <w:rPr>
                      <w:szCs w:val="21"/>
                    </w:rPr>
                    <w:t>(20</w:t>
                  </w:r>
                  <w:r>
                    <w:rPr>
                      <w:rFonts w:hint="eastAsia"/>
                      <w:szCs w:val="21"/>
                    </w:rPr>
                    <w:t>蒸吨</w:t>
                  </w:r>
                  <w:r>
                    <w:rPr>
                      <w:szCs w:val="21"/>
                    </w:rPr>
                    <w:t>/</w:t>
                  </w:r>
                  <w:r>
                    <w:rPr>
                      <w:rFonts w:hint="eastAsia"/>
                      <w:szCs w:val="21"/>
                    </w:rPr>
                    <w:t>小时</w:t>
                  </w:r>
                  <w:r>
                    <w:rPr>
                      <w:szCs w:val="21"/>
                    </w:rPr>
                    <w:t>)</w:t>
                  </w:r>
                  <w:r>
                    <w:rPr>
                      <w:rFonts w:hint="eastAsia"/>
                      <w:szCs w:val="21"/>
                    </w:rPr>
                    <w:t>以下的燃煤锅炉。</w:t>
                  </w:r>
                </w:p>
              </w:tc>
              <w:tc>
                <w:tcPr>
                  <w:tcW w:w="0" w:type="auto"/>
                  <w:tcBorders>
                    <w:right w:val="nil"/>
                  </w:tcBorders>
                  <w:vAlign w:val="center"/>
                </w:tcPr>
                <w:p>
                  <w:pPr>
                    <w:autoSpaceDE w:val="0"/>
                    <w:autoSpaceDN w:val="0"/>
                    <w:adjustRightInd w:val="0"/>
                    <w:snapToGrid w:val="0"/>
                    <w:jc w:val="center"/>
                    <w:rPr>
                      <w:szCs w:val="21"/>
                    </w:rPr>
                  </w:pPr>
                  <w:r>
                    <w:rPr>
                      <w:rFonts w:hint="eastAsia"/>
                      <w:szCs w:val="21"/>
                    </w:rPr>
                    <w:t>本项目使用天然气热水锅炉供热</w:t>
                  </w:r>
                </w:p>
              </w:tc>
              <w:tc>
                <w:tcPr>
                  <w:tcW w:w="0" w:type="auto"/>
                  <w:tcBorders>
                    <w:right w:val="nil"/>
                  </w:tcBorders>
                  <w:vAlign w:val="center"/>
                </w:tcPr>
                <w:p>
                  <w:pPr>
                    <w:autoSpaceDE w:val="0"/>
                    <w:autoSpaceDN w:val="0"/>
                    <w:adjustRightInd w:val="0"/>
                    <w:snapToGrid w:val="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0" w:type="auto"/>
                  <w:vMerge w:val="restart"/>
                  <w:tcBorders>
                    <w:left w:val="nil"/>
                  </w:tcBorders>
                  <w:vAlign w:val="center"/>
                </w:tcPr>
                <w:p>
                  <w:pPr>
                    <w:autoSpaceDE w:val="0"/>
                    <w:autoSpaceDN w:val="0"/>
                    <w:adjustRightInd w:val="0"/>
                    <w:snapToGrid w:val="0"/>
                    <w:jc w:val="center"/>
                    <w:rPr>
                      <w:szCs w:val="21"/>
                    </w:rPr>
                  </w:pPr>
                  <w:r>
                    <w:rPr>
                      <w:rFonts w:hint="eastAsia"/>
                      <w:szCs w:val="21"/>
                    </w:rPr>
                    <w:t>污染物</w:t>
                  </w:r>
                </w:p>
                <w:p>
                  <w:pPr>
                    <w:autoSpaceDE w:val="0"/>
                    <w:autoSpaceDN w:val="0"/>
                    <w:adjustRightInd w:val="0"/>
                    <w:snapToGrid w:val="0"/>
                    <w:jc w:val="center"/>
                    <w:rPr>
                      <w:szCs w:val="21"/>
                    </w:rPr>
                  </w:pPr>
                  <w:r>
                    <w:rPr>
                      <w:rFonts w:hint="eastAsia"/>
                      <w:szCs w:val="21"/>
                    </w:rPr>
                    <w:t>排放管控</w:t>
                  </w:r>
                </w:p>
              </w:tc>
              <w:tc>
                <w:tcPr>
                  <w:tcW w:w="0" w:type="auto"/>
                  <w:vMerge w:val="restart"/>
                  <w:tcBorders>
                    <w:right w:val="single" w:color="auto" w:sz="2" w:space="0"/>
                  </w:tcBorders>
                  <w:vAlign w:val="center"/>
                </w:tcPr>
                <w:p>
                  <w:pPr>
                    <w:pStyle w:val="33"/>
                    <w:spacing w:before="24" w:after="24"/>
                    <w:contextualSpacing/>
                    <w:rPr>
                      <w:rFonts w:ascii="Times New Roman"/>
                      <w:szCs w:val="21"/>
                    </w:rPr>
                  </w:pPr>
                  <w:r>
                    <w:rPr>
                      <w:rFonts w:hint="eastAsia" w:ascii="Times New Roman"/>
                      <w:szCs w:val="21"/>
                    </w:rPr>
                    <w:t>环境质量目标</w:t>
                  </w:r>
                </w:p>
              </w:tc>
              <w:tc>
                <w:tcPr>
                  <w:tcW w:w="0" w:type="auto"/>
                  <w:tcBorders>
                    <w:left w:val="single" w:color="auto" w:sz="2" w:space="0"/>
                  </w:tcBorders>
                  <w:vAlign w:val="center"/>
                </w:tcPr>
                <w:p>
                  <w:pPr>
                    <w:contextualSpacing/>
                    <w:rPr>
                      <w:szCs w:val="21"/>
                    </w:rPr>
                  </w:pPr>
                  <w:r>
                    <w:rPr>
                      <w:szCs w:val="21"/>
                    </w:rPr>
                    <w:t>2025</w:t>
                  </w:r>
                  <w:r>
                    <w:rPr>
                      <w:rFonts w:hint="eastAsia"/>
                      <w:szCs w:val="21"/>
                    </w:rPr>
                    <w:t>年全市</w:t>
                  </w:r>
                  <w:r>
                    <w:rPr>
                      <w:szCs w:val="21"/>
                    </w:rPr>
                    <w:t>PM</w:t>
                  </w:r>
                  <w:r>
                    <w:rPr>
                      <w:szCs w:val="21"/>
                      <w:vertAlign w:val="subscript"/>
                    </w:rPr>
                    <w:t>2.5</w:t>
                  </w:r>
                  <w:r>
                    <w:rPr>
                      <w:rFonts w:hint="eastAsia"/>
                      <w:szCs w:val="21"/>
                    </w:rPr>
                    <w:t>年均浓度达到</w:t>
                  </w:r>
                  <w:r>
                    <w:rPr>
                      <w:szCs w:val="21"/>
                    </w:rPr>
                    <w:t>35</w:t>
                  </w:r>
                  <w:r>
                    <w:rPr>
                      <w:rFonts w:hint="eastAsia"/>
                      <w:szCs w:val="21"/>
                    </w:rPr>
                    <w:t>微克</w:t>
                  </w:r>
                  <w:r>
                    <w:rPr>
                      <w:szCs w:val="21"/>
                    </w:rPr>
                    <w:t>/</w:t>
                  </w:r>
                  <w:r>
                    <w:rPr>
                      <w:rFonts w:hint="eastAsia"/>
                      <w:szCs w:val="21"/>
                    </w:rPr>
                    <w:t>立方米以下，城市空气质量优良天数比率达</w:t>
                  </w:r>
                  <w:r>
                    <w:rPr>
                      <w:szCs w:val="21"/>
                    </w:rPr>
                    <w:t>310</w:t>
                  </w:r>
                  <w:r>
                    <w:rPr>
                      <w:rFonts w:hint="eastAsia"/>
                      <w:szCs w:val="21"/>
                    </w:rPr>
                    <w:t>天以上，重度及以上污染天数实现基本消除。</w:t>
                  </w:r>
                </w:p>
              </w:tc>
              <w:tc>
                <w:tcPr>
                  <w:tcW w:w="0" w:type="auto"/>
                  <w:tcBorders>
                    <w:left w:val="single" w:color="auto" w:sz="2" w:space="0"/>
                    <w:right w:val="nil"/>
                  </w:tcBorders>
                  <w:vAlign w:val="center"/>
                </w:tcPr>
                <w:p>
                  <w:pPr>
                    <w:contextualSpacing/>
                    <w:jc w:val="center"/>
                    <w:rPr>
                      <w:szCs w:val="21"/>
                    </w:rPr>
                  </w:pPr>
                  <w:r>
                    <w:rPr>
                      <w:rFonts w:hint="eastAsia"/>
                      <w:szCs w:val="21"/>
                    </w:rPr>
                    <w:t>2</w:t>
                  </w:r>
                  <w:r>
                    <w:rPr>
                      <w:szCs w:val="21"/>
                    </w:rPr>
                    <w:t>022</w:t>
                  </w:r>
                  <w:r>
                    <w:rPr>
                      <w:rFonts w:hint="eastAsia"/>
                      <w:szCs w:val="21"/>
                    </w:rPr>
                    <w:t>年长春市P</w:t>
                  </w:r>
                  <w:r>
                    <w:rPr>
                      <w:szCs w:val="21"/>
                    </w:rPr>
                    <w:t>M</w:t>
                  </w:r>
                  <w:r>
                    <w:rPr>
                      <w:szCs w:val="21"/>
                      <w:vertAlign w:val="subscript"/>
                    </w:rPr>
                    <w:t>2.5</w:t>
                  </w:r>
                  <w:r>
                    <w:rPr>
                      <w:rFonts w:hint="eastAsia"/>
                      <w:szCs w:val="21"/>
                    </w:rPr>
                    <w:t>为2</w:t>
                  </w:r>
                  <w:r>
                    <w:rPr>
                      <w:szCs w:val="21"/>
                    </w:rPr>
                    <w:t>8µ</w:t>
                  </w:r>
                  <w:r>
                    <w:rPr>
                      <w:rFonts w:hint="eastAsia"/>
                      <w:szCs w:val="21"/>
                    </w:rPr>
                    <w:t>g</w:t>
                  </w:r>
                  <w:r>
                    <w:rPr>
                      <w:szCs w:val="21"/>
                    </w:rPr>
                    <w:t>/m</w:t>
                  </w:r>
                  <w:r>
                    <w:rPr>
                      <w:szCs w:val="21"/>
                      <w:vertAlign w:val="superscript"/>
                    </w:rPr>
                    <w:t>3</w:t>
                  </w:r>
                  <w:r>
                    <w:rPr>
                      <w:rFonts w:hint="eastAsia"/>
                      <w:szCs w:val="21"/>
                    </w:rPr>
                    <w:t>，</w:t>
                  </w:r>
                  <w:r>
                    <w:rPr>
                      <w:szCs w:val="21"/>
                    </w:rPr>
                    <w:t>环境空气优良天数比例</w:t>
                  </w:r>
                  <w:r>
                    <w:rPr>
                      <w:rFonts w:hint="eastAsia"/>
                      <w:szCs w:val="21"/>
                    </w:rPr>
                    <w:t>9</w:t>
                  </w:r>
                  <w:r>
                    <w:rPr>
                      <w:szCs w:val="21"/>
                    </w:rPr>
                    <w:t>2.1%</w:t>
                  </w:r>
                  <w:r>
                    <w:rPr>
                      <w:rFonts w:hint="eastAsia"/>
                      <w:szCs w:val="21"/>
                    </w:rPr>
                    <w:t>（3</w:t>
                  </w:r>
                  <w:r>
                    <w:rPr>
                      <w:szCs w:val="21"/>
                    </w:rPr>
                    <w:t>36</w:t>
                  </w:r>
                  <w:r>
                    <w:rPr>
                      <w:rFonts w:hint="eastAsia"/>
                      <w:szCs w:val="21"/>
                    </w:rPr>
                    <w:t>天），本项目废气经处理后排放浓度满足相关要求。污染物排放量较少，对大气环境影响较小。</w:t>
                  </w:r>
                </w:p>
              </w:tc>
              <w:tc>
                <w:tcPr>
                  <w:tcW w:w="0" w:type="auto"/>
                  <w:tcBorders>
                    <w:left w:val="single" w:color="auto" w:sz="2" w:space="0"/>
                    <w:right w:val="nil"/>
                  </w:tcBorders>
                  <w:vAlign w:val="center"/>
                </w:tcPr>
                <w:p>
                  <w:pPr>
                    <w:contextualSpacing/>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rPr>
                      <w:rFonts w:ascii="Times New Roman"/>
                      <w:szCs w:val="21"/>
                    </w:rPr>
                  </w:pPr>
                </w:p>
              </w:tc>
              <w:tc>
                <w:tcPr>
                  <w:tcW w:w="0" w:type="auto"/>
                  <w:tcBorders>
                    <w:left w:val="single" w:color="auto" w:sz="2" w:space="0"/>
                  </w:tcBorders>
                  <w:vAlign w:val="center"/>
                </w:tcPr>
                <w:p>
                  <w:pPr>
                    <w:contextualSpacing/>
                    <w:rPr>
                      <w:szCs w:val="21"/>
                    </w:rPr>
                  </w:pPr>
                  <w:r>
                    <w:rPr>
                      <w:szCs w:val="21"/>
                    </w:rPr>
                    <w:t>2025</w:t>
                  </w:r>
                  <w:r>
                    <w:rPr>
                      <w:rFonts w:hint="eastAsia"/>
                      <w:szCs w:val="21"/>
                    </w:rPr>
                    <w:t>年，长春地区水生态环境质量实现持续改善，全面消除</w:t>
                  </w:r>
                  <w:r>
                    <w:rPr>
                      <w:szCs w:val="21"/>
                    </w:rPr>
                    <w:t>劣Ⅴ类水体，地表水质量好于Ⅲ类水体比例达到31%以上，水生态功能初步恢复。石头口门水库、新立城水库、农安两家子水库等集中式饮用水水源地水质全部达到或优于Ⅲ类以上标</w:t>
                  </w:r>
                  <w:r>
                    <w:rPr>
                      <w:rFonts w:hint="eastAsia"/>
                      <w:szCs w:val="21"/>
                    </w:rPr>
                    <w:t>准。</w:t>
                  </w:r>
                </w:p>
              </w:tc>
              <w:tc>
                <w:tcPr>
                  <w:tcW w:w="0" w:type="auto"/>
                  <w:tcBorders>
                    <w:left w:val="single" w:color="auto" w:sz="2" w:space="0"/>
                    <w:right w:val="nil"/>
                  </w:tcBorders>
                  <w:vAlign w:val="center"/>
                </w:tcPr>
                <w:p>
                  <w:pPr>
                    <w:contextualSpacing/>
                    <w:jc w:val="center"/>
                    <w:rPr>
                      <w:szCs w:val="21"/>
                    </w:rPr>
                  </w:pPr>
                  <w:r>
                    <w:rPr>
                      <w:rFonts w:hint="eastAsia"/>
                      <w:szCs w:val="21"/>
                    </w:rPr>
                    <w:t>本项目不涉及集中式饮用水源地，根据“</w:t>
                  </w:r>
                  <w:r>
                    <w:rPr>
                      <w:szCs w:val="21"/>
                    </w:rPr>
                    <w:t>吉林省地表水国控断面水质月报</w:t>
                  </w:r>
                  <w:r>
                    <w:rPr>
                      <w:rFonts w:hint="eastAsia"/>
                      <w:szCs w:val="21"/>
                    </w:rPr>
                    <w:t>”可知，伊通河杨家崴子大坝断面6月份水质为</w:t>
                  </w:r>
                  <w:r>
                    <w:rPr>
                      <w:rFonts w:hint="eastAsia"/>
                      <w:color w:val="333333"/>
                    </w:rPr>
                    <w:t>劣</w:t>
                  </w: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r>
                    <w:rPr>
                      <w:rFonts w:hint="eastAsia"/>
                      <w:color w:val="333333"/>
                    </w:rPr>
                    <w:t>类；本项目锅炉废水为清净下水，排入</w:t>
                  </w:r>
                  <w:r>
                    <w:rPr>
                      <w:rFonts w:hint="eastAsia"/>
                      <w:bCs/>
                    </w:rPr>
                    <w:t>长春高新技术产业开发区北区污水处理厂处理达标后排入伊通河</w:t>
                  </w:r>
                </w:p>
              </w:tc>
              <w:tc>
                <w:tcPr>
                  <w:tcW w:w="0" w:type="auto"/>
                  <w:tcBorders>
                    <w:left w:val="single" w:color="auto" w:sz="2" w:space="0"/>
                    <w:right w:val="nil"/>
                  </w:tcBorders>
                  <w:vAlign w:val="center"/>
                </w:tcPr>
                <w:p>
                  <w:pPr>
                    <w:contextualSpacing/>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rPr>
                      <w:rFonts w:ascii="Times New Roman"/>
                      <w:szCs w:val="21"/>
                    </w:rPr>
                  </w:pPr>
                </w:p>
              </w:tc>
              <w:tc>
                <w:tcPr>
                  <w:tcW w:w="0" w:type="auto"/>
                  <w:tcBorders>
                    <w:left w:val="single" w:color="auto" w:sz="2" w:space="0"/>
                  </w:tcBorders>
                  <w:vAlign w:val="center"/>
                </w:tcPr>
                <w:p>
                  <w:pPr>
                    <w:contextualSpacing/>
                    <w:rPr>
                      <w:szCs w:val="21"/>
                    </w:rPr>
                  </w:pPr>
                  <w:r>
                    <w:rPr>
                      <w:szCs w:val="21"/>
                    </w:rPr>
                    <w:t>2025</w:t>
                  </w:r>
                  <w:r>
                    <w:rPr>
                      <w:rFonts w:hint="eastAsia"/>
                      <w:szCs w:val="21"/>
                    </w:rPr>
                    <w:t>年畜禽粪污综合利用率达到</w:t>
                  </w:r>
                  <w:r>
                    <w:rPr>
                      <w:szCs w:val="21"/>
                    </w:rPr>
                    <w:t>95%</w:t>
                  </w:r>
                  <w:r>
                    <w:rPr>
                      <w:rFonts w:hint="eastAsia"/>
                      <w:szCs w:val="21"/>
                    </w:rPr>
                    <w:t>。到</w:t>
                  </w:r>
                  <w:r>
                    <w:rPr>
                      <w:szCs w:val="21"/>
                    </w:rPr>
                    <w:t>2030</w:t>
                  </w:r>
                  <w:r>
                    <w:rPr>
                      <w:rFonts w:hint="eastAsia"/>
                      <w:szCs w:val="21"/>
                    </w:rPr>
                    <w:t>年，受污染耕地安全利用率达到</w:t>
                  </w:r>
                  <w:r>
                    <w:rPr>
                      <w:szCs w:val="21"/>
                    </w:rPr>
                    <w:t>95%</w:t>
                  </w:r>
                  <w:r>
                    <w:rPr>
                      <w:rFonts w:hint="eastAsia"/>
                      <w:szCs w:val="21"/>
                    </w:rPr>
                    <w:t>以上，污染地块安全利用率达到</w:t>
                  </w:r>
                  <w:r>
                    <w:rPr>
                      <w:szCs w:val="21"/>
                    </w:rPr>
                    <w:t>95%</w:t>
                  </w:r>
                  <w:r>
                    <w:rPr>
                      <w:rFonts w:hint="eastAsia"/>
                      <w:szCs w:val="21"/>
                    </w:rPr>
                    <w:t>以上。</w:t>
                  </w:r>
                </w:p>
              </w:tc>
              <w:tc>
                <w:tcPr>
                  <w:tcW w:w="0" w:type="auto"/>
                  <w:tcBorders>
                    <w:left w:val="single" w:color="auto" w:sz="2" w:space="0"/>
                    <w:right w:val="nil"/>
                  </w:tcBorders>
                  <w:vAlign w:val="center"/>
                </w:tcPr>
                <w:p>
                  <w:pPr>
                    <w:contextualSpacing/>
                    <w:jc w:val="center"/>
                    <w:rPr>
                      <w:szCs w:val="21"/>
                    </w:rPr>
                  </w:pPr>
                  <w:r>
                    <w:rPr>
                      <w:rFonts w:hint="eastAsia"/>
                      <w:szCs w:val="21"/>
                    </w:rPr>
                    <w:t>本项目不涉及</w:t>
                  </w:r>
                </w:p>
              </w:tc>
              <w:tc>
                <w:tcPr>
                  <w:tcW w:w="0" w:type="auto"/>
                  <w:tcBorders>
                    <w:left w:val="single" w:color="auto" w:sz="2" w:space="0"/>
                    <w:right w:val="nil"/>
                  </w:tcBorders>
                  <w:vAlign w:val="center"/>
                </w:tcPr>
                <w:p>
                  <w:pPr>
                    <w:contextualSpacing/>
                    <w:jc w:val="center"/>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restart"/>
                  <w:tcBorders>
                    <w:right w:val="single" w:color="auto" w:sz="2" w:space="0"/>
                  </w:tcBorders>
                  <w:vAlign w:val="center"/>
                </w:tcPr>
                <w:p>
                  <w:pPr>
                    <w:pStyle w:val="33"/>
                    <w:spacing w:before="24" w:after="24"/>
                    <w:contextualSpacing/>
                    <w:rPr>
                      <w:rFonts w:ascii="Times New Roman"/>
                      <w:szCs w:val="21"/>
                    </w:rPr>
                  </w:pPr>
                  <w:r>
                    <w:rPr>
                      <w:rFonts w:hint="eastAsia" w:ascii="Times New Roman"/>
                      <w:szCs w:val="21"/>
                    </w:rPr>
                    <w:t>污染物控制要求</w:t>
                  </w:r>
                </w:p>
              </w:tc>
              <w:tc>
                <w:tcPr>
                  <w:tcW w:w="0" w:type="auto"/>
                  <w:tcBorders>
                    <w:left w:val="single" w:color="auto" w:sz="2" w:space="0"/>
                  </w:tcBorders>
                  <w:vAlign w:val="center"/>
                </w:tcPr>
                <w:p>
                  <w:pPr>
                    <w:contextualSpacing/>
                    <w:rPr>
                      <w:szCs w:val="21"/>
                    </w:rPr>
                  </w:pPr>
                  <w:r>
                    <w:rPr>
                      <w:rFonts w:hint="eastAsia"/>
                      <w:szCs w:val="21"/>
                    </w:rPr>
                    <w:t>推进装机容量</w:t>
                  </w:r>
                  <w:r>
                    <w:rPr>
                      <w:szCs w:val="21"/>
                    </w:rPr>
                    <w:t>20</w:t>
                  </w:r>
                  <w:r>
                    <w:rPr>
                      <w:rFonts w:hint="eastAsia"/>
                      <w:szCs w:val="21"/>
                    </w:rPr>
                    <w:t>万千瓦以下燃煤火电机组的污染治理设施超低排放改造，推动单台容量</w:t>
                  </w:r>
                  <w:r>
                    <w:rPr>
                      <w:szCs w:val="21"/>
                    </w:rPr>
                    <w:t>25</w:t>
                  </w:r>
                  <w:r>
                    <w:rPr>
                      <w:rFonts w:hint="eastAsia"/>
                      <w:szCs w:val="21"/>
                    </w:rPr>
                    <w:t>兆瓦</w:t>
                  </w:r>
                  <w:r>
                    <w:rPr>
                      <w:szCs w:val="21"/>
                    </w:rPr>
                    <w:t>(35</w:t>
                  </w:r>
                  <w:r>
                    <w:rPr>
                      <w:rFonts w:hint="eastAsia"/>
                      <w:szCs w:val="21"/>
                    </w:rPr>
                    <w:t>蒸吨</w:t>
                  </w:r>
                  <w:r>
                    <w:rPr>
                      <w:szCs w:val="21"/>
                    </w:rPr>
                    <w:t>/</w:t>
                  </w:r>
                  <w:r>
                    <w:rPr>
                      <w:rFonts w:hint="eastAsia"/>
                      <w:szCs w:val="21"/>
                    </w:rPr>
                    <w:t>小时</w:t>
                  </w:r>
                  <w:r>
                    <w:rPr>
                      <w:szCs w:val="21"/>
                    </w:rPr>
                    <w:t>)</w:t>
                  </w:r>
                  <w:r>
                    <w:rPr>
                      <w:rFonts w:hint="eastAsia"/>
                      <w:szCs w:val="21"/>
                    </w:rPr>
                    <w:t>及以上燃煤供热锅炉实施超低排放改造。</w:t>
                  </w:r>
                </w:p>
              </w:tc>
              <w:tc>
                <w:tcPr>
                  <w:tcW w:w="0" w:type="auto"/>
                  <w:tcBorders>
                    <w:left w:val="single" w:color="auto" w:sz="2" w:space="0"/>
                    <w:right w:val="nil"/>
                  </w:tcBorders>
                  <w:vAlign w:val="center"/>
                </w:tcPr>
                <w:p>
                  <w:pPr>
                    <w:contextualSpacing/>
                    <w:jc w:val="center"/>
                    <w:rPr>
                      <w:szCs w:val="21"/>
                    </w:rPr>
                  </w:pPr>
                  <w:r>
                    <w:rPr>
                      <w:rFonts w:hint="eastAsia"/>
                      <w:szCs w:val="21"/>
                    </w:rPr>
                    <w:t>本项目不新建燃煤锅炉，冬季采暖采用燃气热水锅炉</w:t>
                  </w:r>
                </w:p>
              </w:tc>
              <w:tc>
                <w:tcPr>
                  <w:tcW w:w="0" w:type="auto"/>
                  <w:tcBorders>
                    <w:left w:val="single" w:color="auto" w:sz="2" w:space="0"/>
                    <w:right w:val="nil"/>
                  </w:tcBorders>
                  <w:vAlign w:val="center"/>
                </w:tcPr>
                <w:p>
                  <w:pPr>
                    <w:contextualSpacing/>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jc w:val="both"/>
                    <w:rPr>
                      <w:rFonts w:ascii="Times New Roman"/>
                      <w:szCs w:val="21"/>
                    </w:rPr>
                  </w:pPr>
                </w:p>
              </w:tc>
              <w:tc>
                <w:tcPr>
                  <w:tcW w:w="0" w:type="auto"/>
                  <w:tcBorders>
                    <w:left w:val="single" w:color="auto" w:sz="2" w:space="0"/>
                  </w:tcBorders>
                  <w:vAlign w:val="center"/>
                </w:tcPr>
                <w:p>
                  <w:pPr>
                    <w:contextualSpacing/>
                    <w:rPr>
                      <w:szCs w:val="21"/>
                    </w:rPr>
                  </w:pPr>
                  <w:r>
                    <w:rPr>
                      <w:rFonts w:hint="eastAsia"/>
                      <w:szCs w:val="21"/>
                    </w:rPr>
                    <w:t>长春市新建项目主要污染物全面执行大气污染物特别排放限值，执行期限根据大气环境质量状况和相关文件要求确定。</w:t>
                  </w:r>
                </w:p>
              </w:tc>
              <w:tc>
                <w:tcPr>
                  <w:tcW w:w="0" w:type="auto"/>
                  <w:tcBorders>
                    <w:left w:val="single" w:color="auto" w:sz="2" w:space="0"/>
                    <w:right w:val="nil"/>
                  </w:tcBorders>
                  <w:vAlign w:val="center"/>
                </w:tcPr>
                <w:p>
                  <w:pPr>
                    <w:contextualSpacing/>
                    <w:jc w:val="center"/>
                    <w:rPr>
                      <w:szCs w:val="21"/>
                    </w:rPr>
                  </w:pPr>
                  <w:r>
                    <w:rPr>
                      <w:rFonts w:hint="eastAsia"/>
                      <w:szCs w:val="21"/>
                    </w:rPr>
                    <w:t>本项目废气污染物执行特别排放限值。</w:t>
                  </w:r>
                </w:p>
              </w:tc>
              <w:tc>
                <w:tcPr>
                  <w:tcW w:w="0" w:type="auto"/>
                  <w:tcBorders>
                    <w:left w:val="single" w:color="auto" w:sz="2" w:space="0"/>
                    <w:right w:val="nil"/>
                  </w:tcBorders>
                  <w:vAlign w:val="center"/>
                </w:tcPr>
                <w:p>
                  <w:pPr>
                    <w:contextualSpacing/>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jc w:val="both"/>
                    <w:rPr>
                      <w:rFonts w:ascii="Times New Roman"/>
                      <w:szCs w:val="21"/>
                    </w:rPr>
                  </w:pPr>
                </w:p>
              </w:tc>
              <w:tc>
                <w:tcPr>
                  <w:tcW w:w="0" w:type="auto"/>
                  <w:tcBorders>
                    <w:left w:val="single" w:color="auto" w:sz="2" w:space="0"/>
                  </w:tcBorders>
                  <w:vAlign w:val="center"/>
                </w:tcPr>
                <w:p>
                  <w:pPr>
                    <w:contextualSpacing/>
                    <w:rPr>
                      <w:szCs w:val="21"/>
                    </w:rPr>
                  </w:pPr>
                  <w:r>
                    <w:rPr>
                      <w:rFonts w:hint="eastAsia"/>
                      <w:szCs w:val="21"/>
                    </w:rPr>
                    <w:t>深入推进石化、化工、工业涂装、包装印刷和油品储运销等行业挥发性有机物深度治理，加强挥发性有机物高效收集治理设施建设，实现排气筒与厂界双达标。加快推进挥发性有机物排放重点企业、产业集中园区治理和在线监控设施建设</w:t>
                  </w:r>
                  <w:r>
                    <w:rPr>
                      <w:szCs w:val="21"/>
                    </w:rPr>
                    <w:t>,</w:t>
                  </w:r>
                  <w:r>
                    <w:rPr>
                      <w:rFonts w:hint="eastAsia"/>
                      <w:szCs w:val="21"/>
                    </w:rPr>
                    <w:t>推动挥发性有机物产品源头替代。</w:t>
                  </w:r>
                </w:p>
              </w:tc>
              <w:tc>
                <w:tcPr>
                  <w:tcW w:w="0" w:type="auto"/>
                  <w:tcBorders>
                    <w:left w:val="single" w:color="auto" w:sz="2" w:space="0"/>
                    <w:right w:val="nil"/>
                  </w:tcBorders>
                  <w:vAlign w:val="center"/>
                </w:tcPr>
                <w:p>
                  <w:pPr>
                    <w:contextualSpacing/>
                    <w:jc w:val="center"/>
                    <w:rPr>
                      <w:szCs w:val="21"/>
                    </w:rPr>
                  </w:pPr>
                  <w:r>
                    <w:rPr>
                      <w:rFonts w:hint="eastAsia"/>
                      <w:szCs w:val="21"/>
                    </w:rPr>
                    <w:t>本项目不属于石化、化工、工业涂装、包装印刷和油品储运销等行业</w:t>
                  </w:r>
                </w:p>
              </w:tc>
              <w:tc>
                <w:tcPr>
                  <w:tcW w:w="0" w:type="auto"/>
                  <w:tcBorders>
                    <w:left w:val="single" w:color="auto" w:sz="2" w:space="0"/>
                    <w:right w:val="nil"/>
                  </w:tcBorders>
                  <w:vAlign w:val="center"/>
                </w:tcPr>
                <w:p>
                  <w:pPr>
                    <w:contextualSpacing/>
                    <w:jc w:val="center"/>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jc w:val="both"/>
                    <w:rPr>
                      <w:rFonts w:ascii="Times New Roman"/>
                      <w:szCs w:val="21"/>
                    </w:rPr>
                  </w:pPr>
                </w:p>
              </w:tc>
              <w:tc>
                <w:tcPr>
                  <w:tcW w:w="0" w:type="auto"/>
                  <w:tcBorders>
                    <w:left w:val="single" w:color="auto" w:sz="2" w:space="0"/>
                  </w:tcBorders>
                  <w:vAlign w:val="center"/>
                </w:tcPr>
                <w:p>
                  <w:pPr>
                    <w:contextualSpacing/>
                    <w:rPr>
                      <w:szCs w:val="21"/>
                    </w:rPr>
                  </w:pPr>
                  <w:r>
                    <w:rPr>
                      <w:rFonts w:hint="eastAsia"/>
                      <w:szCs w:val="21"/>
                    </w:rPr>
                    <w:t>因地制宜推进清洁供暖，减少民用散烧煤。全面摸清城中村、城乡接合部散煤底数，制定清洁取暖散煤替代方案。</w:t>
                  </w:r>
                </w:p>
              </w:tc>
              <w:tc>
                <w:tcPr>
                  <w:tcW w:w="0" w:type="auto"/>
                  <w:tcBorders>
                    <w:left w:val="single" w:color="auto" w:sz="2" w:space="0"/>
                    <w:right w:val="nil"/>
                  </w:tcBorders>
                  <w:vAlign w:val="center"/>
                </w:tcPr>
                <w:p>
                  <w:pPr>
                    <w:contextualSpacing/>
                    <w:jc w:val="center"/>
                    <w:rPr>
                      <w:szCs w:val="21"/>
                    </w:rPr>
                  </w:pPr>
                  <w:r>
                    <w:rPr>
                      <w:rFonts w:hint="eastAsia"/>
                      <w:szCs w:val="21"/>
                    </w:rPr>
                    <w:t>本项目冬季取暖采用燃气锅炉</w:t>
                  </w:r>
                </w:p>
              </w:tc>
              <w:tc>
                <w:tcPr>
                  <w:tcW w:w="0" w:type="auto"/>
                  <w:tcBorders>
                    <w:left w:val="single" w:color="auto" w:sz="2" w:space="0"/>
                    <w:right w:val="nil"/>
                  </w:tcBorders>
                  <w:vAlign w:val="center"/>
                </w:tcPr>
                <w:p>
                  <w:pPr>
                    <w:contextualSpacing/>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jc w:val="both"/>
                    <w:rPr>
                      <w:rFonts w:ascii="Times New Roman"/>
                      <w:szCs w:val="21"/>
                    </w:rPr>
                  </w:pPr>
                </w:p>
              </w:tc>
              <w:tc>
                <w:tcPr>
                  <w:tcW w:w="0" w:type="auto"/>
                  <w:tcBorders>
                    <w:left w:val="single" w:color="auto" w:sz="2" w:space="0"/>
                  </w:tcBorders>
                  <w:vAlign w:val="center"/>
                </w:tcPr>
                <w:p>
                  <w:pPr>
                    <w:contextualSpacing/>
                    <w:rPr>
                      <w:szCs w:val="21"/>
                    </w:rPr>
                  </w:pPr>
                  <w:r>
                    <w:rPr>
                      <w:rFonts w:hint="eastAsia"/>
                      <w:szCs w:val="21"/>
                    </w:rPr>
                    <w:t>强化源头防控，鼓励企业采用先进适用的清洁生产原料、技术、工艺和装备。对排放强度高的重污染行业实施清洁化改造。</w:t>
                  </w:r>
                </w:p>
              </w:tc>
              <w:tc>
                <w:tcPr>
                  <w:tcW w:w="0" w:type="auto"/>
                  <w:tcBorders>
                    <w:left w:val="single" w:color="auto" w:sz="2" w:space="0"/>
                    <w:right w:val="nil"/>
                  </w:tcBorders>
                  <w:vAlign w:val="center"/>
                </w:tcPr>
                <w:p>
                  <w:pPr>
                    <w:contextualSpacing/>
                    <w:jc w:val="center"/>
                    <w:rPr>
                      <w:szCs w:val="21"/>
                    </w:rPr>
                  </w:pPr>
                  <w:r>
                    <w:rPr>
                      <w:rFonts w:hint="eastAsia"/>
                      <w:szCs w:val="21"/>
                    </w:rPr>
                    <w:t>本项目使用清洁生产原料、技术、工艺和设备，污染物排放强度较低</w:t>
                  </w:r>
                </w:p>
              </w:tc>
              <w:tc>
                <w:tcPr>
                  <w:tcW w:w="0" w:type="auto"/>
                  <w:tcBorders>
                    <w:left w:val="single" w:color="auto" w:sz="2" w:space="0"/>
                    <w:right w:val="nil"/>
                  </w:tcBorders>
                  <w:vAlign w:val="center"/>
                </w:tcPr>
                <w:p>
                  <w:pPr>
                    <w:contextualSpacing/>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jc w:val="both"/>
                    <w:rPr>
                      <w:rFonts w:ascii="Times New Roman"/>
                      <w:szCs w:val="21"/>
                    </w:rPr>
                  </w:pPr>
                </w:p>
              </w:tc>
              <w:tc>
                <w:tcPr>
                  <w:tcW w:w="0" w:type="auto"/>
                  <w:tcBorders>
                    <w:left w:val="single" w:color="auto" w:sz="2" w:space="0"/>
                  </w:tcBorders>
                  <w:vAlign w:val="center"/>
                </w:tcPr>
                <w:p>
                  <w:pPr>
                    <w:contextualSpacing/>
                    <w:rPr>
                      <w:szCs w:val="21"/>
                    </w:rPr>
                  </w:pPr>
                  <w:r>
                    <w:rPr>
                      <w:rFonts w:hint="eastAsia"/>
                      <w:szCs w:val="21"/>
                    </w:rPr>
                    <w:t>全面推进污泥处理设施能力建设，现有设施能力不足或工艺落后的要进行扩建、改建，保障污泥无害化处理处置达到国家要求。因地制宜推进污泥资源化利用。</w:t>
                  </w:r>
                </w:p>
              </w:tc>
              <w:tc>
                <w:tcPr>
                  <w:tcW w:w="0" w:type="auto"/>
                  <w:tcBorders>
                    <w:left w:val="single" w:color="auto" w:sz="2" w:space="0"/>
                    <w:right w:val="nil"/>
                  </w:tcBorders>
                  <w:vAlign w:val="center"/>
                </w:tcPr>
                <w:p>
                  <w:pPr>
                    <w:contextualSpacing/>
                    <w:jc w:val="center"/>
                    <w:rPr>
                      <w:szCs w:val="21"/>
                    </w:rPr>
                  </w:pPr>
                  <w:r>
                    <w:rPr>
                      <w:rFonts w:hint="eastAsia"/>
                      <w:szCs w:val="21"/>
                    </w:rPr>
                    <w:t>本项目不涉及。</w:t>
                  </w:r>
                </w:p>
              </w:tc>
              <w:tc>
                <w:tcPr>
                  <w:tcW w:w="0" w:type="auto"/>
                  <w:tcBorders>
                    <w:left w:val="single" w:color="auto" w:sz="2" w:space="0"/>
                    <w:right w:val="nil"/>
                  </w:tcBorders>
                  <w:vAlign w:val="center"/>
                </w:tcPr>
                <w:p>
                  <w:pPr>
                    <w:contextualSpacing/>
                    <w:jc w:val="center"/>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0" w:type="auto"/>
                  <w:vMerge w:val="continue"/>
                  <w:tcBorders>
                    <w:right w:val="single" w:color="auto" w:sz="2" w:space="0"/>
                  </w:tcBorders>
                  <w:vAlign w:val="center"/>
                </w:tcPr>
                <w:p>
                  <w:pPr>
                    <w:pStyle w:val="33"/>
                    <w:spacing w:before="24" w:after="24"/>
                    <w:contextualSpacing/>
                    <w:jc w:val="both"/>
                    <w:rPr>
                      <w:rFonts w:ascii="Times New Roman"/>
                      <w:szCs w:val="21"/>
                    </w:rPr>
                  </w:pPr>
                </w:p>
              </w:tc>
              <w:tc>
                <w:tcPr>
                  <w:tcW w:w="0" w:type="auto"/>
                  <w:tcBorders>
                    <w:left w:val="single" w:color="auto" w:sz="2" w:space="0"/>
                  </w:tcBorders>
                  <w:vAlign w:val="center"/>
                </w:tcPr>
                <w:p>
                  <w:pPr>
                    <w:contextualSpacing/>
                    <w:rPr>
                      <w:szCs w:val="21"/>
                    </w:rPr>
                  </w:pPr>
                  <w:r>
                    <w:rPr>
                      <w:rFonts w:hint="eastAsia"/>
                      <w:szCs w:val="21"/>
                    </w:rPr>
                    <w:t>推进黑土地保护治理工程的进一步实施，总结公主岭市、农安县等试点县（市、区）工作经验，复制和推广黑土地保护工作的技术模式和工作机制，开展土壤改良、土壤培肥、增施有机肥、耕地养护、轮作休耕、秸秆深翻还田等耕作技术工作，全面推进黑土地保护整治行动。</w:t>
                  </w:r>
                </w:p>
              </w:tc>
              <w:tc>
                <w:tcPr>
                  <w:tcW w:w="0" w:type="auto"/>
                  <w:tcBorders>
                    <w:left w:val="single" w:color="auto" w:sz="2" w:space="0"/>
                    <w:right w:val="nil"/>
                  </w:tcBorders>
                  <w:vAlign w:val="center"/>
                </w:tcPr>
                <w:p>
                  <w:pPr>
                    <w:contextualSpacing/>
                    <w:jc w:val="center"/>
                    <w:rPr>
                      <w:szCs w:val="21"/>
                    </w:rPr>
                  </w:pPr>
                  <w:r>
                    <w:rPr>
                      <w:rFonts w:hint="eastAsia"/>
                      <w:szCs w:val="21"/>
                    </w:rPr>
                    <w:t>本项目在现有厂区建设，不新增占地，不涉及黑土地、农田等。</w:t>
                  </w:r>
                </w:p>
              </w:tc>
              <w:tc>
                <w:tcPr>
                  <w:tcW w:w="0" w:type="auto"/>
                  <w:tcBorders>
                    <w:left w:val="single" w:color="auto" w:sz="2" w:space="0"/>
                    <w:right w:val="nil"/>
                  </w:tcBorders>
                  <w:vAlign w:val="center"/>
                </w:tcPr>
                <w:p>
                  <w:pPr>
                    <w:contextualSpacing/>
                    <w:jc w:val="center"/>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tcBorders>
                    <w:left w:val="nil"/>
                  </w:tcBorders>
                  <w:vAlign w:val="center"/>
                </w:tcPr>
                <w:p>
                  <w:pPr>
                    <w:autoSpaceDE w:val="0"/>
                    <w:autoSpaceDN w:val="0"/>
                    <w:adjustRightInd w:val="0"/>
                    <w:snapToGrid w:val="0"/>
                    <w:jc w:val="center"/>
                    <w:rPr>
                      <w:szCs w:val="21"/>
                    </w:rPr>
                  </w:pPr>
                  <w:r>
                    <w:rPr>
                      <w:rFonts w:hint="eastAsia"/>
                      <w:szCs w:val="21"/>
                    </w:rPr>
                    <w:t>环境风险防控</w:t>
                  </w:r>
                </w:p>
              </w:tc>
              <w:tc>
                <w:tcPr>
                  <w:tcW w:w="0" w:type="auto"/>
                  <w:gridSpan w:val="2"/>
                  <w:vAlign w:val="center"/>
                </w:tcPr>
                <w:p>
                  <w:pPr>
                    <w:pStyle w:val="33"/>
                    <w:spacing w:before="24" w:after="24"/>
                    <w:contextualSpacing/>
                    <w:jc w:val="both"/>
                    <w:rPr>
                      <w:rFonts w:ascii="Times New Roman"/>
                      <w:szCs w:val="21"/>
                    </w:rPr>
                  </w:pPr>
                  <w:r>
                    <w:rPr>
                      <w:rFonts w:hint="eastAsia" w:ascii="Times New Roman"/>
                      <w:szCs w:val="21"/>
                    </w:rPr>
                    <w:t>加强高风险企业环境风险管理，健全企业应急防范体系，在重点化工园区推动健全完善三级应急防控体系，有效防控突发环境事件。</w:t>
                  </w:r>
                </w:p>
              </w:tc>
              <w:tc>
                <w:tcPr>
                  <w:tcW w:w="0" w:type="auto"/>
                  <w:tcBorders>
                    <w:right w:val="nil"/>
                  </w:tcBorders>
                  <w:vAlign w:val="center"/>
                </w:tcPr>
                <w:p>
                  <w:pPr>
                    <w:pStyle w:val="33"/>
                    <w:spacing w:before="24" w:after="24"/>
                    <w:contextualSpacing/>
                    <w:rPr>
                      <w:rFonts w:ascii="Times New Roman"/>
                      <w:szCs w:val="21"/>
                    </w:rPr>
                  </w:pPr>
                  <w:r>
                    <w:rPr>
                      <w:rFonts w:hint="eastAsia" w:ascii="Times New Roman"/>
                      <w:szCs w:val="21"/>
                    </w:rPr>
                    <w:t>本项目不属于高风险企业</w:t>
                  </w:r>
                </w:p>
              </w:tc>
              <w:tc>
                <w:tcPr>
                  <w:tcW w:w="0" w:type="auto"/>
                  <w:tcBorders>
                    <w:right w:val="nil"/>
                  </w:tcBorders>
                  <w:vAlign w:val="center"/>
                </w:tcPr>
                <w:p>
                  <w:pPr>
                    <w:pStyle w:val="33"/>
                    <w:spacing w:before="24" w:after="24"/>
                    <w:contextualSpacing/>
                    <w:rPr>
                      <w:rFonts w:ascii="Times New Roman"/>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nil"/>
                  </w:tcBorders>
                  <w:vAlign w:val="center"/>
                </w:tcPr>
                <w:p>
                  <w:pPr>
                    <w:autoSpaceDE w:val="0"/>
                    <w:autoSpaceDN w:val="0"/>
                    <w:adjustRightInd w:val="0"/>
                    <w:snapToGrid w:val="0"/>
                    <w:jc w:val="center"/>
                    <w:rPr>
                      <w:szCs w:val="21"/>
                    </w:rPr>
                  </w:pPr>
                  <w:r>
                    <w:rPr>
                      <w:rFonts w:hint="eastAsia"/>
                      <w:szCs w:val="21"/>
                    </w:rPr>
                    <w:t>资源利用要求</w:t>
                  </w:r>
                </w:p>
              </w:tc>
              <w:tc>
                <w:tcPr>
                  <w:tcW w:w="0" w:type="auto"/>
                  <w:tcBorders>
                    <w:right w:val="single" w:color="auto" w:sz="2" w:space="0"/>
                  </w:tcBorders>
                  <w:vAlign w:val="center"/>
                </w:tcPr>
                <w:p>
                  <w:pPr>
                    <w:pStyle w:val="33"/>
                    <w:spacing w:before="24" w:after="24"/>
                    <w:contextualSpacing/>
                    <w:rPr>
                      <w:rFonts w:ascii="Times New Roman"/>
                      <w:szCs w:val="21"/>
                    </w:rPr>
                  </w:pPr>
                  <w:r>
                    <w:rPr>
                      <w:rFonts w:hint="eastAsia" w:ascii="Times New Roman"/>
                      <w:szCs w:val="21"/>
                    </w:rPr>
                    <w:t>水资源</w:t>
                  </w:r>
                </w:p>
              </w:tc>
              <w:tc>
                <w:tcPr>
                  <w:tcW w:w="0" w:type="auto"/>
                  <w:tcBorders>
                    <w:left w:val="single" w:color="auto" w:sz="2" w:space="0"/>
                  </w:tcBorders>
                  <w:vAlign w:val="center"/>
                </w:tcPr>
                <w:p>
                  <w:pPr>
                    <w:pStyle w:val="33"/>
                    <w:spacing w:before="24" w:after="24"/>
                    <w:contextualSpacing/>
                    <w:jc w:val="both"/>
                    <w:rPr>
                      <w:rFonts w:ascii="Times New Roman"/>
                      <w:szCs w:val="21"/>
                    </w:rPr>
                  </w:pPr>
                  <w:r>
                    <w:rPr>
                      <w:rFonts w:ascii="Times New Roman"/>
                      <w:szCs w:val="21"/>
                    </w:rPr>
                    <w:t>2025</w:t>
                  </w:r>
                  <w:r>
                    <w:rPr>
                      <w:rFonts w:hint="eastAsia" w:ascii="Times New Roman"/>
                      <w:szCs w:val="21"/>
                    </w:rPr>
                    <w:t>年用水量控制在</w:t>
                  </w:r>
                  <w:r>
                    <w:rPr>
                      <w:rFonts w:ascii="Times New Roman"/>
                      <w:szCs w:val="21"/>
                    </w:rPr>
                    <w:t>31.95</w:t>
                  </w:r>
                  <w:r>
                    <w:rPr>
                      <w:rFonts w:hint="eastAsia" w:ascii="Times New Roman"/>
                      <w:szCs w:val="21"/>
                    </w:rPr>
                    <w:t>亿立方米内，</w:t>
                  </w:r>
                  <w:r>
                    <w:rPr>
                      <w:rFonts w:ascii="Times New Roman"/>
                      <w:szCs w:val="21"/>
                    </w:rPr>
                    <w:t>2035</w:t>
                  </w:r>
                  <w:r>
                    <w:rPr>
                      <w:rFonts w:hint="eastAsia" w:ascii="Times New Roman"/>
                      <w:szCs w:val="21"/>
                    </w:rPr>
                    <w:t>年用水量控制在</w:t>
                  </w:r>
                  <w:r>
                    <w:rPr>
                      <w:rFonts w:ascii="Times New Roman"/>
                      <w:szCs w:val="21"/>
                    </w:rPr>
                    <w:t>34.53</w:t>
                  </w:r>
                  <w:r>
                    <w:rPr>
                      <w:rFonts w:hint="eastAsia" w:ascii="Times New Roman"/>
                      <w:szCs w:val="21"/>
                    </w:rPr>
                    <w:t>亿立方米内。</w:t>
                  </w:r>
                </w:p>
              </w:tc>
              <w:tc>
                <w:tcPr>
                  <w:tcW w:w="0" w:type="auto"/>
                  <w:tcBorders>
                    <w:left w:val="single" w:color="auto" w:sz="2" w:space="0"/>
                    <w:right w:val="nil"/>
                  </w:tcBorders>
                  <w:vAlign w:val="center"/>
                </w:tcPr>
                <w:p>
                  <w:pPr>
                    <w:pStyle w:val="33"/>
                    <w:wordWrap w:val="0"/>
                    <w:spacing w:before="24" w:after="24"/>
                    <w:contextualSpacing/>
                    <w:rPr>
                      <w:rFonts w:ascii="Times New Roman"/>
                      <w:szCs w:val="21"/>
                    </w:rPr>
                  </w:pPr>
                  <w:r>
                    <w:rPr>
                      <w:rFonts w:hint="eastAsia"/>
                      <w:szCs w:val="21"/>
                    </w:rPr>
                    <w:t>本项目新鲜水总用水量为</w:t>
                  </w:r>
                  <w:r>
                    <w:rPr>
                      <w:rFonts w:ascii="Times New Roman"/>
                      <w:szCs w:val="21"/>
                    </w:rPr>
                    <w:t>166.38m</w:t>
                  </w:r>
                  <w:r>
                    <w:rPr>
                      <w:rFonts w:ascii="Times New Roman"/>
                      <w:szCs w:val="21"/>
                      <w:vertAlign w:val="superscript"/>
                    </w:rPr>
                    <w:t>3</w:t>
                  </w:r>
                  <w:r>
                    <w:rPr>
                      <w:rFonts w:ascii="Times New Roman"/>
                      <w:szCs w:val="21"/>
                    </w:rPr>
                    <w:t>/a</w:t>
                  </w:r>
                  <w:r>
                    <w:rPr>
                      <w:rFonts w:hint="eastAsia" w:ascii="Times New Roman"/>
                      <w:szCs w:val="21"/>
                    </w:rPr>
                    <w:t>，不会突破水资源利用上限</w:t>
                  </w:r>
                </w:p>
              </w:tc>
              <w:tc>
                <w:tcPr>
                  <w:tcW w:w="0" w:type="auto"/>
                  <w:tcBorders>
                    <w:left w:val="single" w:color="auto" w:sz="2" w:space="0"/>
                    <w:right w:val="nil"/>
                  </w:tcBorders>
                  <w:vAlign w:val="center"/>
                </w:tcPr>
                <w:p>
                  <w:pPr>
                    <w:pStyle w:val="33"/>
                    <w:spacing w:before="24" w:after="24"/>
                    <w:contextualSpacing/>
                    <w:rPr>
                      <w:rFonts w:ascii="Times New Roman"/>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vMerge w:val="continue"/>
                  <w:tcBorders>
                    <w:left w:val="nil"/>
                  </w:tcBorders>
                  <w:vAlign w:val="center"/>
                </w:tcPr>
                <w:p>
                  <w:pPr>
                    <w:autoSpaceDE w:val="0"/>
                    <w:autoSpaceDN w:val="0"/>
                    <w:adjustRightInd w:val="0"/>
                    <w:snapToGrid w:val="0"/>
                    <w:rPr>
                      <w:szCs w:val="21"/>
                    </w:rPr>
                  </w:pPr>
                </w:p>
              </w:tc>
              <w:tc>
                <w:tcPr>
                  <w:tcW w:w="0" w:type="auto"/>
                  <w:tcBorders>
                    <w:right w:val="single" w:color="auto" w:sz="2" w:space="0"/>
                  </w:tcBorders>
                  <w:vAlign w:val="center"/>
                </w:tcPr>
                <w:p>
                  <w:pPr>
                    <w:autoSpaceDE w:val="0"/>
                    <w:autoSpaceDN w:val="0"/>
                    <w:adjustRightInd w:val="0"/>
                    <w:snapToGrid w:val="0"/>
                    <w:jc w:val="center"/>
                    <w:rPr>
                      <w:szCs w:val="21"/>
                    </w:rPr>
                  </w:pPr>
                  <w:r>
                    <w:rPr>
                      <w:rFonts w:hint="eastAsia"/>
                      <w:szCs w:val="21"/>
                    </w:rPr>
                    <w:t>土地资源</w:t>
                  </w:r>
                </w:p>
              </w:tc>
              <w:tc>
                <w:tcPr>
                  <w:tcW w:w="0" w:type="auto"/>
                  <w:tcBorders>
                    <w:left w:val="single" w:color="auto" w:sz="2" w:space="0"/>
                  </w:tcBorders>
                  <w:vAlign w:val="center"/>
                </w:tcPr>
                <w:p>
                  <w:pPr>
                    <w:autoSpaceDE w:val="0"/>
                    <w:autoSpaceDN w:val="0"/>
                    <w:adjustRightInd w:val="0"/>
                    <w:snapToGrid w:val="0"/>
                    <w:rPr>
                      <w:szCs w:val="21"/>
                    </w:rPr>
                  </w:pPr>
                  <w:r>
                    <w:rPr>
                      <w:szCs w:val="21"/>
                    </w:rPr>
                    <w:t>2025</w:t>
                  </w:r>
                  <w:r>
                    <w:rPr>
                      <w:rFonts w:hint="eastAsia"/>
                      <w:szCs w:val="21"/>
                    </w:rPr>
                    <w:t>年耕地保有量、基本农田保护面积分别不得低于</w:t>
                  </w:r>
                  <w:r>
                    <w:rPr>
                      <w:szCs w:val="21"/>
                    </w:rPr>
                    <w:t>167.34</w:t>
                  </w:r>
                  <w:r>
                    <w:rPr>
                      <w:rFonts w:hint="eastAsia"/>
                      <w:szCs w:val="21"/>
                    </w:rPr>
                    <w:t>万公顷、</w:t>
                  </w:r>
                  <w:r>
                    <w:rPr>
                      <w:szCs w:val="21"/>
                    </w:rPr>
                    <w:t>143.93</w:t>
                  </w:r>
                  <w:r>
                    <w:rPr>
                      <w:rFonts w:hint="eastAsia"/>
                      <w:szCs w:val="21"/>
                    </w:rPr>
                    <w:t>万公顷；建设用地总规模、城乡建设用地规模不突破市定指标。</w:t>
                  </w:r>
                </w:p>
              </w:tc>
              <w:tc>
                <w:tcPr>
                  <w:tcW w:w="0" w:type="auto"/>
                  <w:tcBorders>
                    <w:left w:val="single" w:color="auto" w:sz="2" w:space="0"/>
                    <w:right w:val="nil"/>
                  </w:tcBorders>
                  <w:vAlign w:val="center"/>
                </w:tcPr>
                <w:p>
                  <w:pPr>
                    <w:autoSpaceDE w:val="0"/>
                    <w:autoSpaceDN w:val="0"/>
                    <w:adjustRightInd w:val="0"/>
                    <w:snapToGrid w:val="0"/>
                    <w:jc w:val="center"/>
                    <w:rPr>
                      <w:szCs w:val="21"/>
                    </w:rPr>
                  </w:pPr>
                  <w:r>
                    <w:rPr>
                      <w:rFonts w:hint="eastAsia"/>
                      <w:szCs w:val="21"/>
                    </w:rPr>
                    <w:t>本项目在现有厂区建设，不涉及新增占地，不涉及耕地和基本农田。</w:t>
                  </w:r>
                </w:p>
              </w:tc>
              <w:tc>
                <w:tcPr>
                  <w:tcW w:w="0" w:type="auto"/>
                  <w:tcBorders>
                    <w:left w:val="single" w:color="auto" w:sz="2" w:space="0"/>
                    <w:right w:val="nil"/>
                  </w:tcBorders>
                  <w:vAlign w:val="center"/>
                </w:tcPr>
                <w:p>
                  <w:pPr>
                    <w:autoSpaceDE w:val="0"/>
                    <w:autoSpaceDN w:val="0"/>
                    <w:adjustRightInd w:val="0"/>
                    <w:snapToGrid w:val="0"/>
                    <w:jc w:val="center"/>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nil"/>
                  </w:tcBorders>
                  <w:vAlign w:val="center"/>
                </w:tcPr>
                <w:p>
                  <w:pPr>
                    <w:autoSpaceDE w:val="0"/>
                    <w:autoSpaceDN w:val="0"/>
                    <w:adjustRightInd w:val="0"/>
                    <w:snapToGrid w:val="0"/>
                    <w:rPr>
                      <w:szCs w:val="21"/>
                    </w:rPr>
                  </w:pPr>
                </w:p>
              </w:tc>
              <w:tc>
                <w:tcPr>
                  <w:tcW w:w="0" w:type="auto"/>
                  <w:tcBorders>
                    <w:right w:val="single" w:color="auto" w:sz="2" w:space="0"/>
                  </w:tcBorders>
                  <w:vAlign w:val="center"/>
                </w:tcPr>
                <w:p>
                  <w:pPr>
                    <w:autoSpaceDE w:val="0"/>
                    <w:autoSpaceDN w:val="0"/>
                    <w:adjustRightInd w:val="0"/>
                    <w:snapToGrid w:val="0"/>
                    <w:jc w:val="center"/>
                    <w:rPr>
                      <w:szCs w:val="21"/>
                    </w:rPr>
                  </w:pPr>
                  <w:r>
                    <w:rPr>
                      <w:rFonts w:hint="eastAsia"/>
                      <w:szCs w:val="21"/>
                    </w:rPr>
                    <w:t>能源</w:t>
                  </w:r>
                </w:p>
              </w:tc>
              <w:tc>
                <w:tcPr>
                  <w:tcW w:w="0" w:type="auto"/>
                  <w:tcBorders>
                    <w:left w:val="single" w:color="auto" w:sz="2" w:space="0"/>
                  </w:tcBorders>
                  <w:vAlign w:val="center"/>
                </w:tcPr>
                <w:p>
                  <w:pPr>
                    <w:autoSpaceDE w:val="0"/>
                    <w:autoSpaceDN w:val="0"/>
                    <w:adjustRightInd w:val="0"/>
                    <w:snapToGrid w:val="0"/>
                    <w:rPr>
                      <w:szCs w:val="21"/>
                    </w:rPr>
                  </w:pPr>
                  <w:r>
                    <w:rPr>
                      <w:szCs w:val="21"/>
                    </w:rPr>
                    <w:t>2025</w:t>
                  </w:r>
                  <w:r>
                    <w:rPr>
                      <w:rFonts w:hint="eastAsia"/>
                      <w:szCs w:val="21"/>
                    </w:rPr>
                    <w:t>年，能源消费总量、煤炭占一次能源消费总量不高于省定指标，非化石能源占能源消费总量比重不低于省定指标。</w:t>
                  </w:r>
                </w:p>
              </w:tc>
              <w:tc>
                <w:tcPr>
                  <w:tcW w:w="0" w:type="auto"/>
                  <w:tcBorders>
                    <w:left w:val="single" w:color="auto" w:sz="2" w:space="0"/>
                    <w:right w:val="nil"/>
                  </w:tcBorders>
                  <w:vAlign w:val="center"/>
                </w:tcPr>
                <w:p>
                  <w:pPr>
                    <w:autoSpaceDE w:val="0"/>
                    <w:autoSpaceDN w:val="0"/>
                    <w:adjustRightInd w:val="0"/>
                    <w:snapToGrid w:val="0"/>
                    <w:jc w:val="center"/>
                    <w:rPr>
                      <w:szCs w:val="21"/>
                    </w:rPr>
                  </w:pPr>
                  <w:r>
                    <w:rPr>
                      <w:rFonts w:hint="eastAsia"/>
                      <w:szCs w:val="21"/>
                    </w:rPr>
                    <w:t>本项目不涉及煤炭的使用</w:t>
                  </w:r>
                </w:p>
              </w:tc>
              <w:tc>
                <w:tcPr>
                  <w:tcW w:w="0" w:type="auto"/>
                  <w:tcBorders>
                    <w:left w:val="single" w:color="auto" w:sz="2" w:space="0"/>
                    <w:right w:val="nil"/>
                  </w:tcBorders>
                  <w:vAlign w:val="center"/>
                </w:tcPr>
                <w:p>
                  <w:pPr>
                    <w:autoSpaceDE w:val="0"/>
                    <w:autoSpaceDN w:val="0"/>
                    <w:adjustRightInd w:val="0"/>
                    <w:snapToGrid w:val="0"/>
                    <w:jc w:val="center"/>
                    <w:rPr>
                      <w:szCs w:val="21"/>
                    </w:rPr>
                  </w:pPr>
                  <w:r>
                    <w:rPr>
                      <w:rFonts w:hint="eastAsia"/>
                      <w:szCs w:val="21"/>
                    </w:rPr>
                    <w:t>不涉及</w:t>
                  </w:r>
                </w:p>
              </w:tc>
            </w:tr>
          </w:tbl>
          <w:p>
            <w:pPr>
              <w:autoSpaceDE w:val="0"/>
              <w:autoSpaceDN w:val="0"/>
              <w:adjustRightInd w:val="0"/>
              <w:snapToGrid w:val="0"/>
              <w:jc w:val="center"/>
              <w:rPr>
                <w:b/>
                <w:bCs/>
                <w:kern w:val="0"/>
                <w:szCs w:val="21"/>
              </w:rPr>
            </w:pPr>
            <w:r>
              <w:rPr>
                <w:rFonts w:hint="eastAsia"/>
                <w:b/>
                <w:bCs/>
                <w:kern w:val="0"/>
                <w:szCs w:val="21"/>
              </w:rPr>
              <w:t>表1</w:t>
            </w:r>
            <w:r>
              <w:rPr>
                <w:b/>
                <w:bCs/>
                <w:kern w:val="0"/>
                <w:szCs w:val="21"/>
              </w:rPr>
              <w:t>-4</w:t>
            </w:r>
            <w:r>
              <w:rPr>
                <w:rFonts w:hint="eastAsia"/>
                <w:b/>
                <w:bCs/>
                <w:kern w:val="0"/>
                <w:szCs w:val="21"/>
              </w:rPr>
              <w:t xml:space="preserve"> </w:t>
            </w:r>
            <w:r>
              <w:rPr>
                <w:b/>
                <w:bCs/>
                <w:kern w:val="0"/>
                <w:szCs w:val="21"/>
              </w:rPr>
              <w:t xml:space="preserve"> </w:t>
            </w:r>
            <w:r>
              <w:rPr>
                <w:rFonts w:hint="eastAsia"/>
                <w:b/>
                <w:bCs/>
                <w:kern w:val="0"/>
                <w:szCs w:val="21"/>
              </w:rPr>
              <w:t>与长春北湖科技开发区生态环境准入清单符合性一览表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5175"/>
              <w:gridCol w:w="2696"/>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0" w:type="auto"/>
                  <w:tcBorders>
                    <w:top w:val="single" w:color="auto" w:sz="12" w:space="0"/>
                    <w:left w:val="nil"/>
                  </w:tcBorders>
                  <w:vAlign w:val="center"/>
                </w:tcPr>
                <w:p>
                  <w:pPr>
                    <w:pStyle w:val="33"/>
                    <w:spacing w:before="24" w:after="24"/>
                    <w:rPr>
                      <w:rFonts w:hAnsi="宋体" w:cs="仿宋"/>
                      <w:b/>
                      <w:szCs w:val="21"/>
                    </w:rPr>
                  </w:pPr>
                  <w:r>
                    <w:rPr>
                      <w:rFonts w:hint="eastAsia" w:hAnsi="宋体" w:cs="仿宋"/>
                      <w:b/>
                      <w:szCs w:val="21"/>
                    </w:rPr>
                    <w:t>管控领域</w:t>
                  </w:r>
                </w:p>
              </w:tc>
              <w:tc>
                <w:tcPr>
                  <w:tcW w:w="5175" w:type="dxa"/>
                  <w:tcBorders>
                    <w:top w:val="single" w:color="auto" w:sz="12" w:space="0"/>
                  </w:tcBorders>
                  <w:vAlign w:val="center"/>
                </w:tcPr>
                <w:p>
                  <w:pPr>
                    <w:pStyle w:val="33"/>
                    <w:spacing w:before="24" w:after="24"/>
                    <w:rPr>
                      <w:rFonts w:hAnsi="宋体" w:cs="仿宋"/>
                      <w:b/>
                      <w:szCs w:val="21"/>
                    </w:rPr>
                  </w:pPr>
                  <w:r>
                    <w:rPr>
                      <w:rFonts w:hint="eastAsia" w:hAnsi="宋体" w:cs="仿宋"/>
                      <w:b/>
                      <w:szCs w:val="21"/>
                    </w:rPr>
                    <w:t>管控要求</w:t>
                  </w:r>
                </w:p>
              </w:tc>
              <w:tc>
                <w:tcPr>
                  <w:tcW w:w="2696" w:type="dxa"/>
                  <w:tcBorders>
                    <w:top w:val="single" w:color="auto" w:sz="12" w:space="0"/>
                    <w:right w:val="nil"/>
                  </w:tcBorders>
                  <w:vAlign w:val="center"/>
                </w:tcPr>
                <w:p>
                  <w:pPr>
                    <w:pStyle w:val="33"/>
                    <w:spacing w:before="24" w:after="24"/>
                    <w:rPr>
                      <w:rFonts w:hAnsi="宋体" w:cs="仿宋"/>
                      <w:b/>
                      <w:szCs w:val="21"/>
                    </w:rPr>
                  </w:pPr>
                  <w:r>
                    <w:rPr>
                      <w:rFonts w:hint="eastAsia" w:hAnsi="宋体" w:cs="仿宋"/>
                      <w:b/>
                      <w:szCs w:val="21"/>
                    </w:rPr>
                    <w:t>本项目情况</w:t>
                  </w:r>
                </w:p>
              </w:tc>
              <w:tc>
                <w:tcPr>
                  <w:tcW w:w="0" w:type="auto"/>
                  <w:tcBorders>
                    <w:top w:val="single" w:color="auto" w:sz="12" w:space="0"/>
                    <w:right w:val="nil"/>
                  </w:tcBorders>
                  <w:vAlign w:val="center"/>
                </w:tcPr>
                <w:p>
                  <w:pPr>
                    <w:pStyle w:val="33"/>
                    <w:spacing w:before="24" w:after="24"/>
                    <w:rPr>
                      <w:rFonts w:hAnsi="宋体" w:cs="仿宋"/>
                      <w:b/>
                      <w:szCs w:val="21"/>
                    </w:rPr>
                  </w:pPr>
                  <w:r>
                    <w:rPr>
                      <w:rFonts w:hint="eastAsia" w:hAnsi="宋体" w:cs="仿宋"/>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left w:val="nil"/>
                  </w:tcBorders>
                  <w:vAlign w:val="center"/>
                </w:tcPr>
                <w:p>
                  <w:pPr>
                    <w:autoSpaceDE w:val="0"/>
                    <w:autoSpaceDN w:val="0"/>
                    <w:adjustRightInd w:val="0"/>
                    <w:snapToGrid w:val="0"/>
                    <w:jc w:val="center"/>
                    <w:rPr>
                      <w:szCs w:val="21"/>
                    </w:rPr>
                  </w:pPr>
                  <w:r>
                    <w:rPr>
                      <w:rFonts w:hint="eastAsia"/>
                      <w:szCs w:val="21"/>
                    </w:rPr>
                    <w:t>空间布局约束</w:t>
                  </w:r>
                </w:p>
              </w:tc>
              <w:tc>
                <w:tcPr>
                  <w:tcW w:w="5175" w:type="dxa"/>
                  <w:vAlign w:val="center"/>
                </w:tcPr>
                <w:p>
                  <w:pPr>
                    <w:autoSpaceDE w:val="0"/>
                    <w:autoSpaceDN w:val="0"/>
                    <w:adjustRightInd w:val="0"/>
                    <w:snapToGrid w:val="0"/>
                    <w:rPr>
                      <w:szCs w:val="21"/>
                    </w:rPr>
                  </w:pPr>
                  <w:r>
                    <w:rPr>
                      <w:rFonts w:hint="eastAsia"/>
                      <w:szCs w:val="21"/>
                    </w:rPr>
                    <w:t>允许开发建设活动的要求： 1鼓励清洁生产型、高新技术型和节水节能型企业入驻，鼓励新建企业清洁生产水平达到国际先进水平； 2严格按照区域国土空间规划合理选择项目用地； 3严格按照产业政策要求选择落区项目； 4重点发展化学原料和化学制品制造业，医药制造业，新型材料制造业，电子信息产业，电子器件制造，智能消费设备制造，铁路、船舶、航空航天及其他运输设备制造业，食品饮料制造业，农副食品加工业，仓储物流业，农业，基因工程食品开发，环保产业，环境诊断试剂，检验检测，科技创新研发领域等</w:t>
                  </w:r>
                </w:p>
              </w:tc>
              <w:tc>
                <w:tcPr>
                  <w:tcW w:w="2696" w:type="dxa"/>
                  <w:vMerge w:val="restart"/>
                  <w:tcBorders>
                    <w:right w:val="nil"/>
                  </w:tcBorders>
                  <w:vAlign w:val="center"/>
                </w:tcPr>
                <w:p>
                  <w:pPr>
                    <w:autoSpaceDE w:val="0"/>
                    <w:autoSpaceDN w:val="0"/>
                    <w:adjustRightInd w:val="0"/>
                    <w:snapToGrid w:val="0"/>
                    <w:jc w:val="center"/>
                    <w:rPr>
                      <w:szCs w:val="21"/>
                    </w:rPr>
                  </w:pPr>
                  <w:r>
                    <w:rPr>
                      <w:rFonts w:hint="eastAsia"/>
                      <w:szCs w:val="21"/>
                    </w:rPr>
                    <w:t>本项目为燃气锅炉项目，不属于开发区禁止、限制和不符合空间布局活动要求</w:t>
                  </w:r>
                </w:p>
              </w:tc>
              <w:tc>
                <w:tcPr>
                  <w:tcW w:w="0" w:type="auto"/>
                  <w:vMerge w:val="restart"/>
                  <w:tcBorders>
                    <w:right w:val="nil"/>
                  </w:tcBorders>
                  <w:vAlign w:val="center"/>
                </w:tcPr>
                <w:p>
                  <w:pPr>
                    <w:autoSpaceDE w:val="0"/>
                    <w:autoSpaceDN w:val="0"/>
                    <w:adjustRightInd w:val="0"/>
                    <w:snapToGrid w:val="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autoSpaceDE w:val="0"/>
                    <w:autoSpaceDN w:val="0"/>
                    <w:adjustRightInd w:val="0"/>
                    <w:snapToGrid w:val="0"/>
                    <w:rPr>
                      <w:szCs w:val="21"/>
                    </w:rPr>
                  </w:pPr>
                  <w:r>
                    <w:rPr>
                      <w:rFonts w:hint="eastAsia"/>
                      <w:szCs w:val="21"/>
                    </w:rPr>
                    <w:t>禁止开发建设活动的要求： 1《产业结构调整指导目录》中的“淘汰类”项目； 2《外商投资产业指导目录》中禁止外商投资的项目； 3禁止引入的项目：①禁止冶金、造纸、制革对大气及水环境污染严重的项目；②C1351牲畜屠宰、C1352禽类屠宰不得进入该区域； 4建成区原则上不再新建单台容量29兆瓦（40蒸吨/小时）以下燃煤锅炉，其他区域原则上不再新建单台容量14兆瓦（20蒸吨/小时）以下的燃煤锅炉。</w:t>
                  </w:r>
                </w:p>
              </w:tc>
              <w:tc>
                <w:tcPr>
                  <w:tcW w:w="2696" w:type="dxa"/>
                  <w:vMerge w:val="continue"/>
                  <w:tcBorders>
                    <w:right w:val="nil"/>
                  </w:tcBorders>
                  <w:vAlign w:val="center"/>
                </w:tcPr>
                <w:p>
                  <w:pPr>
                    <w:autoSpaceDE w:val="0"/>
                    <w:autoSpaceDN w:val="0"/>
                    <w:adjustRightInd w:val="0"/>
                    <w:snapToGrid w:val="0"/>
                    <w:jc w:val="center"/>
                    <w:rPr>
                      <w:szCs w:val="21"/>
                    </w:rPr>
                  </w:pPr>
                </w:p>
              </w:tc>
              <w:tc>
                <w:tcPr>
                  <w:tcW w:w="0" w:type="auto"/>
                  <w:vMerge w:val="continue"/>
                  <w:tcBorders>
                    <w:right w:val="nil"/>
                  </w:tcBorders>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autoSpaceDE w:val="0"/>
                    <w:autoSpaceDN w:val="0"/>
                    <w:adjustRightInd w:val="0"/>
                    <w:snapToGrid w:val="0"/>
                    <w:rPr>
                      <w:szCs w:val="21"/>
                    </w:rPr>
                  </w:pPr>
                  <w:r>
                    <w:rPr>
                      <w:rFonts w:hint="eastAsia"/>
                      <w:szCs w:val="21"/>
                    </w:rPr>
                    <w:t>限制开发建设活动的要求： 1《产业结构调整指导目录》中的“限制类”项目； 2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w:t>
                  </w:r>
                </w:p>
              </w:tc>
              <w:tc>
                <w:tcPr>
                  <w:tcW w:w="2696" w:type="dxa"/>
                  <w:vMerge w:val="continue"/>
                  <w:tcBorders>
                    <w:right w:val="nil"/>
                  </w:tcBorders>
                  <w:vAlign w:val="center"/>
                </w:tcPr>
                <w:p>
                  <w:pPr>
                    <w:autoSpaceDE w:val="0"/>
                    <w:autoSpaceDN w:val="0"/>
                    <w:adjustRightInd w:val="0"/>
                    <w:snapToGrid w:val="0"/>
                    <w:jc w:val="center"/>
                    <w:rPr>
                      <w:szCs w:val="21"/>
                    </w:rPr>
                  </w:pPr>
                </w:p>
              </w:tc>
              <w:tc>
                <w:tcPr>
                  <w:tcW w:w="0" w:type="auto"/>
                  <w:vMerge w:val="continue"/>
                  <w:tcBorders>
                    <w:right w:val="nil"/>
                  </w:tcBorders>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autoSpaceDE w:val="0"/>
                    <w:autoSpaceDN w:val="0"/>
                    <w:adjustRightInd w:val="0"/>
                    <w:snapToGrid w:val="0"/>
                    <w:rPr>
                      <w:szCs w:val="21"/>
                    </w:rPr>
                  </w:pPr>
                  <w:r>
                    <w:rPr>
                      <w:rFonts w:hint="eastAsia"/>
                      <w:szCs w:val="21"/>
                    </w:rPr>
                    <w:t>不符合空间布局活动的退出要求： 1在充分落实环保措施、对周围环境影响可接受的前提下，允许不符合空间布局的现有项目进行改扩建工程； 2用地冲突企业，在取得合法土地使用证前，禁止扩建和扩大厂区。</w:t>
                  </w:r>
                </w:p>
              </w:tc>
              <w:tc>
                <w:tcPr>
                  <w:tcW w:w="2696" w:type="dxa"/>
                  <w:vMerge w:val="continue"/>
                  <w:tcBorders>
                    <w:right w:val="nil"/>
                  </w:tcBorders>
                  <w:vAlign w:val="center"/>
                </w:tcPr>
                <w:p>
                  <w:pPr>
                    <w:autoSpaceDE w:val="0"/>
                    <w:autoSpaceDN w:val="0"/>
                    <w:adjustRightInd w:val="0"/>
                    <w:snapToGrid w:val="0"/>
                    <w:jc w:val="center"/>
                    <w:rPr>
                      <w:szCs w:val="21"/>
                    </w:rPr>
                  </w:pPr>
                </w:p>
              </w:tc>
              <w:tc>
                <w:tcPr>
                  <w:tcW w:w="0" w:type="auto"/>
                  <w:vMerge w:val="continue"/>
                  <w:tcBorders>
                    <w:right w:val="nil"/>
                  </w:tcBorders>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restart"/>
                  <w:tcBorders>
                    <w:left w:val="nil"/>
                  </w:tcBorders>
                  <w:vAlign w:val="center"/>
                </w:tcPr>
                <w:p>
                  <w:pPr>
                    <w:autoSpaceDE w:val="0"/>
                    <w:autoSpaceDN w:val="0"/>
                    <w:adjustRightInd w:val="0"/>
                    <w:snapToGrid w:val="0"/>
                    <w:jc w:val="center"/>
                    <w:rPr>
                      <w:szCs w:val="21"/>
                    </w:rPr>
                  </w:pPr>
                  <w:r>
                    <w:rPr>
                      <w:rFonts w:hint="eastAsia"/>
                      <w:szCs w:val="21"/>
                    </w:rPr>
                    <w:t>污染物</w:t>
                  </w:r>
                </w:p>
                <w:p>
                  <w:pPr>
                    <w:autoSpaceDE w:val="0"/>
                    <w:autoSpaceDN w:val="0"/>
                    <w:adjustRightInd w:val="0"/>
                    <w:snapToGrid w:val="0"/>
                    <w:jc w:val="center"/>
                    <w:rPr>
                      <w:szCs w:val="21"/>
                    </w:rPr>
                  </w:pPr>
                  <w:r>
                    <w:rPr>
                      <w:rFonts w:hint="eastAsia"/>
                      <w:szCs w:val="21"/>
                    </w:rPr>
                    <w:t>排放管控</w:t>
                  </w:r>
                </w:p>
              </w:tc>
              <w:tc>
                <w:tcPr>
                  <w:tcW w:w="5175" w:type="dxa"/>
                  <w:vAlign w:val="center"/>
                </w:tcPr>
                <w:p>
                  <w:pPr>
                    <w:autoSpaceDE w:val="0"/>
                    <w:autoSpaceDN w:val="0"/>
                    <w:adjustRightInd w:val="0"/>
                    <w:snapToGrid w:val="0"/>
                    <w:rPr>
                      <w:szCs w:val="21"/>
                    </w:rPr>
                  </w:pPr>
                  <w:r>
                    <w:rPr>
                      <w:rFonts w:hint="eastAsia"/>
                      <w:szCs w:val="21"/>
                    </w:rPr>
                    <w:t>2030年控制总量：COD3757.99t/a、氨氮406.96t/a；SO27426.82t/a、NOX6732.51t/a。 减排措施：</w:t>
                  </w:r>
                </w:p>
                <w:p>
                  <w:pPr>
                    <w:autoSpaceDE w:val="0"/>
                    <w:autoSpaceDN w:val="0"/>
                    <w:adjustRightInd w:val="0"/>
                    <w:snapToGrid w:val="0"/>
                    <w:rPr>
                      <w:szCs w:val="21"/>
                    </w:rPr>
                  </w:pPr>
                  <w:r>
                    <w:rPr>
                      <w:rFonts w:hint="eastAsia"/>
                      <w:szCs w:val="21"/>
                    </w:rPr>
                    <w:t>1协调推进重点污染物减排方案的制定，配合区域完成节能减排目标，明确责任主体，落实工作措施，严格控制污染物排放总量；</w:t>
                  </w:r>
                </w:p>
                <w:p>
                  <w:pPr>
                    <w:autoSpaceDE w:val="0"/>
                    <w:autoSpaceDN w:val="0"/>
                    <w:adjustRightInd w:val="0"/>
                    <w:snapToGrid w:val="0"/>
                    <w:rPr>
                      <w:szCs w:val="21"/>
                    </w:rPr>
                  </w:pPr>
                  <w:r>
                    <w:rPr>
                      <w:rFonts w:hint="eastAsia"/>
                      <w:szCs w:val="21"/>
                    </w:rPr>
                    <w:t>2开发区按照串联用水，分质用水、一水多用和循环利用的原则，提高水资源利用率，建设节水型开发区；加快污水收集管网建设，开发区污废水基本实现全收集、全处理；</w:t>
                  </w:r>
                </w:p>
                <w:p>
                  <w:pPr>
                    <w:autoSpaceDE w:val="0"/>
                    <w:autoSpaceDN w:val="0"/>
                    <w:adjustRightInd w:val="0"/>
                    <w:snapToGrid w:val="0"/>
                    <w:rPr>
                      <w:szCs w:val="21"/>
                    </w:rPr>
                  </w:pPr>
                  <w:r>
                    <w:rPr>
                      <w:rFonts w:hint="eastAsia"/>
                      <w:szCs w:val="21"/>
                    </w:rPr>
                    <w:t>3推进热电联产和集中供热，推进煤炭清洁利用；积极推广应用煤炭清洁高效利用和新型节能技术；</w:t>
                  </w:r>
                </w:p>
                <w:p>
                  <w:pPr>
                    <w:autoSpaceDE w:val="0"/>
                    <w:autoSpaceDN w:val="0"/>
                    <w:adjustRightInd w:val="0"/>
                    <w:snapToGrid w:val="0"/>
                    <w:rPr>
                      <w:szCs w:val="21"/>
                    </w:rPr>
                  </w:pPr>
                  <w:r>
                    <w:rPr>
                      <w:rFonts w:hint="eastAsia"/>
                      <w:szCs w:val="21"/>
                    </w:rPr>
                    <w:t>4强化源头防控，鼓励企业采用先进适用的清洁生产原料、技术、工艺和装备；对排放强度高的重污染行业实施清洁化改造，新建项目主要污染物全面执行大气污染物特别排放限值，执行期限根据大气环境质量状况和相关文件要求确定；</w:t>
                  </w:r>
                </w:p>
                <w:p>
                  <w:pPr>
                    <w:autoSpaceDE w:val="0"/>
                    <w:autoSpaceDN w:val="0"/>
                    <w:adjustRightInd w:val="0"/>
                    <w:snapToGrid w:val="0"/>
                    <w:rPr>
                      <w:szCs w:val="21"/>
                    </w:rPr>
                  </w:pPr>
                  <w:r>
                    <w:rPr>
                      <w:rFonts w:hint="eastAsia"/>
                      <w:szCs w:val="21"/>
                    </w:rPr>
                    <w:t>5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p>
                  <w:pPr>
                    <w:autoSpaceDE w:val="0"/>
                    <w:autoSpaceDN w:val="0"/>
                    <w:adjustRightInd w:val="0"/>
                    <w:snapToGrid w:val="0"/>
                    <w:rPr>
                      <w:szCs w:val="21"/>
                    </w:rPr>
                  </w:pPr>
                  <w:r>
                    <w:rPr>
                      <w:rFonts w:hint="eastAsia"/>
                      <w:szCs w:val="21"/>
                    </w:rPr>
                    <w:t>6全面推进挥发性有机物总量减排，深入推进化工、工业涂装、包装印刷等行业挥发性有机物深度治理，加强高效收集治理设施建设，实现排气筒与厂界双达标；逐步推进挥发性有机物排放重点企业、开发区治理和在线监控设施建设，推动挥发性有机物产品源头替代；推进年排放量10吨以上和泄漏点位超过2000个的重点企业建设监测、防控和处理相结合的VOCs治理体系；</w:t>
                  </w:r>
                </w:p>
                <w:p>
                  <w:pPr>
                    <w:autoSpaceDE w:val="0"/>
                    <w:autoSpaceDN w:val="0"/>
                    <w:adjustRightInd w:val="0"/>
                    <w:snapToGrid w:val="0"/>
                    <w:rPr>
                      <w:szCs w:val="21"/>
                    </w:rPr>
                  </w:pPr>
                  <w:r>
                    <w:rPr>
                      <w:rFonts w:hint="eastAsia"/>
                      <w:szCs w:val="21"/>
                    </w:rPr>
                    <w:t>7化工新、改扩建项目的环境影响评价，应根据国家及地方环保要求适时增设碳排放核算内容，核算碳排放量；</w:t>
                  </w:r>
                </w:p>
                <w:p>
                  <w:pPr>
                    <w:autoSpaceDE w:val="0"/>
                    <w:autoSpaceDN w:val="0"/>
                    <w:adjustRightInd w:val="0"/>
                    <w:snapToGrid w:val="0"/>
                    <w:rPr>
                      <w:szCs w:val="21"/>
                    </w:rPr>
                  </w:pPr>
                  <w:r>
                    <w:rPr>
                      <w:rFonts w:hint="eastAsia"/>
                      <w:szCs w:val="21"/>
                    </w:rPr>
                    <w:t>8依据《关于加强高能耗、高排放建设项目生态环境源头防控的指导意见》（环环评[2021]45号）的相关要求，新建、扩建“两高”项目应采用先进适用的工艺技术和装备，单位产品物耗、能耗、水耗等达到清洁生产先进水平</w:t>
                  </w:r>
                </w:p>
              </w:tc>
              <w:tc>
                <w:tcPr>
                  <w:tcW w:w="2696" w:type="dxa"/>
                  <w:vMerge w:val="restart"/>
                  <w:tcBorders>
                    <w:right w:val="nil"/>
                  </w:tcBorders>
                  <w:vAlign w:val="center"/>
                </w:tcPr>
                <w:p>
                  <w:pPr>
                    <w:autoSpaceDE w:val="0"/>
                    <w:autoSpaceDN w:val="0"/>
                    <w:adjustRightInd w:val="0"/>
                    <w:snapToGrid w:val="0"/>
                    <w:jc w:val="center"/>
                    <w:rPr>
                      <w:szCs w:val="21"/>
                    </w:rPr>
                  </w:pPr>
                  <w:r>
                    <w:rPr>
                      <w:rFonts w:hint="eastAsia"/>
                      <w:szCs w:val="21"/>
                    </w:rPr>
                    <w:t>本项目不属于重点行业，不涉及燃煤锅炉，不属于化工、工业涂装、包装印刷等行业。根据吉林省生态环境厅《关于进一步明确建设项目主要污染物排放总量审核有关事宜的复函》，本项目按照一般行业排放管理。在环评审批阶段仅对测算的新增排放量进行审核，无需编制代替方案和减量替代污染源，纳入排污许可证进行监管。</w:t>
                  </w:r>
                </w:p>
              </w:tc>
              <w:tc>
                <w:tcPr>
                  <w:tcW w:w="0" w:type="auto"/>
                  <w:vMerge w:val="restart"/>
                  <w:tcBorders>
                    <w:right w:val="nil"/>
                  </w:tcBorders>
                  <w:vAlign w:val="center"/>
                </w:tcPr>
                <w:p>
                  <w:pPr>
                    <w:autoSpaceDE w:val="0"/>
                    <w:autoSpaceDN w:val="0"/>
                    <w:adjustRightInd w:val="0"/>
                    <w:snapToGrid w:val="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autoSpaceDE w:val="0"/>
                    <w:autoSpaceDN w:val="0"/>
                    <w:adjustRightInd w:val="0"/>
                    <w:snapToGrid w:val="0"/>
                    <w:rPr>
                      <w:szCs w:val="21"/>
                    </w:rPr>
                  </w:pPr>
                  <w:r>
                    <w:rPr>
                      <w:rFonts w:hint="eastAsia"/>
                      <w:szCs w:val="21"/>
                    </w:rPr>
                    <w:t>推动单台容量25兆瓦（35蒸吨/小时）及以上燃煤供热锅炉实施超低排放改造。按照最新的政策要求，逐步开展燃煤锅炉淘汰工作。</w:t>
                  </w:r>
                </w:p>
              </w:tc>
              <w:tc>
                <w:tcPr>
                  <w:tcW w:w="2696" w:type="dxa"/>
                  <w:vMerge w:val="continue"/>
                  <w:tcBorders>
                    <w:right w:val="nil"/>
                  </w:tcBorders>
                  <w:vAlign w:val="center"/>
                </w:tcPr>
                <w:p>
                  <w:pPr>
                    <w:autoSpaceDE w:val="0"/>
                    <w:autoSpaceDN w:val="0"/>
                    <w:adjustRightInd w:val="0"/>
                    <w:snapToGrid w:val="0"/>
                    <w:jc w:val="center"/>
                    <w:rPr>
                      <w:szCs w:val="21"/>
                    </w:rPr>
                  </w:pPr>
                </w:p>
              </w:tc>
              <w:tc>
                <w:tcPr>
                  <w:tcW w:w="0" w:type="auto"/>
                  <w:vMerge w:val="continue"/>
                  <w:tcBorders>
                    <w:right w:val="nil"/>
                  </w:tcBorders>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autoSpaceDE w:val="0"/>
                    <w:autoSpaceDN w:val="0"/>
                    <w:adjustRightInd w:val="0"/>
                    <w:snapToGrid w:val="0"/>
                    <w:rPr>
                      <w:szCs w:val="21"/>
                    </w:rPr>
                  </w:pPr>
                  <w:r>
                    <w:rPr>
                      <w:rFonts w:hint="eastAsia"/>
                      <w:szCs w:val="21"/>
                    </w:rPr>
                    <w:t>1新建项目清洁生产水平需达到国内先进水平； 2新建、改建、扩建重点行业建设项目实行主要污染物排放倍量替代，新建项目主要污染物全面执行大气污染物特别排放限值，执行期限根据大气环境质量状况和相关文件要求确定。</w:t>
                  </w:r>
                </w:p>
              </w:tc>
              <w:tc>
                <w:tcPr>
                  <w:tcW w:w="2696" w:type="dxa"/>
                  <w:vMerge w:val="continue"/>
                  <w:tcBorders>
                    <w:right w:val="nil"/>
                  </w:tcBorders>
                  <w:vAlign w:val="center"/>
                </w:tcPr>
                <w:p>
                  <w:pPr>
                    <w:autoSpaceDE w:val="0"/>
                    <w:autoSpaceDN w:val="0"/>
                    <w:adjustRightInd w:val="0"/>
                    <w:snapToGrid w:val="0"/>
                    <w:jc w:val="center"/>
                    <w:rPr>
                      <w:szCs w:val="21"/>
                    </w:rPr>
                  </w:pPr>
                </w:p>
              </w:tc>
              <w:tc>
                <w:tcPr>
                  <w:tcW w:w="0" w:type="auto"/>
                  <w:vMerge w:val="continue"/>
                  <w:tcBorders>
                    <w:right w:val="nil"/>
                  </w:tcBorders>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tcBorders>
                    <w:left w:val="nil"/>
                  </w:tcBorders>
                  <w:vAlign w:val="center"/>
                </w:tcPr>
                <w:p>
                  <w:pPr>
                    <w:autoSpaceDE w:val="0"/>
                    <w:autoSpaceDN w:val="0"/>
                    <w:adjustRightInd w:val="0"/>
                    <w:snapToGrid w:val="0"/>
                    <w:jc w:val="center"/>
                    <w:rPr>
                      <w:szCs w:val="21"/>
                    </w:rPr>
                  </w:pPr>
                  <w:r>
                    <w:rPr>
                      <w:rFonts w:hint="eastAsia"/>
                      <w:szCs w:val="21"/>
                    </w:rPr>
                    <w:t>环境风险防控</w:t>
                  </w:r>
                </w:p>
              </w:tc>
              <w:tc>
                <w:tcPr>
                  <w:tcW w:w="5175" w:type="dxa"/>
                  <w:vAlign w:val="center"/>
                </w:tcPr>
                <w:p>
                  <w:pPr>
                    <w:pStyle w:val="33"/>
                    <w:spacing w:before="24" w:after="24"/>
                    <w:contextualSpacing/>
                    <w:jc w:val="both"/>
                    <w:rPr>
                      <w:rFonts w:ascii="Times New Roman"/>
                      <w:szCs w:val="21"/>
                    </w:rPr>
                  </w:pPr>
                  <w:r>
                    <w:rPr>
                      <w:rFonts w:hint="eastAsia" w:ascii="Times New Roman"/>
                      <w:szCs w:val="21"/>
                    </w:rPr>
                    <w:t>1开发区管委会协助落实土壤污染重点监管企业污染隐患排查、自行监测、拆除生产设备污染防治方案备案等制度； 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 3土壤环境污染重点监管企业、危化品仓储企业落实《工矿用地土壤环境管理办法（试行）》要求，实施项目环评、设计建设、拆除设施、终止经营全生命周期土壤和地下水污染防治； 4严格管理涉及易导致环境风险的有毒有害和易燃易爆物质的生产、使用、排放、贮运等新建、改扩建项目</w:t>
                  </w:r>
                </w:p>
              </w:tc>
              <w:tc>
                <w:tcPr>
                  <w:tcW w:w="2696" w:type="dxa"/>
                  <w:tcBorders>
                    <w:right w:val="nil"/>
                  </w:tcBorders>
                  <w:vAlign w:val="center"/>
                </w:tcPr>
                <w:p>
                  <w:pPr>
                    <w:pStyle w:val="33"/>
                    <w:spacing w:before="24" w:after="24"/>
                    <w:contextualSpacing/>
                    <w:rPr>
                      <w:rFonts w:ascii="Times New Roman"/>
                      <w:szCs w:val="21"/>
                    </w:rPr>
                  </w:pPr>
                  <w:r>
                    <w:rPr>
                      <w:rFonts w:hint="eastAsia" w:ascii="Times New Roman"/>
                      <w:szCs w:val="21"/>
                    </w:rPr>
                    <w:t>本项目不属于易导致环境风险的建设项目，不属于土壤环境污染重点监管企业</w:t>
                  </w:r>
                </w:p>
              </w:tc>
              <w:tc>
                <w:tcPr>
                  <w:tcW w:w="0" w:type="auto"/>
                  <w:tcBorders>
                    <w:right w:val="nil"/>
                  </w:tcBorders>
                  <w:vAlign w:val="center"/>
                </w:tcPr>
                <w:p>
                  <w:pPr>
                    <w:pStyle w:val="33"/>
                    <w:spacing w:before="24" w:after="24"/>
                    <w:contextualSpacing/>
                    <w:rPr>
                      <w:rFonts w:ascii="Times New Roman"/>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vMerge w:val="restart"/>
                  <w:tcBorders>
                    <w:left w:val="nil"/>
                  </w:tcBorders>
                  <w:vAlign w:val="center"/>
                </w:tcPr>
                <w:p>
                  <w:pPr>
                    <w:autoSpaceDE w:val="0"/>
                    <w:autoSpaceDN w:val="0"/>
                    <w:adjustRightInd w:val="0"/>
                    <w:snapToGrid w:val="0"/>
                    <w:jc w:val="center"/>
                    <w:rPr>
                      <w:szCs w:val="21"/>
                    </w:rPr>
                  </w:pPr>
                  <w:r>
                    <w:rPr>
                      <w:rFonts w:hint="eastAsia"/>
                      <w:szCs w:val="21"/>
                    </w:rPr>
                    <w:t>资源利用要求</w:t>
                  </w:r>
                </w:p>
              </w:tc>
              <w:tc>
                <w:tcPr>
                  <w:tcW w:w="5175" w:type="dxa"/>
                  <w:vAlign w:val="center"/>
                </w:tcPr>
                <w:p>
                  <w:pPr>
                    <w:pStyle w:val="33"/>
                    <w:spacing w:before="24" w:after="24"/>
                    <w:contextualSpacing/>
                    <w:jc w:val="both"/>
                    <w:rPr>
                      <w:rFonts w:ascii="Times New Roman"/>
                      <w:szCs w:val="21"/>
                    </w:rPr>
                  </w:pPr>
                  <w:r>
                    <w:rPr>
                      <w:rFonts w:hint="eastAsia" w:ascii="Times New Roman"/>
                      <w:szCs w:val="21"/>
                    </w:rPr>
                    <w:t>成立开发区应急组织机构，建立环境风险应急防控体系，定期开展应急演练，提高区域环境风险防范能力，按时完成开发区应急预案修编。建立突发环境事件联动机制，事故状态下开发区应急组织机构与政府主管部门联动，及时组织调动事故专家、物资装备和专业救援队伍等力量参与应急处置，实现应急救援支援力量联动和统一指挥调度，能在突发环境事件发生后及时通报可能受到污染危害的单位和居民</w:t>
                  </w:r>
                </w:p>
              </w:tc>
              <w:tc>
                <w:tcPr>
                  <w:tcW w:w="2696" w:type="dxa"/>
                  <w:tcBorders>
                    <w:right w:val="nil"/>
                  </w:tcBorders>
                  <w:vAlign w:val="center"/>
                </w:tcPr>
                <w:p>
                  <w:pPr>
                    <w:pStyle w:val="33"/>
                    <w:spacing w:before="24" w:after="24"/>
                    <w:contextualSpacing/>
                    <w:rPr>
                      <w:rFonts w:ascii="Times New Roman"/>
                      <w:szCs w:val="21"/>
                    </w:rPr>
                  </w:pPr>
                  <w:r>
                    <w:rPr>
                      <w:rFonts w:hint="eastAsia" w:ascii="Times New Roman"/>
                      <w:szCs w:val="21"/>
                    </w:rPr>
                    <w:t>/</w:t>
                  </w:r>
                </w:p>
              </w:tc>
              <w:tc>
                <w:tcPr>
                  <w:tcW w:w="0" w:type="auto"/>
                  <w:tcBorders>
                    <w:right w:val="nil"/>
                  </w:tcBorders>
                  <w:vAlign w:val="center"/>
                </w:tcPr>
                <w:p>
                  <w:pPr>
                    <w:pStyle w:val="33"/>
                    <w:spacing w:before="24" w:after="24"/>
                    <w:contextualSpacing/>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pStyle w:val="33"/>
                    <w:spacing w:before="24" w:after="24"/>
                    <w:contextualSpacing/>
                    <w:jc w:val="both"/>
                    <w:rPr>
                      <w:rFonts w:ascii="Times New Roman"/>
                      <w:szCs w:val="21"/>
                    </w:rPr>
                  </w:pPr>
                  <w:r>
                    <w:rPr>
                      <w:rFonts w:hint="eastAsia" w:ascii="Times New Roman"/>
                      <w:szCs w:val="21"/>
                    </w:rPr>
                    <w:t>1区内企业应建立完善风险防范体系及风险防范措施，做好与开发区的联动；制定应急预案并及时修编，定期演练，加强对于风险防范措施的维护，保证措施有效、应急物质充足；</w:t>
                  </w:r>
                </w:p>
                <w:p>
                  <w:pPr>
                    <w:pStyle w:val="33"/>
                    <w:spacing w:before="24" w:after="24"/>
                    <w:contextualSpacing/>
                    <w:jc w:val="both"/>
                    <w:rPr>
                      <w:rFonts w:ascii="Times New Roman"/>
                      <w:szCs w:val="21"/>
                    </w:rPr>
                  </w:pPr>
                  <w:r>
                    <w:rPr>
                      <w:rFonts w:hint="eastAsia" w:ascii="Times New Roman"/>
                      <w:szCs w:val="21"/>
                    </w:rPr>
                    <w:t>2企业应按照环评文件及批复等相关文件要求设置风险防范措施（有毒有害物质泄漏预警设施、围堤围堰、事故应急池、切换阀等），确保所有受污染的雨水、消防水和泄漏物等通过1根排水系统接入应急池或全部收集，所收集的废（污）水自行或送至污水处理设施处理达标后方可排放; 涉有毒有害大气污染物名录的企业应在厂界建设针对有毒有害特征污染物的环境风险预警体系，确保发生事故能够及时响应。</w:t>
                  </w:r>
                </w:p>
              </w:tc>
              <w:tc>
                <w:tcPr>
                  <w:tcW w:w="2696" w:type="dxa"/>
                  <w:tcBorders>
                    <w:right w:val="nil"/>
                  </w:tcBorders>
                  <w:vAlign w:val="center"/>
                </w:tcPr>
                <w:p>
                  <w:pPr>
                    <w:pStyle w:val="33"/>
                    <w:spacing w:before="24" w:after="24"/>
                    <w:contextualSpacing/>
                    <w:rPr>
                      <w:rFonts w:ascii="Times New Roman"/>
                      <w:szCs w:val="21"/>
                    </w:rPr>
                  </w:pPr>
                  <w:r>
                    <w:rPr>
                      <w:rFonts w:hint="eastAsia" w:ascii="Times New Roman"/>
                      <w:szCs w:val="21"/>
                    </w:rPr>
                    <w:t>本项目按要求落实</w:t>
                  </w:r>
                </w:p>
              </w:tc>
              <w:tc>
                <w:tcPr>
                  <w:tcW w:w="0" w:type="auto"/>
                  <w:tcBorders>
                    <w:right w:val="nil"/>
                  </w:tcBorders>
                  <w:vAlign w:val="center"/>
                </w:tcPr>
                <w:p>
                  <w:pPr>
                    <w:pStyle w:val="33"/>
                    <w:spacing w:before="24" w:after="24"/>
                    <w:contextualSpacing/>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pStyle w:val="33"/>
                    <w:spacing w:before="24" w:after="24"/>
                    <w:contextualSpacing/>
                    <w:jc w:val="both"/>
                    <w:rPr>
                      <w:rFonts w:ascii="Times New Roman"/>
                      <w:szCs w:val="21"/>
                    </w:rPr>
                  </w:pPr>
                  <w:r>
                    <w:rPr>
                      <w:rFonts w:hint="eastAsia" w:ascii="Times New Roman"/>
                      <w:szCs w:val="21"/>
                    </w:rPr>
                    <w:t>1开发区按照串联用水，分质用水、一水多用和循环利用的原则，提高水资源利用率，建设节水型开发区；积极推行水循环梯级利用，开展以节水为重点内容的绿色高质量转型升级和循环化改造，加快节水及水循环利用设施建设，要统筹供排水、水处理及水梯级循环利用设施建设，实现公共设施共建共享。鼓励企业间的串联用水和循环利用；</w:t>
                  </w:r>
                </w:p>
                <w:p>
                  <w:pPr>
                    <w:pStyle w:val="33"/>
                    <w:spacing w:before="24" w:after="24"/>
                    <w:contextualSpacing/>
                    <w:jc w:val="both"/>
                    <w:rPr>
                      <w:rFonts w:ascii="Times New Roman"/>
                      <w:szCs w:val="21"/>
                    </w:rPr>
                  </w:pPr>
                  <w:r>
                    <w:rPr>
                      <w:rFonts w:hint="eastAsia" w:ascii="Times New Roman"/>
                      <w:szCs w:val="21"/>
                    </w:rPr>
                    <w:t>2开发区单位产值新鲜水耗不大于 13m</w:t>
                  </w:r>
                  <w:r>
                    <w:rPr>
                      <w:rFonts w:hint="eastAsia" w:ascii="Times New Roman"/>
                      <w:szCs w:val="21"/>
                      <w:vertAlign w:val="superscript"/>
                    </w:rPr>
                    <w:t>3</w:t>
                  </w:r>
                  <w:r>
                    <w:rPr>
                      <w:rFonts w:hint="eastAsia" w:ascii="Times New Roman"/>
                      <w:szCs w:val="21"/>
                    </w:rPr>
                    <w:t>/万元；</w:t>
                  </w:r>
                </w:p>
                <w:p>
                  <w:pPr>
                    <w:pStyle w:val="33"/>
                    <w:spacing w:before="24" w:after="24"/>
                    <w:contextualSpacing/>
                    <w:jc w:val="both"/>
                    <w:rPr>
                      <w:rFonts w:ascii="Times New Roman"/>
                      <w:szCs w:val="21"/>
                    </w:rPr>
                  </w:pPr>
                  <w:r>
                    <w:rPr>
                      <w:rFonts w:hint="eastAsia" w:ascii="Times New Roman"/>
                      <w:szCs w:val="21"/>
                    </w:rPr>
                    <w:t>3规划再生水回用率：不低于10%</w:t>
                  </w:r>
                </w:p>
              </w:tc>
              <w:tc>
                <w:tcPr>
                  <w:tcW w:w="2696" w:type="dxa"/>
                  <w:tcBorders>
                    <w:right w:val="nil"/>
                  </w:tcBorders>
                  <w:vAlign w:val="center"/>
                </w:tcPr>
                <w:p>
                  <w:pPr>
                    <w:pStyle w:val="33"/>
                    <w:spacing w:before="24" w:after="24"/>
                    <w:contextualSpacing/>
                    <w:rPr>
                      <w:rFonts w:ascii="Times New Roman"/>
                      <w:szCs w:val="21"/>
                    </w:rPr>
                  </w:pPr>
                  <w:r>
                    <w:rPr>
                      <w:rFonts w:hint="eastAsia" w:ascii="Times New Roman"/>
                      <w:szCs w:val="21"/>
                    </w:rPr>
                    <w:t>本项目采用区域供水</w:t>
                  </w:r>
                </w:p>
              </w:tc>
              <w:tc>
                <w:tcPr>
                  <w:tcW w:w="0" w:type="auto"/>
                  <w:tcBorders>
                    <w:right w:val="nil"/>
                  </w:tcBorders>
                  <w:vAlign w:val="center"/>
                </w:tcPr>
                <w:p>
                  <w:pPr>
                    <w:pStyle w:val="33"/>
                    <w:spacing w:before="24" w:after="24"/>
                    <w:contextualSpacing/>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pStyle w:val="33"/>
                    <w:spacing w:before="24" w:after="24"/>
                    <w:contextualSpacing/>
                    <w:jc w:val="both"/>
                    <w:rPr>
                      <w:rFonts w:ascii="Times New Roman"/>
                      <w:szCs w:val="21"/>
                    </w:rPr>
                  </w:pPr>
                  <w:r>
                    <w:rPr>
                      <w:rFonts w:hint="eastAsia" w:ascii="Times New Roman"/>
                      <w:szCs w:val="21"/>
                    </w:rPr>
                    <w:t>严控地下水开采，加快区内供水管网建设，集中供水管网覆盖区域不得私自取用地下水。以水定产，避免区内地下水过度开采</w:t>
                  </w:r>
                </w:p>
              </w:tc>
              <w:tc>
                <w:tcPr>
                  <w:tcW w:w="2696" w:type="dxa"/>
                  <w:tcBorders>
                    <w:right w:val="nil"/>
                  </w:tcBorders>
                  <w:vAlign w:val="center"/>
                </w:tcPr>
                <w:p>
                  <w:pPr>
                    <w:pStyle w:val="33"/>
                    <w:spacing w:before="24" w:after="24"/>
                    <w:contextualSpacing/>
                    <w:rPr>
                      <w:rFonts w:ascii="Times New Roman"/>
                      <w:szCs w:val="21"/>
                    </w:rPr>
                  </w:pPr>
                  <w:r>
                    <w:rPr>
                      <w:rFonts w:hint="eastAsia" w:ascii="Times New Roman"/>
                      <w:szCs w:val="21"/>
                    </w:rPr>
                    <w:t>本项目不开采地下水</w:t>
                  </w:r>
                </w:p>
              </w:tc>
              <w:tc>
                <w:tcPr>
                  <w:tcW w:w="0" w:type="auto"/>
                  <w:tcBorders>
                    <w:right w:val="nil"/>
                  </w:tcBorders>
                  <w:vAlign w:val="center"/>
                </w:tcPr>
                <w:p>
                  <w:pPr>
                    <w:pStyle w:val="33"/>
                    <w:spacing w:before="24" w:after="24"/>
                    <w:contextualSpacing/>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pStyle w:val="33"/>
                    <w:spacing w:before="24" w:after="24"/>
                    <w:contextualSpacing/>
                    <w:jc w:val="both"/>
                    <w:rPr>
                      <w:rFonts w:ascii="Times New Roman"/>
                      <w:szCs w:val="21"/>
                    </w:rPr>
                  </w:pPr>
                  <w:r>
                    <w:rPr>
                      <w:rFonts w:hint="eastAsia" w:ascii="Times New Roman"/>
                      <w:szCs w:val="21"/>
                    </w:rPr>
                    <w:t>规划单位工业增加值能耗≤0.5t标煤/万元</w:t>
                  </w:r>
                </w:p>
              </w:tc>
              <w:tc>
                <w:tcPr>
                  <w:tcW w:w="2696" w:type="dxa"/>
                  <w:tcBorders>
                    <w:right w:val="nil"/>
                  </w:tcBorders>
                  <w:vAlign w:val="center"/>
                </w:tcPr>
                <w:p>
                  <w:pPr>
                    <w:pStyle w:val="33"/>
                    <w:spacing w:before="24" w:after="24"/>
                    <w:contextualSpacing/>
                    <w:rPr>
                      <w:rFonts w:ascii="Times New Roman"/>
                      <w:szCs w:val="21"/>
                    </w:rPr>
                  </w:pPr>
                  <w:r>
                    <w:rPr>
                      <w:rFonts w:hint="eastAsia" w:ascii="Times New Roman"/>
                      <w:szCs w:val="21"/>
                    </w:rPr>
                    <w:t>本项目不涉及</w:t>
                  </w:r>
                </w:p>
              </w:tc>
              <w:tc>
                <w:tcPr>
                  <w:tcW w:w="0" w:type="auto"/>
                  <w:tcBorders>
                    <w:right w:val="nil"/>
                  </w:tcBorders>
                  <w:vAlign w:val="center"/>
                </w:tcPr>
                <w:p>
                  <w:pPr>
                    <w:pStyle w:val="33"/>
                    <w:spacing w:before="24" w:after="24"/>
                    <w:contextualSpacing/>
                    <w:rPr>
                      <w:szCs w:val="21"/>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0" w:type="auto"/>
                  <w:vMerge w:val="continue"/>
                  <w:tcBorders>
                    <w:left w:val="nil"/>
                  </w:tcBorders>
                  <w:vAlign w:val="center"/>
                </w:tcPr>
                <w:p>
                  <w:pPr>
                    <w:autoSpaceDE w:val="0"/>
                    <w:autoSpaceDN w:val="0"/>
                    <w:adjustRightInd w:val="0"/>
                    <w:snapToGrid w:val="0"/>
                    <w:jc w:val="center"/>
                    <w:rPr>
                      <w:szCs w:val="21"/>
                    </w:rPr>
                  </w:pPr>
                </w:p>
              </w:tc>
              <w:tc>
                <w:tcPr>
                  <w:tcW w:w="5175" w:type="dxa"/>
                  <w:vAlign w:val="center"/>
                </w:tcPr>
                <w:p>
                  <w:pPr>
                    <w:pStyle w:val="33"/>
                    <w:spacing w:before="24" w:after="24"/>
                    <w:contextualSpacing/>
                    <w:jc w:val="both"/>
                    <w:rPr>
                      <w:rFonts w:ascii="Times New Roman"/>
                      <w:szCs w:val="21"/>
                    </w:rPr>
                  </w:pPr>
                  <w:r>
                    <w:rPr>
                      <w:rFonts w:hint="eastAsia" w:ascii="Times New Roman"/>
                      <w:szCs w:val="21"/>
                    </w:rPr>
                    <w:t>1禁燃区内单台出力小于20蒸吨/小时（14MW/小时）的锅炉、窑炉等燃用高污染燃料设施禁止燃用高污染燃料。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 2禁燃区内禁止新建、扩建燃用高污染燃料的锅炉、窑炉等燃烧设施（单台额定功率29MW及以上的集中供热锅炉、热电联产锅炉除外）。</w:t>
                  </w:r>
                </w:p>
              </w:tc>
              <w:tc>
                <w:tcPr>
                  <w:tcW w:w="2696" w:type="dxa"/>
                  <w:tcBorders>
                    <w:right w:val="nil"/>
                  </w:tcBorders>
                  <w:vAlign w:val="center"/>
                </w:tcPr>
                <w:p>
                  <w:pPr>
                    <w:pStyle w:val="33"/>
                    <w:spacing w:before="24" w:after="24"/>
                    <w:contextualSpacing/>
                    <w:rPr>
                      <w:rFonts w:ascii="Times New Roman"/>
                      <w:szCs w:val="21"/>
                    </w:rPr>
                  </w:pPr>
                  <w:r>
                    <w:rPr>
                      <w:rFonts w:hint="eastAsia" w:ascii="Times New Roman"/>
                      <w:szCs w:val="21"/>
                    </w:rPr>
                    <w:t>本项目锅炉使用的燃料为天然气</w:t>
                  </w:r>
                </w:p>
              </w:tc>
              <w:tc>
                <w:tcPr>
                  <w:tcW w:w="0" w:type="auto"/>
                  <w:tcBorders>
                    <w:right w:val="nil"/>
                  </w:tcBorders>
                  <w:vAlign w:val="center"/>
                </w:tcPr>
                <w:p>
                  <w:pPr>
                    <w:pStyle w:val="33"/>
                    <w:spacing w:before="24" w:after="24"/>
                    <w:contextualSpacing/>
                    <w:rPr>
                      <w:szCs w:val="21"/>
                    </w:rPr>
                  </w:pPr>
                  <w:r>
                    <w:rPr>
                      <w:rFonts w:hint="eastAsia"/>
                      <w:szCs w:val="21"/>
                    </w:rPr>
                    <w:t>不涉及</w:t>
                  </w:r>
                </w:p>
              </w:tc>
            </w:tr>
          </w:tbl>
          <w:p>
            <w:pPr>
              <w:autoSpaceDE w:val="0"/>
              <w:autoSpaceDN w:val="0"/>
              <w:adjustRightInd w:val="0"/>
              <w:snapToGrid w:val="0"/>
              <w:spacing w:line="360" w:lineRule="auto"/>
              <w:ind w:firstLine="422" w:firstLineChars="200"/>
              <w:jc w:val="left"/>
              <w:rPr>
                <w:b/>
                <w:bCs/>
                <w:i/>
                <w:iCs/>
                <w:kern w:val="0"/>
                <w:szCs w:val="21"/>
                <w:u w:val="single"/>
              </w:rPr>
            </w:pPr>
            <w:r>
              <w:rPr>
                <w:rFonts w:hint="eastAsia"/>
                <w:b/>
                <w:bCs/>
                <w:i/>
                <w:iCs/>
                <w:kern w:val="0"/>
                <w:szCs w:val="21"/>
                <w:u w:val="single"/>
              </w:rPr>
              <w:t>2</w:t>
            </w:r>
            <w:r>
              <w:rPr>
                <w:b/>
                <w:bCs/>
                <w:i/>
                <w:iCs/>
                <w:kern w:val="0"/>
                <w:szCs w:val="21"/>
                <w:u w:val="single"/>
              </w:rPr>
              <w:t xml:space="preserve">.2 </w:t>
            </w:r>
            <w:r>
              <w:rPr>
                <w:rFonts w:hint="eastAsia"/>
                <w:b/>
                <w:bCs/>
                <w:i/>
                <w:iCs/>
                <w:kern w:val="0"/>
                <w:szCs w:val="21"/>
                <w:u w:val="single"/>
              </w:rPr>
              <w:t>环境质量底线</w:t>
            </w:r>
          </w:p>
          <w:p>
            <w:pPr>
              <w:autoSpaceDE w:val="0"/>
              <w:autoSpaceDN w:val="0"/>
              <w:adjustRightInd w:val="0"/>
              <w:snapToGrid w:val="0"/>
              <w:spacing w:line="360" w:lineRule="auto"/>
              <w:ind w:firstLine="422" w:firstLineChars="200"/>
              <w:rPr>
                <w:b/>
                <w:bCs/>
                <w:i/>
                <w:iCs/>
                <w:kern w:val="0"/>
                <w:szCs w:val="21"/>
                <w:u w:val="single"/>
              </w:rPr>
            </w:pPr>
            <w:r>
              <w:rPr>
                <w:rFonts w:hint="eastAsia"/>
                <w:b/>
                <w:bCs/>
                <w:i/>
                <w:iCs/>
                <w:kern w:val="0"/>
                <w:szCs w:val="21"/>
                <w:u w:val="single"/>
              </w:rPr>
              <w:t>根据环境空气质量现状评价，项目所在区域环境空气质量为达标区，本项目运营期废气经治理后达标排放，本项目产生的锅炉废水为清净下水经市政污水管网排入</w:t>
            </w:r>
            <w:r>
              <w:rPr>
                <w:rFonts w:hint="eastAsia"/>
                <w:b/>
                <w:bCs/>
                <w:i/>
                <w:iCs/>
                <w:u w:val="single"/>
              </w:rPr>
              <w:t>长春高新技术产业开发区北区污水处理厂</w:t>
            </w:r>
            <w:r>
              <w:rPr>
                <w:rFonts w:hint="eastAsia"/>
                <w:b/>
                <w:bCs/>
                <w:i/>
                <w:iCs/>
                <w:kern w:val="0"/>
                <w:szCs w:val="21"/>
                <w:u w:val="single"/>
              </w:rPr>
              <w:t>处理达标后排放，故对地表水产生影响较小；项目噪声可做到达标排放；项目产生的固体废物全部妥善处理。项目产生的“三废”及“噪声”均能有效处理，基本不会降低区域环境质量现状。</w:t>
            </w:r>
          </w:p>
          <w:p>
            <w:pPr>
              <w:autoSpaceDE w:val="0"/>
              <w:autoSpaceDN w:val="0"/>
              <w:adjustRightInd w:val="0"/>
              <w:snapToGrid w:val="0"/>
              <w:spacing w:line="360" w:lineRule="auto"/>
              <w:ind w:firstLine="422" w:firstLineChars="200"/>
              <w:jc w:val="left"/>
              <w:rPr>
                <w:b/>
                <w:bCs/>
                <w:i/>
                <w:iCs/>
                <w:kern w:val="0"/>
                <w:szCs w:val="21"/>
                <w:u w:val="single"/>
              </w:rPr>
            </w:pPr>
            <w:r>
              <w:rPr>
                <w:rFonts w:hint="eastAsia"/>
                <w:b/>
                <w:bCs/>
                <w:i/>
                <w:iCs/>
                <w:kern w:val="0"/>
                <w:szCs w:val="21"/>
                <w:u w:val="single"/>
              </w:rPr>
              <w:t>2</w:t>
            </w:r>
            <w:r>
              <w:rPr>
                <w:b/>
                <w:bCs/>
                <w:i/>
                <w:iCs/>
                <w:kern w:val="0"/>
                <w:szCs w:val="21"/>
                <w:u w:val="single"/>
              </w:rPr>
              <w:t xml:space="preserve">.3 </w:t>
            </w:r>
            <w:r>
              <w:rPr>
                <w:rFonts w:hint="eastAsia"/>
                <w:b/>
                <w:bCs/>
                <w:i/>
                <w:iCs/>
                <w:kern w:val="0"/>
                <w:szCs w:val="21"/>
                <w:u w:val="single"/>
              </w:rPr>
              <w:t>资源利用上限</w:t>
            </w:r>
          </w:p>
          <w:p>
            <w:pPr>
              <w:autoSpaceDE w:val="0"/>
              <w:autoSpaceDN w:val="0"/>
              <w:adjustRightInd w:val="0"/>
              <w:snapToGrid w:val="0"/>
              <w:spacing w:line="360" w:lineRule="auto"/>
              <w:ind w:firstLine="422" w:firstLineChars="200"/>
              <w:rPr>
                <w:b/>
                <w:bCs/>
                <w:i/>
                <w:iCs/>
                <w:kern w:val="0"/>
                <w:szCs w:val="21"/>
                <w:u w:val="single"/>
              </w:rPr>
            </w:pPr>
            <w:r>
              <w:rPr>
                <w:rFonts w:hint="eastAsia"/>
                <w:b/>
                <w:bCs/>
                <w:i/>
                <w:iCs/>
                <w:kern w:val="0"/>
                <w:szCs w:val="21"/>
                <w:u w:val="single"/>
              </w:rPr>
              <w:t>本项目用水量为</w:t>
            </w:r>
            <w:r>
              <w:rPr>
                <w:b/>
                <w:bCs/>
                <w:i/>
                <w:iCs/>
                <w:szCs w:val="21"/>
                <w:u w:val="single"/>
              </w:rPr>
              <w:t>166.38</w:t>
            </w:r>
            <w:r>
              <w:rPr>
                <w:rFonts w:hint="eastAsia"/>
                <w:b/>
                <w:bCs/>
                <w:i/>
                <w:iCs/>
                <w:kern w:val="0"/>
                <w:szCs w:val="21"/>
                <w:u w:val="single"/>
              </w:rPr>
              <w:t>m</w:t>
            </w:r>
            <w:r>
              <w:rPr>
                <w:rFonts w:hint="eastAsia"/>
                <w:b/>
                <w:bCs/>
                <w:i/>
                <w:iCs/>
                <w:kern w:val="0"/>
                <w:szCs w:val="21"/>
                <w:u w:val="single"/>
                <w:vertAlign w:val="superscript"/>
              </w:rPr>
              <w:t>3</w:t>
            </w:r>
            <w:r>
              <w:rPr>
                <w:rFonts w:hint="eastAsia"/>
                <w:b/>
                <w:bCs/>
                <w:i/>
                <w:iCs/>
                <w:kern w:val="0"/>
                <w:szCs w:val="21"/>
                <w:u w:val="single"/>
              </w:rPr>
              <w:t>/a，不会突破“2025年用水量控制在3195亿立方米内，2035年用水量控制在34.53亿立方米内”的用水指标，本项目不涉及新增耕地、基本农田，不涉及煤炭使用。</w:t>
            </w:r>
          </w:p>
          <w:p>
            <w:pPr>
              <w:autoSpaceDE w:val="0"/>
              <w:autoSpaceDN w:val="0"/>
              <w:adjustRightInd w:val="0"/>
              <w:snapToGrid w:val="0"/>
              <w:spacing w:line="360" w:lineRule="auto"/>
              <w:ind w:firstLine="422" w:firstLineChars="200"/>
              <w:jc w:val="left"/>
              <w:rPr>
                <w:b/>
                <w:bCs/>
                <w:i/>
                <w:iCs/>
                <w:kern w:val="0"/>
                <w:szCs w:val="21"/>
                <w:u w:val="single"/>
              </w:rPr>
            </w:pPr>
            <w:r>
              <w:rPr>
                <w:rFonts w:hint="eastAsia"/>
                <w:b/>
                <w:bCs/>
                <w:i/>
                <w:iCs/>
                <w:kern w:val="0"/>
                <w:szCs w:val="21"/>
                <w:u w:val="single"/>
              </w:rPr>
              <w:t>2</w:t>
            </w:r>
            <w:r>
              <w:rPr>
                <w:b/>
                <w:bCs/>
                <w:i/>
                <w:iCs/>
                <w:kern w:val="0"/>
                <w:szCs w:val="21"/>
                <w:u w:val="single"/>
              </w:rPr>
              <w:t xml:space="preserve">.4 </w:t>
            </w:r>
            <w:r>
              <w:rPr>
                <w:rFonts w:hint="eastAsia"/>
                <w:b/>
                <w:bCs/>
                <w:i/>
                <w:iCs/>
                <w:kern w:val="0"/>
                <w:szCs w:val="21"/>
                <w:u w:val="single"/>
              </w:rPr>
              <w:t>生态保护红线</w:t>
            </w:r>
          </w:p>
          <w:p>
            <w:pPr>
              <w:autoSpaceDE w:val="0"/>
              <w:autoSpaceDN w:val="0"/>
              <w:adjustRightInd w:val="0"/>
              <w:snapToGrid w:val="0"/>
              <w:spacing w:line="360" w:lineRule="auto"/>
              <w:ind w:firstLine="422" w:firstLineChars="200"/>
              <w:rPr>
                <w:rStyle w:val="54"/>
                <w:rFonts w:hint="default"/>
                <w:b/>
                <w:bCs/>
                <w:i/>
                <w:iCs/>
                <w:sz w:val="21"/>
                <w:szCs w:val="21"/>
                <w:u w:val="single"/>
              </w:rPr>
            </w:pPr>
            <w:r>
              <w:rPr>
                <w:rFonts w:hint="eastAsia"/>
                <w:b/>
                <w:bCs/>
                <w:i/>
                <w:iCs/>
                <w:kern w:val="0"/>
                <w:szCs w:val="21"/>
                <w:u w:val="single"/>
              </w:rPr>
              <w:t>根据目前《吉林省生态保护红线划定方案》，本项目建设区域不属于其中规定的限制和禁止开发区域，不在生态红线范围内；</w:t>
            </w:r>
            <w:r>
              <w:rPr>
                <w:rStyle w:val="54"/>
                <w:rFonts w:hint="default"/>
                <w:b/>
                <w:bCs/>
                <w:i/>
                <w:iCs/>
                <w:sz w:val="21"/>
                <w:szCs w:val="21"/>
                <w:u w:val="single"/>
              </w:rPr>
              <w:t>经查阅环境准入清单，以环境管控单元为基础，从空间布局约束、污染物排放管控、风险管控防控、资源开发利用效率四个维度进行对比，本项目符合环境准入清单。</w:t>
            </w:r>
          </w:p>
          <w:p>
            <w:pPr>
              <w:autoSpaceDE w:val="0"/>
              <w:autoSpaceDN w:val="0"/>
              <w:adjustRightInd w:val="0"/>
              <w:snapToGrid w:val="0"/>
              <w:spacing w:line="360" w:lineRule="auto"/>
              <w:ind w:firstLine="422" w:firstLineChars="200"/>
              <w:jc w:val="left"/>
              <w:rPr>
                <w:b/>
                <w:bCs/>
                <w:i/>
                <w:iCs/>
                <w:kern w:val="0"/>
                <w:szCs w:val="21"/>
                <w:u w:val="single"/>
              </w:rPr>
            </w:pPr>
            <w:r>
              <w:rPr>
                <w:rFonts w:hint="eastAsia"/>
                <w:b/>
                <w:bCs/>
                <w:i/>
                <w:iCs/>
                <w:kern w:val="0"/>
                <w:szCs w:val="21"/>
                <w:u w:val="single"/>
              </w:rPr>
              <w:t>2</w:t>
            </w:r>
            <w:r>
              <w:rPr>
                <w:b/>
                <w:bCs/>
                <w:i/>
                <w:iCs/>
                <w:kern w:val="0"/>
                <w:szCs w:val="21"/>
                <w:u w:val="single"/>
              </w:rPr>
              <w:t xml:space="preserve">.5 </w:t>
            </w:r>
            <w:r>
              <w:rPr>
                <w:rFonts w:hint="eastAsia"/>
                <w:b/>
                <w:bCs/>
                <w:i/>
                <w:iCs/>
                <w:kern w:val="0"/>
                <w:szCs w:val="21"/>
                <w:u w:val="single"/>
              </w:rPr>
              <w:t>管控要求</w:t>
            </w:r>
          </w:p>
          <w:p>
            <w:pPr>
              <w:autoSpaceDE w:val="0"/>
              <w:autoSpaceDN w:val="0"/>
              <w:adjustRightInd w:val="0"/>
              <w:snapToGrid w:val="0"/>
              <w:spacing w:line="360" w:lineRule="auto"/>
              <w:ind w:firstLine="422" w:firstLineChars="200"/>
              <w:jc w:val="left"/>
              <w:rPr>
                <w:b/>
                <w:bCs/>
                <w:i/>
                <w:iCs/>
                <w:kern w:val="0"/>
                <w:szCs w:val="21"/>
                <w:u w:val="single"/>
              </w:rPr>
            </w:pPr>
            <w:r>
              <w:rPr>
                <w:rFonts w:hint="eastAsia"/>
                <w:b/>
                <w:bCs/>
                <w:i/>
                <w:iCs/>
                <w:kern w:val="0"/>
                <w:szCs w:val="21"/>
                <w:u w:val="single"/>
              </w:rPr>
              <w:t>贯彻实施国家与吉林省大气、水污染相关各项标准，深化重点行业污染治理，推进国家和地方确定的各项产业结构调整措施。新、改、扩建项目，满足产业准入、总量控制、排放标准等管理制度要求的前提下，实行工业项目进园、集约高效发展。本项目大气、水污染满足相关各项标准，符合“长春市生态环境准入清单”要求。</w:t>
            </w:r>
          </w:p>
          <w:p>
            <w:pPr>
              <w:autoSpaceDE w:val="0"/>
              <w:autoSpaceDN w:val="0"/>
              <w:adjustRightInd w:val="0"/>
              <w:snapToGrid w:val="0"/>
              <w:spacing w:line="360" w:lineRule="auto"/>
              <w:ind w:firstLine="422" w:firstLineChars="200"/>
              <w:jc w:val="left"/>
              <w:rPr>
                <w:b/>
                <w:bCs/>
                <w:i/>
                <w:iCs/>
                <w:kern w:val="0"/>
                <w:szCs w:val="21"/>
                <w:u w:val="single"/>
              </w:rPr>
            </w:pPr>
            <w:r>
              <w:rPr>
                <w:rFonts w:hint="eastAsia"/>
                <w:b/>
                <w:bCs/>
                <w:i/>
                <w:iCs/>
                <w:kern w:val="0"/>
                <w:szCs w:val="21"/>
                <w:u w:val="single"/>
              </w:rPr>
              <w:t>综上，本项目的建设符合“三线一单”的相关要求。</w:t>
            </w:r>
          </w:p>
          <w:p>
            <w:pPr>
              <w:autoSpaceDE w:val="0"/>
              <w:autoSpaceDN w:val="0"/>
              <w:adjustRightInd w:val="0"/>
              <w:snapToGrid w:val="0"/>
              <w:spacing w:line="360" w:lineRule="auto"/>
              <w:ind w:firstLine="422" w:firstLineChars="200"/>
              <w:jc w:val="left"/>
              <w:rPr>
                <w:b/>
                <w:bCs/>
                <w:szCs w:val="21"/>
              </w:rPr>
            </w:pPr>
            <w:r>
              <w:rPr>
                <w:rFonts w:hint="eastAsia"/>
                <w:b/>
                <w:bCs/>
                <w:kern w:val="0"/>
                <w:szCs w:val="21"/>
              </w:rPr>
              <w:t>3、与</w:t>
            </w:r>
            <w:r>
              <w:rPr>
                <w:rFonts w:hint="eastAsia"/>
                <w:b/>
                <w:bCs/>
                <w:szCs w:val="21"/>
              </w:rPr>
              <w:t>《长春市人民政府办公厅关于印发长春市空气、水环境、土壤环境质量巩固提升三个行动方案的通知》（长府办发〔2021〕14号）符合性分析</w:t>
            </w:r>
          </w:p>
          <w:p>
            <w:pPr>
              <w:autoSpaceDE w:val="0"/>
              <w:autoSpaceDN w:val="0"/>
              <w:adjustRightInd w:val="0"/>
              <w:snapToGrid w:val="0"/>
              <w:jc w:val="center"/>
              <w:rPr>
                <w:b/>
                <w:bCs/>
                <w:szCs w:val="21"/>
              </w:rPr>
            </w:pPr>
            <w:r>
              <w:rPr>
                <w:rFonts w:hint="eastAsia"/>
                <w:b/>
                <w:bCs/>
                <w:szCs w:val="21"/>
              </w:rPr>
              <w:t>表1</w:t>
            </w:r>
            <w:r>
              <w:rPr>
                <w:b/>
                <w:bCs/>
                <w:szCs w:val="21"/>
              </w:rPr>
              <w:t>-5</w:t>
            </w:r>
            <w:r>
              <w:rPr>
                <w:rFonts w:ascii="宋体" w:hAnsi="宋体"/>
                <w:b/>
                <w:bCs/>
                <w:szCs w:val="21"/>
              </w:rPr>
              <w:t xml:space="preserve">  </w:t>
            </w:r>
            <w:r>
              <w:rPr>
                <w:rFonts w:hint="eastAsia"/>
                <w:b/>
                <w:bCs/>
                <w:szCs w:val="21"/>
              </w:rPr>
              <w:t>与“长府办发〔2021〕14号”符合性分析</w:t>
            </w:r>
          </w:p>
          <w:tbl>
            <w:tblPr>
              <w:tblStyle w:val="1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3867"/>
              <w:gridCol w:w="34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6" w:type="dxa"/>
                  <w:gridSpan w:val="2"/>
                  <w:shd w:val="clear" w:color="auto" w:fill="auto"/>
                  <w:vAlign w:val="center"/>
                </w:tcPr>
                <w:p>
                  <w:pPr>
                    <w:autoSpaceDE w:val="0"/>
                    <w:autoSpaceDN w:val="0"/>
                    <w:adjustRightInd w:val="0"/>
                    <w:snapToGrid w:val="0"/>
                    <w:jc w:val="center"/>
                    <w:rPr>
                      <w:b/>
                      <w:bCs/>
                      <w:szCs w:val="21"/>
                    </w:rPr>
                  </w:pPr>
                  <w:r>
                    <w:rPr>
                      <w:rFonts w:hint="eastAsia"/>
                      <w:b/>
                      <w:bCs/>
                      <w:szCs w:val="21"/>
                    </w:rPr>
                    <w:t>文件要求</w:t>
                  </w:r>
                </w:p>
              </w:tc>
              <w:tc>
                <w:tcPr>
                  <w:tcW w:w="3418" w:type="dxa"/>
                  <w:shd w:val="clear" w:color="auto" w:fill="auto"/>
                  <w:vAlign w:val="center"/>
                </w:tcPr>
                <w:p>
                  <w:pPr>
                    <w:autoSpaceDE w:val="0"/>
                    <w:autoSpaceDN w:val="0"/>
                    <w:adjustRightInd w:val="0"/>
                    <w:snapToGrid w:val="0"/>
                    <w:jc w:val="center"/>
                    <w:rPr>
                      <w:b/>
                      <w:bCs/>
                      <w:szCs w:val="21"/>
                    </w:rPr>
                  </w:pPr>
                  <w:r>
                    <w:rPr>
                      <w:rFonts w:hint="eastAsia"/>
                      <w:b/>
                      <w:bCs/>
                      <w:szCs w:val="21"/>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3"/>
                  <w:shd w:val="clear" w:color="auto" w:fill="auto"/>
                  <w:vAlign w:val="center"/>
                </w:tcPr>
                <w:p>
                  <w:pPr>
                    <w:autoSpaceDE w:val="0"/>
                    <w:autoSpaceDN w:val="0"/>
                    <w:adjustRightInd w:val="0"/>
                    <w:snapToGrid w:val="0"/>
                    <w:jc w:val="center"/>
                    <w:rPr>
                      <w:b/>
                      <w:bCs/>
                      <w:szCs w:val="21"/>
                    </w:rPr>
                  </w:pPr>
                  <w:r>
                    <w:rPr>
                      <w:rFonts w:hint="eastAsia"/>
                      <w:b/>
                      <w:bCs/>
                      <w:szCs w:val="21"/>
                    </w:rPr>
                    <w:t>长春市空气质量巩固提升行动方案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深入推进秸秆禁烧和氨排放控制</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全面推进秸秆综合利用</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深入推进秸秆禁烧管控</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加强农业源氨排放控制</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强化畜禽养殖业氨排放综合管控</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深入推进燃煤污染控制</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实行煤炭消费总量控制</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加大燃煤锅炉淘汰力度</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推进燃煤锅炉实施超低排放改造</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加大燃煤锅炉监管力度</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深入推进工业污染源治理</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持续推进工业污染源全面达标排放</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w:t>
                  </w:r>
                  <w:r>
                    <w:rPr>
                      <w:rFonts w:hint="eastAsia"/>
                    </w:rPr>
                    <w:t>锅炉烟气满足《锅炉大气污染物排放标准》（GB 13271-2014）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推进重点行业深度治理</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加强“散乱污”企业监管</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szCs w:val="21"/>
                    </w:rPr>
                    <w:t>化重点行业挥发性有机物（NMHC）治理</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加强油气回收装置管理</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深入推进移动源污染治理</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加强在用机动车监管</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强化非道路移动机械监督管理</w:t>
                  </w:r>
                </w:p>
              </w:tc>
              <w:tc>
                <w:tcPr>
                  <w:tcW w:w="3418" w:type="dxa"/>
                  <w:vMerge w:val="continue"/>
                  <w:shd w:val="clear" w:color="auto" w:fill="auto"/>
                  <w:vAlign w:val="center"/>
                </w:tcPr>
                <w:p>
                  <w:pPr>
                    <w:autoSpaceDE w:val="0"/>
                    <w:autoSpaceDN w:val="0"/>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加大新能源汽车研发和推广力度</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加强成品油质量监管</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深入推进扬尘污染治理</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精细化管理城市扬尘</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严格建筑施工扬尘管控</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集中施工、快速施工，易产尘材料密闭储运或者编织布覆盖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强化城市道路扬尘管控</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加强城市综合执法</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积极应对污染天气</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进一步完善重污染天气应急预案体系</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推动重点行业绩效分级管理</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本项目不属于重点行业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有效降低采暖期大气污染负荷</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夯实应急减排措施</w:t>
                  </w:r>
                </w:p>
              </w:tc>
              <w:tc>
                <w:tcPr>
                  <w:tcW w:w="3418" w:type="dxa"/>
                  <w:vMerge w:val="continue"/>
                  <w:shd w:val="clear" w:color="auto" w:fill="auto"/>
                  <w:vAlign w:val="center"/>
                </w:tcPr>
                <w:p>
                  <w:pPr>
                    <w:autoSpaceDE w:val="0"/>
                    <w:autoSpaceDN w:val="0"/>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3"/>
                  <w:shd w:val="clear" w:color="auto" w:fill="auto"/>
                  <w:vAlign w:val="center"/>
                </w:tcPr>
                <w:p>
                  <w:pPr>
                    <w:autoSpaceDE w:val="0"/>
                    <w:autoSpaceDN w:val="0"/>
                    <w:adjustRightInd w:val="0"/>
                    <w:snapToGrid w:val="0"/>
                    <w:jc w:val="center"/>
                    <w:rPr>
                      <w:b/>
                      <w:bCs/>
                      <w:szCs w:val="21"/>
                    </w:rPr>
                  </w:pPr>
                  <w:r>
                    <w:rPr>
                      <w:rFonts w:hint="eastAsia"/>
                      <w:b/>
                      <w:bCs/>
                      <w:szCs w:val="21"/>
                    </w:rPr>
                    <w:t>长春市劣五类水体治理和水质巩固提升实施方案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实施水环境治理工程</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加快推进县级及以上城市污水处理厂扩容改造</w:t>
                  </w:r>
                </w:p>
              </w:tc>
              <w:tc>
                <w:tcPr>
                  <w:tcW w:w="3418" w:type="dxa"/>
                  <w:vMerge w:val="restart"/>
                  <w:shd w:val="clear" w:color="auto" w:fill="auto"/>
                  <w:vAlign w:val="center"/>
                </w:tcPr>
                <w:p>
                  <w:pPr>
                    <w:autoSpaceDE w:val="0"/>
                    <w:autoSpaceDN w:val="0"/>
                    <w:adjustRightInd w:val="0"/>
                    <w:snapToGrid w:val="0"/>
                    <w:jc w:val="center"/>
                    <w:rPr>
                      <w:szCs w:val="21"/>
                      <w:highlight w:val="yellow"/>
                    </w:rPr>
                  </w:pPr>
                  <w:r>
                    <w:rPr>
                      <w:rFonts w:hint="eastAsia"/>
                      <w:szCs w:val="21"/>
                    </w:rPr>
                    <w:t>本项目不涉及</w:t>
                  </w:r>
                  <w:r>
                    <w:rPr>
                      <w:szCs w:val="21"/>
                      <w:highlight w:val="yellow"/>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加快推进乡镇污水处理设施及管网建设</w:t>
                  </w:r>
                </w:p>
              </w:tc>
              <w:tc>
                <w:tcPr>
                  <w:tcW w:w="3418" w:type="dxa"/>
                  <w:vMerge w:val="continue"/>
                  <w:shd w:val="clear" w:color="auto" w:fill="auto"/>
                  <w:vAlign w:val="center"/>
                </w:tcPr>
                <w:p>
                  <w:pPr>
                    <w:autoSpaceDE w:val="0"/>
                    <w:autoSpaceDN w:val="0"/>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加快推进城镇污水收集管网建设与管理</w:t>
                  </w:r>
                </w:p>
              </w:tc>
              <w:tc>
                <w:tcPr>
                  <w:tcW w:w="3418" w:type="dxa"/>
                  <w:vMerge w:val="continue"/>
                  <w:shd w:val="clear" w:color="auto" w:fill="auto"/>
                  <w:vAlign w:val="center"/>
                </w:tcPr>
                <w:p>
                  <w:pPr>
                    <w:autoSpaceDE w:val="0"/>
                    <w:autoSpaceDN w:val="0"/>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加快推进污泥无害化处置和资源化利用</w:t>
                  </w:r>
                </w:p>
              </w:tc>
              <w:tc>
                <w:tcPr>
                  <w:tcW w:w="3418" w:type="dxa"/>
                  <w:vMerge w:val="continue"/>
                  <w:shd w:val="clear" w:color="auto" w:fill="auto"/>
                  <w:vAlign w:val="center"/>
                </w:tcPr>
                <w:p>
                  <w:pPr>
                    <w:autoSpaceDE w:val="0"/>
                    <w:autoSpaceDN w:val="0"/>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建立城镇污水处理费动态调整机制</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探索建立城市排水厂网监管机制</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规范工业企业排水管理</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项目锅炉排水为清净下水，经市政污水管网进入长春高新技术产业开发区北区污水处理厂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加强重点行业管控和清洁化改造</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推进涉水“散乱污”企业深度整治</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本项目不涉及，项目锅炉排水为清净下水，经市政污水管网</w:t>
                  </w:r>
                  <w:r>
                    <w:rPr>
                      <w:rFonts w:hint="eastAsia"/>
                      <w:bCs/>
                    </w:rPr>
                    <w:t>进入长春高新技术产业开发区北区污水处理厂</w:t>
                  </w:r>
                  <w:r>
                    <w:rPr>
                      <w:rFonts w:hint="eastAsia" w:ascii="宋体"/>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持续开展入河（湖、库）排污口规范化整治</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实施水生态修复工程</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实施重点干支流河道生态修复</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实施湖库生态修复工程</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实施湿地保护与修复工程</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实施水资源保障工程</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完善区域再生水循环利用体系</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推进节水行动</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本项目不属于高耗水行业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实施江河源头区涵养林建设工程</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实施水安全保障工程</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全面开展饮用水水源地安全保障工作</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全面开展环境风险预防性设施建设</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探索开展流域应急处置工程建设</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提高水环境安全监管能力</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加大流域生态环境综合执法监管力度</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加强重点流域治理机制建设</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编制实施流域重点治理规划</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3"/>
                  <w:shd w:val="clear" w:color="auto" w:fill="auto"/>
                  <w:vAlign w:val="center"/>
                </w:tcPr>
                <w:p>
                  <w:pPr>
                    <w:autoSpaceDE w:val="0"/>
                    <w:autoSpaceDN w:val="0"/>
                    <w:adjustRightInd w:val="0"/>
                    <w:snapToGrid w:val="0"/>
                    <w:jc w:val="center"/>
                    <w:rPr>
                      <w:b/>
                      <w:bCs/>
                      <w:szCs w:val="21"/>
                    </w:rPr>
                  </w:pPr>
                  <w:r>
                    <w:rPr>
                      <w:rFonts w:hint="eastAsia"/>
                      <w:b/>
                      <w:bCs/>
                      <w:szCs w:val="21"/>
                    </w:rPr>
                    <w:t>长春市土壤环境质量巩固提升行动实施方案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实施土壤污染风险防控工程</w:t>
                  </w: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加强土壤重点源环境监管</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加强建设用地准入管理</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加强建设用地流转管控</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推进重点行业企业用地土壤污染状况调查成果应用</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实施地下水环境状况调查评估工程</w:t>
                  </w: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开展地下水环境状况调查评估</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定地下水环境污染隐患清单</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实施农村生活垃圾污水治理提升工程</w:t>
                  </w: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提升农村生活垃圾治理能力</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梯次推进农村生活污水治理</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开展受污染耕地安全利用行动</w:t>
                  </w: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巩固受污染耕地安全利用成果</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展耕地周边涉重金属行业企业排查整治</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开展农村黑臭水体整治行动</w:t>
                  </w: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开展农村黑臭水体治理</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autoSpaceDE w:val="0"/>
                    <w:autoSpaceDN w:val="0"/>
                    <w:adjustRightInd w:val="0"/>
                    <w:snapToGrid w:val="0"/>
                    <w:jc w:val="center"/>
                    <w:rPr>
                      <w:rFonts w:ascii="宋体" w:hAnsi="宋体"/>
                      <w:szCs w:val="21"/>
                    </w:rPr>
                  </w:pPr>
                  <w:r>
                    <w:rPr>
                      <w:rFonts w:hint="eastAsia" w:ascii="宋体" w:hAnsi="宋体"/>
                      <w:color w:val="000000"/>
                      <w:szCs w:val="21"/>
                      <w:shd w:val="clear" w:color="auto" w:fill="FFFFFF"/>
                    </w:rPr>
                    <w:t>开展农业面源污染管控行动</w:t>
                  </w: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有效防控农业面源污染</w:t>
                  </w:r>
                </w:p>
              </w:tc>
              <w:tc>
                <w:tcPr>
                  <w:tcW w:w="3418" w:type="dxa"/>
                  <w:vMerge w:val="restart"/>
                  <w:shd w:val="clear" w:color="auto" w:fill="auto"/>
                  <w:vAlign w:val="center"/>
                </w:tcPr>
                <w:p>
                  <w:pPr>
                    <w:autoSpaceDE w:val="0"/>
                    <w:autoSpaceDN w:val="0"/>
                    <w:adjustRightInd w:val="0"/>
                    <w:snapToGrid w:val="0"/>
                    <w:jc w:val="center"/>
                    <w:rPr>
                      <w:szCs w:val="21"/>
                    </w:rPr>
                  </w:pPr>
                  <w:r>
                    <w:rPr>
                      <w:rFonts w:hint="eastAsia"/>
                      <w:szCs w:val="21"/>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持续推进化肥农药减量增效</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推进农业废弃物回收利用处置体系建设</w:t>
                  </w:r>
                </w:p>
              </w:tc>
              <w:tc>
                <w:tcPr>
                  <w:tcW w:w="3418" w:type="dxa"/>
                  <w:vMerge w:val="continue"/>
                  <w:shd w:val="clear" w:color="auto" w:fill="auto"/>
                  <w:vAlign w:val="center"/>
                </w:tcPr>
                <w:p>
                  <w:pPr>
                    <w:autoSpaceDE w:val="0"/>
                    <w:autoSpaceDN w:val="0"/>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持续开展工业固废专项排查整治行动</w:t>
                  </w:r>
                </w:p>
              </w:tc>
              <w:tc>
                <w:tcPr>
                  <w:tcW w:w="3418" w:type="dxa"/>
                  <w:shd w:val="clear" w:color="auto" w:fill="auto"/>
                  <w:vAlign w:val="center"/>
                </w:tcPr>
                <w:p>
                  <w:pPr>
                    <w:autoSpaceDE w:val="0"/>
                    <w:autoSpaceDN w:val="0"/>
                    <w:adjustRightInd w:val="0"/>
                    <w:snapToGrid w:val="0"/>
                    <w:jc w:val="center"/>
                    <w:rPr>
                      <w:szCs w:val="21"/>
                    </w:rPr>
                  </w:pPr>
                  <w:r>
                    <w:rPr>
                      <w:rFonts w:hint="eastAsia"/>
                      <w:bCs/>
                    </w:rPr>
                    <w:t>本项目离子交换树脂委托环卫部门定期处理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pPr>
                    <w:autoSpaceDE w:val="0"/>
                    <w:autoSpaceDN w:val="0"/>
                    <w:adjustRightInd w:val="0"/>
                    <w:snapToGrid w:val="0"/>
                    <w:jc w:val="center"/>
                    <w:rPr>
                      <w:rFonts w:ascii="宋体" w:hAnsi="宋体"/>
                      <w:szCs w:val="21"/>
                      <w:highlight w:val="yellow"/>
                    </w:rPr>
                  </w:pPr>
                </w:p>
              </w:tc>
              <w:tc>
                <w:tcPr>
                  <w:tcW w:w="3867" w:type="dxa"/>
                  <w:shd w:val="clear" w:color="auto" w:fill="auto"/>
                  <w:vAlign w:val="center"/>
                </w:tcPr>
                <w:p>
                  <w:pPr>
                    <w:autoSpaceDE w:val="0"/>
                    <w:autoSpaceDN w:val="0"/>
                    <w:adjustRightInd w:val="0"/>
                    <w:snapToGrid w:val="0"/>
                    <w:jc w:val="center"/>
                    <w:rPr>
                      <w:rFonts w:ascii="宋体" w:hAnsi="宋体"/>
                      <w:color w:val="000000"/>
                      <w:szCs w:val="21"/>
                      <w:shd w:val="clear" w:color="auto" w:fill="FFFFFF"/>
                    </w:rPr>
                  </w:pPr>
                  <w:r>
                    <w:rPr>
                      <w:rFonts w:hint="eastAsia" w:ascii="宋体" w:hAnsi="宋体"/>
                      <w:color w:val="000000"/>
                      <w:szCs w:val="21"/>
                      <w:shd w:val="clear" w:color="auto" w:fill="FFFFFF"/>
                    </w:rPr>
                    <w:t>加强重点行业企业重金属污染防治</w:t>
                  </w:r>
                </w:p>
              </w:tc>
              <w:tc>
                <w:tcPr>
                  <w:tcW w:w="3418" w:type="dxa"/>
                  <w:shd w:val="clear" w:color="auto" w:fill="auto"/>
                  <w:vAlign w:val="center"/>
                </w:tcPr>
                <w:p>
                  <w:pPr>
                    <w:autoSpaceDE w:val="0"/>
                    <w:autoSpaceDN w:val="0"/>
                    <w:adjustRightInd w:val="0"/>
                    <w:snapToGrid w:val="0"/>
                    <w:jc w:val="center"/>
                    <w:rPr>
                      <w:szCs w:val="21"/>
                    </w:rPr>
                  </w:pPr>
                  <w:r>
                    <w:rPr>
                      <w:rFonts w:hint="eastAsia"/>
                      <w:szCs w:val="21"/>
                    </w:rPr>
                    <w:t>本项目不属于重点行业，不涉及重金属</w:t>
                  </w:r>
                </w:p>
              </w:tc>
            </w:tr>
          </w:tbl>
          <w:p>
            <w:pPr>
              <w:spacing w:line="360" w:lineRule="auto"/>
              <w:ind w:firstLine="420" w:firstLineChars="200"/>
              <w:outlineLvl w:val="0"/>
              <w:rPr>
                <w:szCs w:val="21"/>
              </w:rPr>
            </w:pPr>
            <w:r>
              <w:rPr>
                <w:rFonts w:hint="eastAsia" w:ascii="宋体" w:hAnsi="宋体"/>
              </w:rPr>
              <w:t>项目能够满足相应排放标准，实现达标排放，因此，符合上述文件要求。</w:t>
            </w:r>
          </w:p>
          <w:p>
            <w:pPr>
              <w:autoSpaceDE w:val="0"/>
              <w:autoSpaceDN w:val="0"/>
              <w:adjustRightInd w:val="0"/>
              <w:snapToGrid w:val="0"/>
              <w:spacing w:line="360" w:lineRule="auto"/>
              <w:ind w:firstLine="422" w:firstLineChars="200"/>
              <w:jc w:val="left"/>
              <w:rPr>
                <w:b/>
                <w:bCs/>
                <w:kern w:val="0"/>
                <w:szCs w:val="21"/>
              </w:rPr>
            </w:pPr>
            <w:r>
              <w:rPr>
                <w:rFonts w:hint="eastAsia"/>
                <w:b/>
                <w:bCs/>
                <w:kern w:val="0"/>
                <w:szCs w:val="21"/>
              </w:rPr>
              <w:t>4、选址合理性分析</w:t>
            </w:r>
          </w:p>
          <w:p>
            <w:pPr>
              <w:pStyle w:val="3"/>
              <w:ind w:firstLine="422"/>
              <w:rPr>
                <w:b/>
                <w:bCs/>
                <w:i/>
                <w:iCs/>
                <w:u w:val="single"/>
              </w:rPr>
            </w:pPr>
            <w:r>
              <w:rPr>
                <w:rFonts w:hint="eastAsia"/>
                <w:b/>
                <w:bCs/>
                <w:i/>
                <w:iCs/>
                <w:kern w:val="0"/>
                <w:szCs w:val="21"/>
                <w:u w:val="single"/>
              </w:rPr>
              <w:t>本项目选址位于长春新区北湖科技开发区龙腾路以南、建丰街以东，用地性质为工业用地，</w:t>
            </w:r>
            <w:r>
              <w:rPr>
                <w:rFonts w:hint="eastAsia"/>
                <w:b/>
                <w:bCs/>
                <w:i/>
                <w:iCs/>
                <w:u w:val="single"/>
              </w:rPr>
              <w:t>不违反《限制用地项目目录（2012年本）》和《禁止用地项目目录（2012年本）》的规定，</w:t>
            </w:r>
            <w:r>
              <w:rPr>
                <w:rFonts w:hint="eastAsia"/>
                <w:b/>
                <w:bCs/>
                <w:i/>
                <w:iCs/>
                <w:kern w:val="0"/>
                <w:szCs w:val="21"/>
                <w:u w:val="single"/>
              </w:rPr>
              <w:t>因此，</w:t>
            </w:r>
            <w:r>
              <w:rPr>
                <w:rFonts w:hint="eastAsia"/>
                <w:b/>
                <w:bCs/>
                <w:i/>
                <w:iCs/>
                <w:u w:val="single"/>
              </w:rPr>
              <w:t>项目建设符合用地规划</w:t>
            </w:r>
            <w:r>
              <w:rPr>
                <w:rFonts w:hint="eastAsia"/>
                <w:b/>
                <w:bCs/>
                <w:i/>
                <w:iCs/>
                <w:kern w:val="0"/>
                <w:szCs w:val="21"/>
                <w:u w:val="single"/>
              </w:rPr>
              <w:t>，选址合理。</w:t>
            </w:r>
          </w:p>
          <w:p>
            <w:pPr>
              <w:pStyle w:val="3"/>
            </w:pPr>
          </w:p>
        </w:tc>
      </w:tr>
    </w:tbl>
    <w:p>
      <w:pPr>
        <w:pStyle w:val="17"/>
        <w:pageBreakBefore/>
        <w:adjustRightInd w:val="0"/>
        <w:snapToGrid w:val="0"/>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43" w:type="pct"/>
            <w:vAlign w:val="center"/>
          </w:tcPr>
          <w:p>
            <w:pPr>
              <w:pStyle w:val="17"/>
              <w:adjustRightInd w:val="0"/>
              <w:snapToGrid w:val="0"/>
              <w:spacing w:before="0" w:beforeAutospacing="0" w:after="0" w:afterAutospacing="0"/>
              <w:jc w:val="center"/>
              <w:rPr>
                <w:rFonts w:cs="宋体"/>
                <w:sz w:val="21"/>
                <w:szCs w:val="21"/>
                <w:highlight w:val="none"/>
              </w:rPr>
            </w:pPr>
            <w:bookmarkStart w:id="13" w:name="_GoBack"/>
            <w:r>
              <w:rPr>
                <w:rFonts w:hint="eastAsia" w:cs="宋体"/>
                <w:sz w:val="21"/>
                <w:szCs w:val="21"/>
                <w:highlight w:val="none"/>
              </w:rPr>
              <w:t>建设内容</w:t>
            </w:r>
          </w:p>
        </w:tc>
        <w:tc>
          <w:tcPr>
            <w:tcW w:w="4657" w:type="pct"/>
          </w:tcPr>
          <w:p>
            <w:pPr>
              <w:pStyle w:val="3"/>
              <w:ind w:firstLine="422"/>
              <w:rPr>
                <w:b/>
                <w:bCs/>
                <w:highlight w:val="none"/>
              </w:rPr>
            </w:pPr>
            <w:r>
              <w:rPr>
                <w:b/>
                <w:bCs/>
                <w:highlight w:val="none"/>
              </w:rPr>
              <w:t>1</w:t>
            </w:r>
            <w:r>
              <w:rPr>
                <w:rFonts w:hint="eastAsia"/>
                <w:b/>
                <w:bCs/>
                <w:highlight w:val="none"/>
              </w:rPr>
              <w:t>、项目建设地点及规模</w:t>
            </w:r>
          </w:p>
          <w:p>
            <w:pPr>
              <w:pStyle w:val="3"/>
              <w:rPr>
                <w:highlight w:val="none"/>
              </w:rPr>
            </w:pPr>
            <w:r>
              <w:rPr>
                <w:rFonts w:hint="eastAsia"/>
                <w:highlight w:val="none"/>
              </w:rPr>
              <w:t>本项目位于吉林省长春市北湖科技开发区龙腾路以南、建丰街以东，总投资</w:t>
            </w:r>
            <w:r>
              <w:rPr>
                <w:highlight w:val="none"/>
              </w:rPr>
              <w:t>200</w:t>
            </w:r>
            <w:r>
              <w:rPr>
                <w:rFonts w:hint="eastAsia"/>
                <w:highlight w:val="none"/>
              </w:rPr>
              <w:t>万元，环保投资</w:t>
            </w:r>
            <w:r>
              <w:rPr>
                <w:highlight w:val="none"/>
              </w:rPr>
              <w:t>23</w:t>
            </w:r>
            <w:r>
              <w:rPr>
                <w:rFonts w:hint="eastAsia"/>
                <w:highlight w:val="none"/>
              </w:rPr>
              <w:t>万元，项目占地面积</w:t>
            </w:r>
            <w:r>
              <w:rPr>
                <w:highlight w:val="none"/>
              </w:rPr>
              <w:t>40</w:t>
            </w:r>
            <w:r>
              <w:rPr>
                <w:rFonts w:hint="eastAsia"/>
                <w:highlight w:val="none"/>
              </w:rPr>
              <w:t>m</w:t>
            </w:r>
            <w:r>
              <w:rPr>
                <w:highlight w:val="none"/>
                <w:vertAlign w:val="superscript"/>
              </w:rPr>
              <w:t>2</w:t>
            </w:r>
            <w:r>
              <w:rPr>
                <w:rFonts w:hint="eastAsia"/>
                <w:highlight w:val="none"/>
              </w:rPr>
              <w:t>；主要工程组成详见下表。</w:t>
            </w:r>
          </w:p>
          <w:p>
            <w:pPr>
              <w:jc w:val="center"/>
              <w:rPr>
                <w:b/>
                <w:bCs/>
                <w:highlight w:val="none"/>
                <w:u w:val="single"/>
              </w:rPr>
            </w:pPr>
            <w:r>
              <w:rPr>
                <w:rFonts w:hint="eastAsia"/>
                <w:b/>
                <w:bCs/>
                <w:highlight w:val="none"/>
                <w:u w:val="single"/>
              </w:rPr>
              <w:t>表2</w:t>
            </w:r>
            <w:r>
              <w:rPr>
                <w:b/>
                <w:bCs/>
                <w:highlight w:val="none"/>
                <w:u w:val="single"/>
              </w:rPr>
              <w:t xml:space="preserve">-1  </w:t>
            </w:r>
            <w:r>
              <w:rPr>
                <w:rFonts w:hint="eastAsia"/>
                <w:b/>
                <w:bCs/>
                <w:highlight w:val="none"/>
                <w:u w:val="single"/>
              </w:rPr>
              <w:t>工程组成一览表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00"/>
              <w:gridCol w:w="6083"/>
              <w:gridCol w:w="8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bCs/>
                      <w:highlight w:val="none"/>
                    </w:rPr>
                  </w:pPr>
                  <w:r>
                    <w:rPr>
                      <w:rFonts w:hint="eastAsia"/>
                      <w:bCs/>
                      <w:szCs w:val="21"/>
                      <w:highlight w:val="none"/>
                    </w:rPr>
                    <w:t>类别</w:t>
                  </w:r>
                </w:p>
              </w:tc>
              <w:tc>
                <w:tcPr>
                  <w:tcW w:w="1100" w:type="dxa"/>
                  <w:vAlign w:val="center"/>
                </w:tcPr>
                <w:p>
                  <w:pPr>
                    <w:jc w:val="center"/>
                    <w:rPr>
                      <w:bCs/>
                      <w:highlight w:val="none"/>
                    </w:rPr>
                  </w:pPr>
                  <w:r>
                    <w:rPr>
                      <w:rFonts w:hint="eastAsia"/>
                      <w:bCs/>
                      <w:szCs w:val="21"/>
                      <w:highlight w:val="none"/>
                    </w:rPr>
                    <w:t>工程内容</w:t>
                  </w:r>
                </w:p>
              </w:tc>
              <w:tc>
                <w:tcPr>
                  <w:tcW w:w="6083" w:type="dxa"/>
                  <w:vAlign w:val="center"/>
                </w:tcPr>
                <w:p>
                  <w:pPr>
                    <w:jc w:val="center"/>
                    <w:rPr>
                      <w:bCs/>
                      <w:highlight w:val="none"/>
                    </w:rPr>
                  </w:pPr>
                  <w:r>
                    <w:rPr>
                      <w:rFonts w:hint="eastAsia"/>
                      <w:bCs/>
                      <w:szCs w:val="21"/>
                      <w:highlight w:val="none"/>
                    </w:rPr>
                    <w:t>基本情况</w:t>
                  </w:r>
                </w:p>
              </w:tc>
              <w:tc>
                <w:tcPr>
                  <w:tcW w:w="865" w:type="dxa"/>
                  <w:vAlign w:val="center"/>
                </w:tcPr>
                <w:p>
                  <w:pPr>
                    <w:jc w:val="center"/>
                    <w:rPr>
                      <w:bCs/>
                      <w:highlight w:val="none"/>
                    </w:rPr>
                  </w:pPr>
                  <w:r>
                    <w:rPr>
                      <w:rFonts w:hint="eastAsia"/>
                      <w:bCs/>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pPr>
                    <w:jc w:val="center"/>
                    <w:rPr>
                      <w:bCs/>
                      <w:highlight w:val="none"/>
                    </w:rPr>
                  </w:pPr>
                  <w:r>
                    <w:rPr>
                      <w:rFonts w:hint="eastAsia"/>
                      <w:bCs/>
                      <w:highlight w:val="none"/>
                    </w:rPr>
                    <w:t>主体工程</w:t>
                  </w:r>
                </w:p>
              </w:tc>
              <w:tc>
                <w:tcPr>
                  <w:tcW w:w="1100" w:type="dxa"/>
                  <w:vAlign w:val="center"/>
                </w:tcPr>
                <w:p>
                  <w:pPr>
                    <w:jc w:val="center"/>
                    <w:rPr>
                      <w:bCs/>
                      <w:highlight w:val="none"/>
                    </w:rPr>
                  </w:pPr>
                  <w:r>
                    <w:rPr>
                      <w:rFonts w:hint="eastAsia"/>
                      <w:bCs/>
                      <w:highlight w:val="none"/>
                    </w:rPr>
                    <w:t>燃气热水锅炉房</w:t>
                  </w:r>
                </w:p>
              </w:tc>
              <w:tc>
                <w:tcPr>
                  <w:tcW w:w="6083" w:type="dxa"/>
                  <w:vAlign w:val="center"/>
                </w:tcPr>
                <w:p>
                  <w:pPr>
                    <w:rPr>
                      <w:bCs/>
                      <w:highlight w:val="none"/>
                    </w:rPr>
                  </w:pPr>
                  <w:r>
                    <w:rPr>
                      <w:rFonts w:hint="eastAsia"/>
                      <w:bCs/>
                      <w:highlight w:val="none"/>
                    </w:rPr>
                    <w:t>位于一号厂房，用于冬季供暖，占地面积2</w:t>
                  </w:r>
                  <w:r>
                    <w:rPr>
                      <w:bCs/>
                      <w:highlight w:val="none"/>
                    </w:rPr>
                    <w:t>0</w:t>
                  </w:r>
                  <w:r>
                    <w:rPr>
                      <w:rFonts w:hint="eastAsia"/>
                      <w:bCs/>
                      <w:highlight w:val="none"/>
                    </w:rPr>
                    <w:t>m</w:t>
                  </w:r>
                  <w:r>
                    <w:rPr>
                      <w:bCs/>
                      <w:highlight w:val="none"/>
                      <w:vertAlign w:val="superscript"/>
                    </w:rPr>
                    <w:t>2</w:t>
                  </w:r>
                  <w:r>
                    <w:rPr>
                      <w:rFonts w:hint="eastAsia"/>
                      <w:bCs/>
                      <w:highlight w:val="none"/>
                    </w:rPr>
                    <w:t>。</w:t>
                  </w:r>
                </w:p>
              </w:tc>
              <w:tc>
                <w:tcPr>
                  <w:tcW w:w="865" w:type="dxa"/>
                  <w:vAlign w:val="center"/>
                </w:tcPr>
                <w:p>
                  <w:pPr>
                    <w:jc w:val="center"/>
                    <w:rPr>
                      <w:bCs/>
                      <w:highlight w:val="none"/>
                    </w:rPr>
                  </w:pPr>
                  <w:r>
                    <w:rPr>
                      <w:rFonts w:hint="eastAsia"/>
                      <w:bCs/>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jc w:val="center"/>
                    <w:rPr>
                      <w:bCs/>
                      <w:highlight w:val="none"/>
                    </w:rPr>
                  </w:pPr>
                </w:p>
              </w:tc>
              <w:tc>
                <w:tcPr>
                  <w:tcW w:w="1100" w:type="dxa"/>
                  <w:vAlign w:val="center"/>
                </w:tcPr>
                <w:p>
                  <w:pPr>
                    <w:jc w:val="center"/>
                    <w:rPr>
                      <w:bCs/>
                      <w:highlight w:val="none"/>
                    </w:rPr>
                  </w:pPr>
                  <w:r>
                    <w:rPr>
                      <w:rFonts w:hint="eastAsia"/>
                      <w:bCs/>
                      <w:highlight w:val="none"/>
                    </w:rPr>
                    <w:t>燃气蒸汽锅炉房</w:t>
                  </w:r>
                </w:p>
              </w:tc>
              <w:tc>
                <w:tcPr>
                  <w:tcW w:w="6083" w:type="dxa"/>
                  <w:vAlign w:val="center"/>
                </w:tcPr>
                <w:p>
                  <w:pPr>
                    <w:rPr>
                      <w:bCs/>
                      <w:highlight w:val="none"/>
                    </w:rPr>
                  </w:pPr>
                  <w:r>
                    <w:rPr>
                      <w:rFonts w:hint="eastAsia"/>
                      <w:bCs/>
                      <w:highlight w:val="none"/>
                    </w:rPr>
                    <w:t>位于二号厂房，用于生产用热，占地面积2</w:t>
                  </w:r>
                  <w:r>
                    <w:rPr>
                      <w:bCs/>
                      <w:highlight w:val="none"/>
                    </w:rPr>
                    <w:t>0</w:t>
                  </w:r>
                  <w:r>
                    <w:rPr>
                      <w:rFonts w:hint="eastAsia"/>
                      <w:bCs/>
                      <w:highlight w:val="none"/>
                    </w:rPr>
                    <w:t>m</w:t>
                  </w:r>
                  <w:r>
                    <w:rPr>
                      <w:bCs/>
                      <w:highlight w:val="none"/>
                      <w:vertAlign w:val="superscript"/>
                    </w:rPr>
                    <w:t>2</w:t>
                  </w:r>
                  <w:r>
                    <w:rPr>
                      <w:rFonts w:hint="eastAsia"/>
                      <w:bCs/>
                      <w:highlight w:val="none"/>
                    </w:rPr>
                    <w:t>。</w:t>
                  </w:r>
                </w:p>
              </w:tc>
              <w:tc>
                <w:tcPr>
                  <w:tcW w:w="865" w:type="dxa"/>
                  <w:vAlign w:val="center"/>
                </w:tcPr>
                <w:p>
                  <w:pPr>
                    <w:jc w:val="center"/>
                    <w:rPr>
                      <w:bCs/>
                      <w:highlight w:val="none"/>
                    </w:rPr>
                  </w:pPr>
                  <w:r>
                    <w:rPr>
                      <w:rFonts w:hint="eastAsia"/>
                      <w:bCs/>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pPr>
                    <w:jc w:val="center"/>
                    <w:rPr>
                      <w:bCs/>
                      <w:highlight w:val="none"/>
                    </w:rPr>
                  </w:pPr>
                  <w:r>
                    <w:rPr>
                      <w:rFonts w:hint="eastAsia"/>
                      <w:bCs/>
                      <w:highlight w:val="none"/>
                    </w:rPr>
                    <w:t>公用工程</w:t>
                  </w:r>
                </w:p>
              </w:tc>
              <w:tc>
                <w:tcPr>
                  <w:tcW w:w="1100" w:type="dxa"/>
                  <w:vAlign w:val="center"/>
                </w:tcPr>
                <w:p>
                  <w:pPr>
                    <w:jc w:val="center"/>
                    <w:rPr>
                      <w:bCs/>
                      <w:highlight w:val="none"/>
                    </w:rPr>
                  </w:pPr>
                  <w:r>
                    <w:rPr>
                      <w:rFonts w:hint="eastAsia"/>
                      <w:bCs/>
                      <w:highlight w:val="none"/>
                    </w:rPr>
                    <w:t>给水</w:t>
                  </w:r>
                </w:p>
              </w:tc>
              <w:tc>
                <w:tcPr>
                  <w:tcW w:w="6083" w:type="dxa"/>
                  <w:vAlign w:val="center"/>
                </w:tcPr>
                <w:p>
                  <w:pPr>
                    <w:rPr>
                      <w:bCs/>
                      <w:highlight w:val="none"/>
                    </w:rPr>
                  </w:pPr>
                  <w:r>
                    <w:rPr>
                      <w:rFonts w:hint="eastAsia"/>
                      <w:bCs/>
                      <w:highlight w:val="none"/>
                    </w:rPr>
                    <w:t>项目用水引自开发区市政给水管网。</w:t>
                  </w:r>
                </w:p>
              </w:tc>
              <w:tc>
                <w:tcPr>
                  <w:tcW w:w="865" w:type="dxa"/>
                  <w:vAlign w:val="center"/>
                </w:tcPr>
                <w:p>
                  <w:pPr>
                    <w:jc w:val="center"/>
                    <w:rPr>
                      <w:bCs/>
                      <w:highlight w:val="none"/>
                    </w:rPr>
                  </w:pPr>
                  <w:r>
                    <w:rPr>
                      <w:rFonts w:hint="eastAsia"/>
                      <w:bCs/>
                      <w:highlight w:val="none"/>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jc w:val="center"/>
                    <w:rPr>
                      <w:bCs/>
                      <w:highlight w:val="none"/>
                    </w:rPr>
                  </w:pPr>
                </w:p>
              </w:tc>
              <w:tc>
                <w:tcPr>
                  <w:tcW w:w="1100" w:type="dxa"/>
                  <w:vAlign w:val="center"/>
                </w:tcPr>
                <w:p>
                  <w:pPr>
                    <w:jc w:val="center"/>
                    <w:rPr>
                      <w:bCs/>
                      <w:highlight w:val="none"/>
                    </w:rPr>
                  </w:pPr>
                  <w:r>
                    <w:rPr>
                      <w:rFonts w:hint="eastAsia"/>
                      <w:bCs/>
                      <w:highlight w:val="none"/>
                    </w:rPr>
                    <w:t>排水</w:t>
                  </w:r>
                </w:p>
              </w:tc>
              <w:tc>
                <w:tcPr>
                  <w:tcW w:w="6083" w:type="dxa"/>
                  <w:vAlign w:val="center"/>
                </w:tcPr>
                <w:p>
                  <w:pPr>
                    <w:rPr>
                      <w:bCs/>
                      <w:highlight w:val="none"/>
                    </w:rPr>
                  </w:pPr>
                  <w:r>
                    <w:rPr>
                      <w:rFonts w:hint="eastAsia"/>
                      <w:bCs/>
                      <w:highlight w:val="none"/>
                    </w:rPr>
                    <w:t>本项目锅炉排水为清净下水，经市政污水管网进入长春高新技术产业开发区北区污水处理厂。</w:t>
                  </w:r>
                </w:p>
              </w:tc>
              <w:tc>
                <w:tcPr>
                  <w:tcW w:w="865" w:type="dxa"/>
                  <w:vAlign w:val="center"/>
                </w:tcPr>
                <w:p>
                  <w:pPr>
                    <w:jc w:val="center"/>
                    <w:rPr>
                      <w:bCs/>
                      <w:highlight w:val="none"/>
                    </w:rPr>
                  </w:pPr>
                  <w:r>
                    <w:rPr>
                      <w:rFonts w:hint="eastAsia"/>
                      <w:bCs/>
                      <w:highlight w:val="none"/>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jc w:val="center"/>
                    <w:rPr>
                      <w:bCs/>
                      <w:highlight w:val="none"/>
                    </w:rPr>
                  </w:pPr>
                </w:p>
              </w:tc>
              <w:tc>
                <w:tcPr>
                  <w:tcW w:w="1100" w:type="dxa"/>
                  <w:vAlign w:val="center"/>
                </w:tcPr>
                <w:p>
                  <w:pPr>
                    <w:jc w:val="center"/>
                    <w:rPr>
                      <w:bCs/>
                      <w:highlight w:val="none"/>
                    </w:rPr>
                  </w:pPr>
                  <w:r>
                    <w:rPr>
                      <w:rFonts w:hint="eastAsia"/>
                      <w:bCs/>
                      <w:highlight w:val="none"/>
                    </w:rPr>
                    <w:t>供热</w:t>
                  </w:r>
                </w:p>
              </w:tc>
              <w:tc>
                <w:tcPr>
                  <w:tcW w:w="6083" w:type="dxa"/>
                  <w:vAlign w:val="center"/>
                </w:tcPr>
                <w:p>
                  <w:pPr>
                    <w:rPr>
                      <w:bCs/>
                      <w:highlight w:val="none"/>
                    </w:rPr>
                  </w:pPr>
                  <w:r>
                    <w:rPr>
                      <w:rFonts w:hint="eastAsia"/>
                      <w:highlight w:val="none"/>
                    </w:rPr>
                    <w:t>冬季供暖2台燃气热水锅炉（1</w:t>
                  </w:r>
                  <w:r>
                    <w:rPr>
                      <w:highlight w:val="none"/>
                    </w:rPr>
                    <w:t>050KW</w:t>
                  </w:r>
                  <w:r>
                    <w:rPr>
                      <w:rFonts w:hint="eastAsia"/>
                      <w:highlight w:val="none"/>
                    </w:rPr>
                    <w:t>）；生产用热采用2台燃气蒸汽锅炉（</w:t>
                  </w:r>
                  <w:r>
                    <w:rPr>
                      <w:highlight w:val="none"/>
                    </w:rPr>
                    <w:t>0.5t/h</w:t>
                  </w:r>
                  <w:r>
                    <w:rPr>
                      <w:rFonts w:hint="eastAsia"/>
                      <w:highlight w:val="none"/>
                    </w:rPr>
                    <w:t>）。</w:t>
                  </w:r>
                </w:p>
              </w:tc>
              <w:tc>
                <w:tcPr>
                  <w:tcW w:w="865" w:type="dxa"/>
                  <w:vAlign w:val="center"/>
                </w:tcPr>
                <w:p>
                  <w:pPr>
                    <w:jc w:val="center"/>
                    <w:rPr>
                      <w:bCs/>
                      <w:highlight w:val="none"/>
                    </w:rPr>
                  </w:pPr>
                  <w:r>
                    <w:rPr>
                      <w:rFonts w:hint="eastAsia"/>
                      <w:bCs/>
                      <w:highlight w:val="none"/>
                    </w:rPr>
                    <w:t>本次新增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jc w:val="center"/>
                    <w:rPr>
                      <w:bCs/>
                      <w:highlight w:val="none"/>
                    </w:rPr>
                  </w:pPr>
                </w:p>
              </w:tc>
              <w:tc>
                <w:tcPr>
                  <w:tcW w:w="1100" w:type="dxa"/>
                  <w:vAlign w:val="center"/>
                </w:tcPr>
                <w:p>
                  <w:pPr>
                    <w:jc w:val="center"/>
                    <w:rPr>
                      <w:bCs/>
                      <w:highlight w:val="none"/>
                    </w:rPr>
                  </w:pPr>
                  <w:r>
                    <w:rPr>
                      <w:rFonts w:hint="eastAsia"/>
                      <w:bCs/>
                      <w:highlight w:val="none"/>
                    </w:rPr>
                    <w:t>供电</w:t>
                  </w:r>
                </w:p>
              </w:tc>
              <w:tc>
                <w:tcPr>
                  <w:tcW w:w="6083" w:type="dxa"/>
                  <w:vAlign w:val="center"/>
                </w:tcPr>
                <w:p>
                  <w:pPr>
                    <w:rPr>
                      <w:bCs/>
                      <w:highlight w:val="none"/>
                    </w:rPr>
                  </w:pPr>
                  <w:r>
                    <w:rPr>
                      <w:rFonts w:hint="eastAsia"/>
                      <w:bCs/>
                      <w:highlight w:val="none"/>
                    </w:rPr>
                    <w:t>用电由市政供电系统提供。</w:t>
                  </w:r>
                </w:p>
              </w:tc>
              <w:tc>
                <w:tcPr>
                  <w:tcW w:w="865" w:type="dxa"/>
                  <w:vAlign w:val="center"/>
                </w:tcPr>
                <w:p>
                  <w:pPr>
                    <w:jc w:val="center"/>
                    <w:rPr>
                      <w:bCs/>
                      <w:highlight w:val="none"/>
                    </w:rPr>
                  </w:pPr>
                  <w:r>
                    <w:rPr>
                      <w:rFonts w:hint="eastAsia"/>
                      <w:bCs/>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pPr>
                    <w:jc w:val="center"/>
                    <w:rPr>
                      <w:bCs/>
                      <w:highlight w:val="none"/>
                    </w:rPr>
                  </w:pPr>
                  <w:r>
                    <w:rPr>
                      <w:rFonts w:hint="eastAsia"/>
                      <w:bCs/>
                      <w:highlight w:val="none"/>
                    </w:rPr>
                    <w:t>环保工程</w:t>
                  </w:r>
                </w:p>
              </w:tc>
              <w:tc>
                <w:tcPr>
                  <w:tcW w:w="1100" w:type="dxa"/>
                  <w:vAlign w:val="center"/>
                </w:tcPr>
                <w:p>
                  <w:pPr>
                    <w:jc w:val="center"/>
                    <w:rPr>
                      <w:bCs/>
                      <w:highlight w:val="none"/>
                    </w:rPr>
                  </w:pPr>
                  <w:r>
                    <w:rPr>
                      <w:rFonts w:hint="eastAsia"/>
                      <w:bCs/>
                      <w:highlight w:val="none"/>
                    </w:rPr>
                    <w:t>废气</w:t>
                  </w:r>
                </w:p>
              </w:tc>
              <w:tc>
                <w:tcPr>
                  <w:tcW w:w="6083" w:type="dxa"/>
                  <w:vAlign w:val="center"/>
                </w:tcPr>
                <w:p>
                  <w:pPr>
                    <w:rPr>
                      <w:bCs/>
                      <w:highlight w:val="none"/>
                    </w:rPr>
                  </w:pPr>
                  <w:r>
                    <w:rPr>
                      <w:rFonts w:hint="eastAsia"/>
                      <w:bCs/>
                      <w:highlight w:val="none"/>
                    </w:rPr>
                    <w:t>燃气热水锅炉的烟气经2</w:t>
                  </w:r>
                  <w:r>
                    <w:rPr>
                      <w:bCs/>
                      <w:highlight w:val="none"/>
                    </w:rPr>
                    <w:t>7</w:t>
                  </w:r>
                  <w:r>
                    <w:rPr>
                      <w:rFonts w:hint="eastAsia"/>
                      <w:bCs/>
                      <w:highlight w:val="none"/>
                    </w:rPr>
                    <w:t>m高排气筒（D</w:t>
                  </w:r>
                  <w:r>
                    <w:rPr>
                      <w:bCs/>
                      <w:highlight w:val="none"/>
                    </w:rPr>
                    <w:t>A001</w:t>
                  </w:r>
                  <w:r>
                    <w:rPr>
                      <w:rFonts w:hint="eastAsia"/>
                      <w:bCs/>
                      <w:highlight w:val="none"/>
                    </w:rPr>
                    <w:t>、D</w:t>
                  </w:r>
                  <w:r>
                    <w:rPr>
                      <w:bCs/>
                      <w:highlight w:val="none"/>
                    </w:rPr>
                    <w:t>A002</w:t>
                  </w:r>
                  <w:r>
                    <w:rPr>
                      <w:rFonts w:hint="eastAsia"/>
                      <w:bCs/>
                      <w:highlight w:val="none"/>
                    </w:rPr>
                    <w:t>）排放；</w:t>
                  </w:r>
                </w:p>
                <w:p>
                  <w:pPr>
                    <w:rPr>
                      <w:bCs/>
                      <w:highlight w:val="none"/>
                    </w:rPr>
                  </w:pPr>
                  <w:r>
                    <w:rPr>
                      <w:rFonts w:hint="eastAsia"/>
                      <w:bCs/>
                      <w:highlight w:val="none"/>
                    </w:rPr>
                    <w:t>燃气蒸汽锅炉的烟气经2</w:t>
                  </w:r>
                  <w:r>
                    <w:rPr>
                      <w:bCs/>
                      <w:highlight w:val="none"/>
                    </w:rPr>
                    <w:t>7</w:t>
                  </w:r>
                  <w:r>
                    <w:rPr>
                      <w:rFonts w:hint="eastAsia"/>
                      <w:bCs/>
                      <w:highlight w:val="none"/>
                    </w:rPr>
                    <w:t>m高排气筒（D</w:t>
                  </w:r>
                  <w:r>
                    <w:rPr>
                      <w:bCs/>
                      <w:highlight w:val="none"/>
                    </w:rPr>
                    <w:t>A003</w:t>
                  </w:r>
                  <w:r>
                    <w:rPr>
                      <w:rFonts w:hint="eastAsia"/>
                      <w:bCs/>
                      <w:highlight w:val="none"/>
                    </w:rPr>
                    <w:t>、D</w:t>
                  </w:r>
                  <w:r>
                    <w:rPr>
                      <w:bCs/>
                      <w:highlight w:val="none"/>
                    </w:rPr>
                    <w:t>A004</w:t>
                  </w:r>
                  <w:r>
                    <w:rPr>
                      <w:rFonts w:hint="eastAsia"/>
                      <w:bCs/>
                      <w:highlight w:val="none"/>
                    </w:rPr>
                    <w:t>）排放；</w:t>
                  </w:r>
                </w:p>
              </w:tc>
              <w:tc>
                <w:tcPr>
                  <w:tcW w:w="865" w:type="dxa"/>
                  <w:vAlign w:val="center"/>
                </w:tcPr>
                <w:p>
                  <w:pPr>
                    <w:jc w:val="center"/>
                    <w:rPr>
                      <w:bCs/>
                      <w:highlight w:val="none"/>
                    </w:rPr>
                  </w:pPr>
                  <w:r>
                    <w:rPr>
                      <w:rFonts w:hint="eastAsia"/>
                      <w:bCs/>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jc w:val="center"/>
                    <w:rPr>
                      <w:bCs/>
                      <w:highlight w:val="none"/>
                    </w:rPr>
                  </w:pPr>
                </w:p>
              </w:tc>
              <w:tc>
                <w:tcPr>
                  <w:tcW w:w="1100" w:type="dxa"/>
                  <w:vAlign w:val="center"/>
                </w:tcPr>
                <w:p>
                  <w:pPr>
                    <w:jc w:val="center"/>
                    <w:rPr>
                      <w:bCs/>
                      <w:highlight w:val="none"/>
                    </w:rPr>
                  </w:pPr>
                  <w:r>
                    <w:rPr>
                      <w:rFonts w:hint="eastAsia"/>
                      <w:bCs/>
                      <w:highlight w:val="none"/>
                    </w:rPr>
                    <w:t>废水</w:t>
                  </w:r>
                </w:p>
              </w:tc>
              <w:tc>
                <w:tcPr>
                  <w:tcW w:w="6083" w:type="dxa"/>
                  <w:vAlign w:val="center"/>
                </w:tcPr>
                <w:p>
                  <w:pPr>
                    <w:rPr>
                      <w:bCs/>
                      <w:highlight w:val="none"/>
                    </w:rPr>
                  </w:pPr>
                  <w:r>
                    <w:rPr>
                      <w:rFonts w:hint="eastAsia"/>
                      <w:bCs/>
                      <w:highlight w:val="none"/>
                    </w:rPr>
                    <w:t>本项目锅炉排水为清净下水，经市政污水管网进入长春高新技术产业开发区北区污水处理厂。</w:t>
                  </w:r>
                </w:p>
              </w:tc>
              <w:tc>
                <w:tcPr>
                  <w:tcW w:w="865" w:type="dxa"/>
                  <w:vAlign w:val="center"/>
                </w:tcPr>
                <w:p>
                  <w:pPr>
                    <w:jc w:val="center"/>
                    <w:rPr>
                      <w:bCs/>
                      <w:highlight w:val="none"/>
                    </w:rPr>
                  </w:pPr>
                  <w:r>
                    <w:rPr>
                      <w:rFonts w:hint="eastAsia"/>
                      <w:bCs/>
                      <w:highlight w:val="none"/>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jc w:val="center"/>
                    <w:rPr>
                      <w:bCs/>
                      <w:highlight w:val="none"/>
                    </w:rPr>
                  </w:pPr>
                </w:p>
              </w:tc>
              <w:tc>
                <w:tcPr>
                  <w:tcW w:w="1100" w:type="dxa"/>
                  <w:vAlign w:val="center"/>
                </w:tcPr>
                <w:p>
                  <w:pPr>
                    <w:jc w:val="center"/>
                    <w:rPr>
                      <w:bCs/>
                      <w:highlight w:val="none"/>
                    </w:rPr>
                  </w:pPr>
                  <w:r>
                    <w:rPr>
                      <w:rFonts w:hint="eastAsia"/>
                      <w:bCs/>
                      <w:highlight w:val="none"/>
                    </w:rPr>
                    <w:t>噪声</w:t>
                  </w:r>
                </w:p>
              </w:tc>
              <w:tc>
                <w:tcPr>
                  <w:tcW w:w="6083" w:type="dxa"/>
                  <w:vAlign w:val="center"/>
                </w:tcPr>
                <w:p>
                  <w:pPr>
                    <w:rPr>
                      <w:bCs/>
                      <w:highlight w:val="none"/>
                    </w:rPr>
                  </w:pPr>
                  <w:r>
                    <w:rPr>
                      <w:rFonts w:hint="eastAsia"/>
                      <w:bCs/>
                      <w:highlight w:val="none"/>
                    </w:rPr>
                    <w:t>优先选购低噪声设备，针对高噪声设备的减振、隔声措施，建筑物内部吸声等。</w:t>
                  </w:r>
                </w:p>
              </w:tc>
              <w:tc>
                <w:tcPr>
                  <w:tcW w:w="865" w:type="dxa"/>
                  <w:vAlign w:val="center"/>
                </w:tcPr>
                <w:p>
                  <w:pPr>
                    <w:jc w:val="center"/>
                    <w:rPr>
                      <w:bCs/>
                      <w:highlight w:val="none"/>
                    </w:rPr>
                  </w:pPr>
                  <w:r>
                    <w:rPr>
                      <w:rFonts w:hint="eastAsia"/>
                      <w:bCs/>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jc w:val="center"/>
                    <w:rPr>
                      <w:bCs/>
                      <w:highlight w:val="none"/>
                    </w:rPr>
                  </w:pPr>
                </w:p>
              </w:tc>
              <w:tc>
                <w:tcPr>
                  <w:tcW w:w="1100" w:type="dxa"/>
                  <w:vAlign w:val="center"/>
                </w:tcPr>
                <w:p>
                  <w:pPr>
                    <w:jc w:val="center"/>
                    <w:rPr>
                      <w:bCs/>
                      <w:highlight w:val="none"/>
                    </w:rPr>
                  </w:pPr>
                  <w:r>
                    <w:rPr>
                      <w:rFonts w:hint="eastAsia"/>
                      <w:bCs/>
                      <w:highlight w:val="none"/>
                    </w:rPr>
                    <w:t>固体废物</w:t>
                  </w:r>
                </w:p>
              </w:tc>
              <w:tc>
                <w:tcPr>
                  <w:tcW w:w="6083" w:type="dxa"/>
                  <w:vAlign w:val="center"/>
                </w:tcPr>
                <w:p>
                  <w:pPr>
                    <w:rPr>
                      <w:b/>
                      <w:i/>
                      <w:iCs/>
                      <w:highlight w:val="none"/>
                      <w:u w:val="single"/>
                    </w:rPr>
                  </w:pPr>
                  <w:r>
                    <w:rPr>
                      <w:rFonts w:hint="eastAsia"/>
                      <w:b/>
                      <w:i/>
                      <w:iCs/>
                      <w:highlight w:val="none"/>
                      <w:u w:val="single"/>
                    </w:rPr>
                    <w:t>本项目离子交换树脂暂存于</w:t>
                  </w:r>
                  <w:r>
                    <w:rPr>
                      <w:b/>
                      <w:i/>
                      <w:iCs/>
                      <w:highlight w:val="none"/>
                      <w:u w:val="single"/>
                    </w:rPr>
                    <w:t>一般固体废物暂存区</w:t>
                  </w:r>
                  <w:r>
                    <w:rPr>
                      <w:rFonts w:hint="eastAsia"/>
                      <w:b/>
                      <w:i/>
                      <w:iCs/>
                      <w:highlight w:val="none"/>
                      <w:u w:val="single"/>
                    </w:rPr>
                    <w:t>，委托环卫部门定期处理。</w:t>
                  </w:r>
                </w:p>
              </w:tc>
              <w:tc>
                <w:tcPr>
                  <w:tcW w:w="865" w:type="dxa"/>
                  <w:vAlign w:val="center"/>
                </w:tcPr>
                <w:p>
                  <w:pPr>
                    <w:jc w:val="center"/>
                    <w:rPr>
                      <w:bCs/>
                      <w:highlight w:val="none"/>
                    </w:rPr>
                  </w:pPr>
                  <w:r>
                    <w:rPr>
                      <w:rFonts w:hint="eastAsia"/>
                      <w:bCs/>
                      <w:highlight w:val="none"/>
                    </w:rPr>
                    <w:t>新建</w:t>
                  </w:r>
                </w:p>
              </w:tc>
            </w:tr>
          </w:tbl>
          <w:p>
            <w:pPr>
              <w:pStyle w:val="46"/>
              <w:spacing w:line="240" w:lineRule="auto"/>
              <w:ind w:firstLine="0" w:firstLineChars="0"/>
              <w:rPr>
                <w:b/>
                <w:bCs/>
                <w:highlight w:val="none"/>
              </w:rPr>
            </w:pPr>
            <w:r>
              <w:rPr>
                <w:rFonts w:hint="eastAsia"/>
                <w:b/>
                <w:bCs/>
                <w:highlight w:val="none"/>
              </w:rPr>
              <w:t>本项目依托现有厂房进进行建设，厂房结构为框架结构，为特种陶瓷生产厂房，本项目为特种陶瓷配套建设项目。</w:t>
            </w:r>
          </w:p>
          <w:p>
            <w:pPr>
              <w:pStyle w:val="46"/>
              <w:spacing w:line="240" w:lineRule="auto"/>
              <w:ind w:firstLine="0" w:firstLineChars="0"/>
              <w:rPr>
                <w:b/>
                <w:bCs/>
                <w:highlight w:val="none"/>
              </w:rPr>
            </w:pPr>
          </w:p>
          <w:p>
            <w:pPr>
              <w:pStyle w:val="46"/>
              <w:ind w:firstLine="422"/>
              <w:rPr>
                <w:b/>
                <w:bCs/>
                <w:highlight w:val="none"/>
              </w:rPr>
            </w:pPr>
            <w:r>
              <w:rPr>
                <w:rFonts w:hint="eastAsia"/>
                <w:b/>
                <w:bCs/>
                <w:highlight w:val="none"/>
              </w:rPr>
              <w:t>2、主要生产设施</w:t>
            </w:r>
          </w:p>
          <w:p>
            <w:pPr>
              <w:pStyle w:val="46"/>
              <w:ind w:firstLine="420"/>
              <w:rPr>
                <w:highlight w:val="none"/>
              </w:rPr>
            </w:pPr>
            <w:r>
              <w:rPr>
                <w:rFonts w:hint="eastAsia"/>
                <w:highlight w:val="none"/>
              </w:rPr>
              <w:t>本项目主要生产设施详见下表。</w:t>
            </w:r>
          </w:p>
          <w:p>
            <w:pPr>
              <w:jc w:val="center"/>
              <w:rPr>
                <w:b/>
                <w:bCs/>
                <w:highlight w:val="none"/>
                <w:u w:val="single"/>
              </w:rPr>
            </w:pPr>
            <w:r>
              <w:rPr>
                <w:rFonts w:hint="eastAsia"/>
                <w:b/>
                <w:bCs/>
                <w:highlight w:val="none"/>
                <w:u w:val="single"/>
              </w:rPr>
              <w:t>表2</w:t>
            </w:r>
            <w:r>
              <w:rPr>
                <w:b/>
                <w:bCs/>
                <w:highlight w:val="none"/>
                <w:u w:val="single"/>
              </w:rPr>
              <w:t xml:space="preserve">-3  </w:t>
            </w:r>
            <w:r>
              <w:rPr>
                <w:rFonts w:hint="eastAsia"/>
                <w:b/>
                <w:bCs/>
                <w:highlight w:val="none"/>
                <w:u w:val="single"/>
              </w:rPr>
              <w:t>本项目生产设施一览表</w:t>
            </w:r>
          </w:p>
          <w:tbl>
            <w:tblPr>
              <w:tblStyle w:val="19"/>
              <w:tblW w:w="5000" w:type="pct"/>
              <w:tblInd w:w="0" w:type="dxa"/>
              <w:tblLayout w:type="autofit"/>
              <w:tblCellMar>
                <w:top w:w="0" w:type="dxa"/>
                <w:left w:w="108" w:type="dxa"/>
                <w:bottom w:w="0" w:type="dxa"/>
                <w:right w:w="108" w:type="dxa"/>
              </w:tblCellMar>
            </w:tblPr>
            <w:tblGrid>
              <w:gridCol w:w="666"/>
              <w:gridCol w:w="1990"/>
              <w:gridCol w:w="1660"/>
              <w:gridCol w:w="672"/>
              <w:gridCol w:w="672"/>
              <w:gridCol w:w="1653"/>
              <w:gridCol w:w="1649"/>
            </w:tblGrid>
            <w:tr>
              <w:tblPrEx>
                <w:tblCellMar>
                  <w:top w:w="0" w:type="dxa"/>
                  <w:left w:w="108" w:type="dxa"/>
                  <w:bottom w:w="0" w:type="dxa"/>
                  <w:right w:w="108" w:type="dxa"/>
                </w:tblCellMar>
              </w:tblPrEx>
              <w:trPr>
                <w:trHeight w:val="57" w:hRule="atLeast"/>
                <w:tblHeader/>
              </w:trPr>
              <w:tc>
                <w:tcPr>
                  <w:tcW w:w="372" w:type="pct"/>
                  <w:tcBorders>
                    <w:top w:val="single" w:color="000000" w:sz="12" w:space="0"/>
                    <w:bottom w:val="single" w:color="000000" w:sz="4"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序号</w:t>
                  </w:r>
                </w:p>
              </w:tc>
              <w:tc>
                <w:tcPr>
                  <w:tcW w:w="1110" w:type="pct"/>
                  <w:tcBorders>
                    <w:top w:val="single" w:color="000000" w:sz="12" w:space="0"/>
                    <w:left w:val="single" w:color="000000" w:sz="4" w:space="0"/>
                    <w:bottom w:val="single" w:color="000000" w:sz="4"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项目名称</w:t>
                  </w:r>
                </w:p>
              </w:tc>
              <w:tc>
                <w:tcPr>
                  <w:tcW w:w="926" w:type="pct"/>
                  <w:tcBorders>
                    <w:top w:val="single" w:color="000000" w:sz="12" w:space="0"/>
                    <w:left w:val="single" w:color="000000" w:sz="4" w:space="0"/>
                    <w:bottom w:val="single" w:color="000000" w:sz="4"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规格及型号</w:t>
                  </w:r>
                </w:p>
              </w:tc>
              <w:tc>
                <w:tcPr>
                  <w:tcW w:w="375" w:type="pct"/>
                  <w:tcBorders>
                    <w:top w:val="single" w:color="000000" w:sz="12" w:space="0"/>
                    <w:left w:val="single" w:color="000000" w:sz="4" w:space="0"/>
                    <w:bottom w:val="single" w:color="000000" w:sz="4"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单位</w:t>
                  </w:r>
                </w:p>
              </w:tc>
              <w:tc>
                <w:tcPr>
                  <w:tcW w:w="375" w:type="pct"/>
                  <w:tcBorders>
                    <w:top w:val="single" w:color="000000" w:sz="12" w:space="0"/>
                    <w:left w:val="single" w:color="000000" w:sz="4" w:space="0"/>
                    <w:bottom w:val="single" w:color="000000" w:sz="4" w:space="0"/>
                    <w:right w:val="single" w:color="auto"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数量</w:t>
                  </w:r>
                </w:p>
              </w:tc>
              <w:tc>
                <w:tcPr>
                  <w:tcW w:w="922" w:type="pct"/>
                  <w:tcBorders>
                    <w:top w:val="single" w:color="auto" w:sz="4" w:space="0"/>
                    <w:left w:val="single" w:color="auto" w:sz="4" w:space="0"/>
                    <w:bottom w:val="single" w:color="auto" w:sz="4" w:space="0"/>
                    <w:right w:val="single" w:color="auto" w:sz="4" w:space="0"/>
                  </w:tcBorders>
                  <w:vAlign w:val="center"/>
                </w:tcPr>
                <w:p>
                  <w:pPr>
                    <w:pStyle w:val="46"/>
                    <w:spacing w:line="240" w:lineRule="auto"/>
                    <w:ind w:firstLine="0" w:firstLineChars="0"/>
                    <w:jc w:val="center"/>
                    <w:rPr>
                      <w:highlight w:val="none"/>
                    </w:rPr>
                  </w:pPr>
                  <w:r>
                    <w:rPr>
                      <w:rFonts w:hint="eastAsia"/>
                      <w:highlight w:val="none"/>
                    </w:rPr>
                    <w:t>位置</w:t>
                  </w:r>
                </w:p>
              </w:tc>
              <w:tc>
                <w:tcPr>
                  <w:tcW w:w="921" w:type="pct"/>
                  <w:tcBorders>
                    <w:top w:val="single" w:color="000000" w:sz="12" w:space="0"/>
                    <w:left w:val="single" w:color="auto" w:sz="4" w:space="0"/>
                  </w:tcBorders>
                </w:tcPr>
                <w:p>
                  <w:pPr>
                    <w:pStyle w:val="46"/>
                    <w:spacing w:line="240" w:lineRule="auto"/>
                    <w:ind w:firstLine="0" w:firstLineChars="0"/>
                    <w:jc w:val="center"/>
                    <w:rPr>
                      <w:highlight w:val="none"/>
                    </w:rPr>
                  </w:pPr>
                  <w:r>
                    <w:rPr>
                      <w:rFonts w:hint="eastAsia"/>
                      <w:highlight w:val="none"/>
                    </w:rPr>
                    <w:t>备注</w:t>
                  </w:r>
                </w:p>
              </w:tc>
            </w:tr>
            <w:tr>
              <w:tblPrEx>
                <w:tblCellMar>
                  <w:top w:w="0" w:type="dxa"/>
                  <w:left w:w="108" w:type="dxa"/>
                  <w:bottom w:w="0" w:type="dxa"/>
                  <w:right w:w="108" w:type="dxa"/>
                </w:tblCellMar>
              </w:tblPrEx>
              <w:tc>
                <w:tcPr>
                  <w:tcW w:w="372" w:type="pct"/>
                  <w:tcBorders>
                    <w:top w:val="single" w:color="auto" w:sz="4" w:space="0"/>
                    <w:bottom w:val="single" w:color="auto" w:sz="4" w:space="0"/>
                    <w:right w:val="single" w:color="000000" w:sz="4" w:space="0"/>
                  </w:tcBorders>
                  <w:shd w:val="clear" w:color="auto" w:fill="auto"/>
                  <w:noWrap/>
                  <w:tcMar>
                    <w:left w:w="0" w:type="dxa"/>
                    <w:right w:w="0" w:type="dxa"/>
                  </w:tcMar>
                  <w:vAlign w:val="center"/>
                </w:tcPr>
                <w:p>
                  <w:pPr>
                    <w:pStyle w:val="46"/>
                    <w:spacing w:line="240" w:lineRule="auto"/>
                    <w:ind w:firstLine="0" w:firstLineChars="0"/>
                    <w:jc w:val="center"/>
                    <w:rPr>
                      <w:rFonts w:eastAsia="等线" w:cs="Times New Roman"/>
                      <w:color w:val="000000"/>
                      <w:highlight w:val="none"/>
                    </w:rPr>
                  </w:pPr>
                  <w:r>
                    <w:rPr>
                      <w:rFonts w:hint="eastAsia" w:eastAsia="等线" w:cs="Times New Roman"/>
                      <w:color w:val="000000"/>
                      <w:highlight w:val="none"/>
                    </w:rPr>
                    <w:t>1</w:t>
                  </w:r>
                </w:p>
              </w:tc>
              <w:tc>
                <w:tcPr>
                  <w:tcW w:w="1110" w:type="pct"/>
                  <w:tcBorders>
                    <w:top w:val="single" w:color="auto" w:sz="4" w:space="0"/>
                    <w:left w:val="nil"/>
                    <w:bottom w:val="single" w:color="auto" w:sz="4"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燃气蒸汽锅炉</w:t>
                  </w:r>
                </w:p>
              </w:tc>
              <w:tc>
                <w:tcPr>
                  <w:tcW w:w="926" w:type="pct"/>
                  <w:tcBorders>
                    <w:top w:val="single" w:color="auto" w:sz="4" w:space="0"/>
                    <w:left w:val="nil"/>
                    <w:bottom w:val="single" w:color="auto" w:sz="4"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highlight w:val="none"/>
                    </w:rPr>
                    <w:t>0.5t/h</w:t>
                  </w:r>
                </w:p>
              </w:tc>
              <w:tc>
                <w:tcPr>
                  <w:tcW w:w="375" w:type="pct"/>
                  <w:tcBorders>
                    <w:top w:val="single" w:color="auto" w:sz="4" w:space="0"/>
                    <w:left w:val="nil"/>
                    <w:bottom w:val="single" w:color="auto" w:sz="4"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台</w:t>
                  </w:r>
                </w:p>
              </w:tc>
              <w:tc>
                <w:tcPr>
                  <w:tcW w:w="375" w:type="pct"/>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pStyle w:val="46"/>
                    <w:spacing w:line="240" w:lineRule="auto"/>
                    <w:ind w:firstLine="0" w:firstLineChars="0"/>
                    <w:jc w:val="center"/>
                    <w:rPr>
                      <w:highlight w:val="none"/>
                    </w:rPr>
                  </w:pPr>
                  <w:r>
                    <w:rPr>
                      <w:rFonts w:hint="eastAsia"/>
                      <w:highlight w:val="none"/>
                    </w:rPr>
                    <w:t>2</w:t>
                  </w:r>
                </w:p>
              </w:tc>
              <w:tc>
                <w:tcPr>
                  <w:tcW w:w="922" w:type="pct"/>
                  <w:tcBorders>
                    <w:top w:val="single" w:color="auto" w:sz="4" w:space="0"/>
                    <w:left w:val="single" w:color="auto" w:sz="4" w:space="0"/>
                    <w:bottom w:val="single" w:color="auto" w:sz="4" w:space="0"/>
                    <w:right w:val="single" w:color="auto" w:sz="4" w:space="0"/>
                  </w:tcBorders>
                  <w:vAlign w:val="center"/>
                </w:tcPr>
                <w:p>
                  <w:pPr>
                    <w:pStyle w:val="46"/>
                    <w:spacing w:line="240" w:lineRule="auto"/>
                    <w:ind w:firstLine="0" w:firstLineChars="0"/>
                    <w:jc w:val="center"/>
                    <w:rPr>
                      <w:highlight w:val="none"/>
                    </w:rPr>
                  </w:pPr>
                  <w:r>
                    <w:rPr>
                      <w:rFonts w:hint="eastAsia"/>
                      <w:highlight w:val="none"/>
                    </w:rPr>
                    <w:t>一号厂房</w:t>
                  </w:r>
                </w:p>
              </w:tc>
              <w:tc>
                <w:tcPr>
                  <w:tcW w:w="921" w:type="pct"/>
                  <w:tcBorders>
                    <w:top w:val="single" w:color="auto" w:sz="4" w:space="0"/>
                    <w:left w:val="single" w:color="auto" w:sz="4" w:space="0"/>
                    <w:bottom w:val="single" w:color="auto" w:sz="4" w:space="0"/>
                  </w:tcBorders>
                </w:tcPr>
                <w:p>
                  <w:pPr>
                    <w:pStyle w:val="46"/>
                    <w:spacing w:line="240" w:lineRule="auto"/>
                    <w:ind w:firstLine="0" w:firstLineChars="0"/>
                    <w:jc w:val="center"/>
                    <w:rPr>
                      <w:highlight w:val="none"/>
                    </w:rPr>
                  </w:pPr>
                  <w:r>
                    <w:rPr>
                      <w:rFonts w:hint="eastAsia"/>
                      <w:highlight w:val="none"/>
                    </w:rPr>
                    <w:t>作用于空调</w:t>
                  </w:r>
                </w:p>
              </w:tc>
            </w:tr>
            <w:tr>
              <w:tblPrEx>
                <w:tblCellMar>
                  <w:top w:w="0" w:type="dxa"/>
                  <w:left w:w="108" w:type="dxa"/>
                  <w:bottom w:w="0" w:type="dxa"/>
                  <w:right w:w="108" w:type="dxa"/>
                </w:tblCellMar>
              </w:tblPrEx>
              <w:tc>
                <w:tcPr>
                  <w:tcW w:w="372" w:type="pct"/>
                  <w:tcBorders>
                    <w:top w:val="single" w:color="auto" w:sz="4" w:space="0"/>
                    <w:bottom w:val="single" w:color="000000" w:sz="12" w:space="0"/>
                    <w:right w:val="single" w:color="000000" w:sz="4" w:space="0"/>
                  </w:tcBorders>
                  <w:shd w:val="clear" w:color="auto" w:fill="auto"/>
                  <w:noWrap/>
                  <w:tcMar>
                    <w:left w:w="0" w:type="dxa"/>
                    <w:right w:w="0" w:type="dxa"/>
                  </w:tcMar>
                  <w:vAlign w:val="center"/>
                </w:tcPr>
                <w:p>
                  <w:pPr>
                    <w:pStyle w:val="46"/>
                    <w:spacing w:line="240" w:lineRule="auto"/>
                    <w:ind w:firstLine="0" w:firstLineChars="0"/>
                    <w:jc w:val="center"/>
                    <w:rPr>
                      <w:rFonts w:eastAsia="等线" w:cs="Times New Roman"/>
                      <w:color w:val="000000"/>
                      <w:highlight w:val="none"/>
                    </w:rPr>
                  </w:pPr>
                  <w:r>
                    <w:rPr>
                      <w:rFonts w:hint="eastAsia" w:eastAsia="等线" w:cs="Times New Roman"/>
                      <w:color w:val="000000"/>
                      <w:highlight w:val="none"/>
                    </w:rPr>
                    <w:t>2</w:t>
                  </w:r>
                </w:p>
              </w:tc>
              <w:tc>
                <w:tcPr>
                  <w:tcW w:w="1110" w:type="pct"/>
                  <w:tcBorders>
                    <w:top w:val="single" w:color="auto" w:sz="4" w:space="0"/>
                    <w:left w:val="nil"/>
                    <w:bottom w:val="single" w:color="000000" w:sz="12"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燃气热水锅炉</w:t>
                  </w:r>
                </w:p>
              </w:tc>
              <w:tc>
                <w:tcPr>
                  <w:tcW w:w="926" w:type="pct"/>
                  <w:tcBorders>
                    <w:top w:val="single" w:color="auto" w:sz="4" w:space="0"/>
                    <w:left w:val="nil"/>
                    <w:bottom w:val="single" w:color="000000" w:sz="12"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1</w:t>
                  </w:r>
                  <w:r>
                    <w:rPr>
                      <w:highlight w:val="none"/>
                    </w:rPr>
                    <w:t>050KW</w:t>
                  </w:r>
                </w:p>
              </w:tc>
              <w:tc>
                <w:tcPr>
                  <w:tcW w:w="375" w:type="pct"/>
                  <w:tcBorders>
                    <w:top w:val="single" w:color="auto" w:sz="4" w:space="0"/>
                    <w:left w:val="nil"/>
                    <w:bottom w:val="single" w:color="000000" w:sz="12" w:space="0"/>
                    <w:right w:val="single" w:color="000000" w:sz="4" w:space="0"/>
                  </w:tcBorders>
                  <w:shd w:val="clear" w:color="auto" w:fill="auto"/>
                  <w:tcMar>
                    <w:left w:w="0" w:type="dxa"/>
                    <w:right w:w="0" w:type="dxa"/>
                  </w:tcMar>
                  <w:vAlign w:val="center"/>
                </w:tcPr>
                <w:p>
                  <w:pPr>
                    <w:pStyle w:val="46"/>
                    <w:spacing w:line="240" w:lineRule="auto"/>
                    <w:ind w:firstLine="0" w:firstLineChars="0"/>
                    <w:jc w:val="center"/>
                    <w:rPr>
                      <w:highlight w:val="none"/>
                    </w:rPr>
                  </w:pPr>
                  <w:r>
                    <w:rPr>
                      <w:rFonts w:hint="eastAsia"/>
                      <w:highlight w:val="none"/>
                    </w:rPr>
                    <w:t>台</w:t>
                  </w:r>
                </w:p>
              </w:tc>
              <w:tc>
                <w:tcPr>
                  <w:tcW w:w="375" w:type="pct"/>
                  <w:tcBorders>
                    <w:top w:val="single" w:color="auto" w:sz="4" w:space="0"/>
                    <w:left w:val="nil"/>
                    <w:bottom w:val="single" w:color="000000" w:sz="12" w:space="0"/>
                    <w:right w:val="single" w:color="auto" w:sz="4" w:space="0"/>
                  </w:tcBorders>
                  <w:shd w:val="clear" w:color="auto" w:fill="auto"/>
                  <w:noWrap/>
                  <w:tcMar>
                    <w:left w:w="0" w:type="dxa"/>
                    <w:right w:w="0" w:type="dxa"/>
                  </w:tcMar>
                  <w:vAlign w:val="center"/>
                </w:tcPr>
                <w:p>
                  <w:pPr>
                    <w:pStyle w:val="46"/>
                    <w:spacing w:line="240" w:lineRule="auto"/>
                    <w:ind w:firstLine="0" w:firstLineChars="0"/>
                    <w:jc w:val="center"/>
                    <w:rPr>
                      <w:highlight w:val="none"/>
                    </w:rPr>
                  </w:pPr>
                  <w:r>
                    <w:rPr>
                      <w:rFonts w:hint="eastAsia"/>
                      <w:highlight w:val="none"/>
                    </w:rPr>
                    <w:t>2</w:t>
                  </w:r>
                </w:p>
              </w:tc>
              <w:tc>
                <w:tcPr>
                  <w:tcW w:w="922" w:type="pct"/>
                  <w:tcBorders>
                    <w:top w:val="single" w:color="auto" w:sz="4" w:space="0"/>
                    <w:left w:val="single" w:color="auto" w:sz="4" w:space="0"/>
                    <w:bottom w:val="single" w:color="auto" w:sz="4" w:space="0"/>
                    <w:right w:val="single" w:color="auto" w:sz="4" w:space="0"/>
                  </w:tcBorders>
                  <w:vAlign w:val="center"/>
                </w:tcPr>
                <w:p>
                  <w:pPr>
                    <w:pStyle w:val="46"/>
                    <w:spacing w:line="240" w:lineRule="auto"/>
                    <w:ind w:firstLine="0" w:firstLineChars="0"/>
                    <w:jc w:val="center"/>
                    <w:rPr>
                      <w:highlight w:val="none"/>
                    </w:rPr>
                  </w:pPr>
                  <w:r>
                    <w:rPr>
                      <w:rFonts w:hint="eastAsia"/>
                      <w:highlight w:val="none"/>
                    </w:rPr>
                    <w:t>二号厂房</w:t>
                  </w:r>
                </w:p>
              </w:tc>
              <w:tc>
                <w:tcPr>
                  <w:tcW w:w="921" w:type="pct"/>
                  <w:tcBorders>
                    <w:top w:val="single" w:color="auto" w:sz="4" w:space="0"/>
                    <w:left w:val="single" w:color="auto" w:sz="4" w:space="0"/>
                    <w:bottom w:val="single" w:color="000000" w:sz="12" w:space="0"/>
                  </w:tcBorders>
                </w:tcPr>
                <w:p>
                  <w:pPr>
                    <w:pStyle w:val="46"/>
                    <w:spacing w:line="240" w:lineRule="auto"/>
                    <w:ind w:firstLine="0" w:firstLineChars="0"/>
                    <w:jc w:val="center"/>
                    <w:rPr>
                      <w:b/>
                      <w:bCs/>
                      <w:i/>
                      <w:iCs/>
                      <w:highlight w:val="none"/>
                      <w:u w:val="single"/>
                    </w:rPr>
                  </w:pPr>
                  <w:r>
                    <w:rPr>
                      <w:rFonts w:hint="eastAsia"/>
                      <w:b/>
                      <w:bCs/>
                      <w:i/>
                      <w:iCs/>
                      <w:highlight w:val="none"/>
                      <w:u w:val="single"/>
                    </w:rPr>
                    <w:t>供热面积3</w:t>
                  </w:r>
                  <w:r>
                    <w:rPr>
                      <w:b/>
                      <w:bCs/>
                      <w:i/>
                      <w:iCs/>
                      <w:highlight w:val="none"/>
                      <w:u w:val="single"/>
                    </w:rPr>
                    <w:t>1556</w:t>
                  </w:r>
                  <w:r>
                    <w:rPr>
                      <w:rFonts w:hint="eastAsia"/>
                      <w:b/>
                      <w:bCs/>
                      <w:i/>
                      <w:iCs/>
                      <w:highlight w:val="none"/>
                      <w:u w:val="single"/>
                    </w:rPr>
                    <w:t>m</w:t>
                  </w:r>
                  <w:r>
                    <w:rPr>
                      <w:b/>
                      <w:bCs/>
                      <w:i/>
                      <w:iCs/>
                      <w:highlight w:val="none"/>
                      <w:u w:val="single"/>
                      <w:vertAlign w:val="superscript"/>
                    </w:rPr>
                    <w:t>2</w:t>
                  </w:r>
                </w:p>
              </w:tc>
            </w:tr>
          </w:tbl>
          <w:p>
            <w:pPr>
              <w:pStyle w:val="46"/>
              <w:ind w:firstLine="422"/>
              <w:rPr>
                <w:b/>
                <w:bCs/>
                <w:highlight w:val="none"/>
              </w:rPr>
            </w:pPr>
            <w:r>
              <w:rPr>
                <w:rFonts w:hint="eastAsia"/>
                <w:b/>
                <w:bCs/>
                <w:highlight w:val="none"/>
              </w:rPr>
              <w:t>3、燃料</w:t>
            </w:r>
          </w:p>
          <w:p>
            <w:pPr>
              <w:pStyle w:val="46"/>
              <w:ind w:firstLine="420"/>
              <w:rPr>
                <w:highlight w:val="none"/>
              </w:rPr>
            </w:pPr>
            <w:r>
              <w:rPr>
                <w:rFonts w:hint="eastAsia"/>
                <w:highlight w:val="none"/>
              </w:rPr>
              <w:t>本项目主要原辅材料详见下表。</w:t>
            </w:r>
          </w:p>
          <w:p>
            <w:pPr>
              <w:jc w:val="center"/>
              <w:rPr>
                <w:b/>
                <w:bCs/>
                <w:highlight w:val="none"/>
                <w:u w:val="single"/>
              </w:rPr>
            </w:pPr>
            <w:r>
              <w:rPr>
                <w:rFonts w:hint="eastAsia"/>
                <w:b/>
                <w:bCs/>
                <w:highlight w:val="none"/>
                <w:u w:val="single"/>
              </w:rPr>
              <w:t>表2</w:t>
            </w:r>
            <w:r>
              <w:rPr>
                <w:b/>
                <w:bCs/>
                <w:highlight w:val="none"/>
                <w:u w:val="single"/>
              </w:rPr>
              <w:t xml:space="preserve">-4  </w:t>
            </w:r>
            <w:r>
              <w:rPr>
                <w:rFonts w:hint="eastAsia"/>
                <w:b/>
                <w:bCs/>
                <w:highlight w:val="none"/>
                <w:u w:val="single"/>
              </w:rPr>
              <w:t>本项目燃料一览表</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604"/>
              <w:gridCol w:w="4592"/>
              <w:gridCol w:w="17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1453" w:type="pct"/>
                  <w:vAlign w:val="center"/>
                </w:tcPr>
                <w:p>
                  <w:pPr>
                    <w:pStyle w:val="46"/>
                    <w:spacing w:line="240" w:lineRule="auto"/>
                    <w:ind w:firstLine="0" w:firstLineChars="0"/>
                    <w:jc w:val="center"/>
                    <w:rPr>
                      <w:highlight w:val="none"/>
                    </w:rPr>
                  </w:pPr>
                  <w:r>
                    <w:rPr>
                      <w:rFonts w:hint="eastAsia"/>
                      <w:highlight w:val="none"/>
                    </w:rPr>
                    <w:t>项目</w:t>
                  </w:r>
                </w:p>
              </w:tc>
              <w:tc>
                <w:tcPr>
                  <w:tcW w:w="2562" w:type="pct"/>
                  <w:vAlign w:val="center"/>
                </w:tcPr>
                <w:p>
                  <w:pPr>
                    <w:pStyle w:val="46"/>
                    <w:spacing w:line="240" w:lineRule="auto"/>
                    <w:ind w:firstLine="0" w:firstLineChars="0"/>
                    <w:jc w:val="center"/>
                    <w:rPr>
                      <w:highlight w:val="none"/>
                    </w:rPr>
                  </w:pPr>
                  <w:r>
                    <w:rPr>
                      <w:rFonts w:hint="eastAsia"/>
                      <w:highlight w:val="none"/>
                    </w:rPr>
                    <w:t>年耗量（t）</w:t>
                  </w:r>
                </w:p>
              </w:tc>
              <w:tc>
                <w:tcPr>
                  <w:tcW w:w="985" w:type="pct"/>
                  <w:vAlign w:val="center"/>
                </w:tcPr>
                <w:p>
                  <w:pPr>
                    <w:pStyle w:val="46"/>
                    <w:spacing w:line="240" w:lineRule="auto"/>
                    <w:ind w:firstLine="0" w:firstLineChars="0"/>
                    <w:jc w:val="center"/>
                    <w:rPr>
                      <w:highlight w:val="none"/>
                    </w:rPr>
                  </w:pPr>
                  <w:r>
                    <w:rPr>
                      <w:rFonts w:hint="eastAsia"/>
                      <w:highlight w:val="none"/>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453" w:type="pct"/>
                  <w:vAlign w:val="center"/>
                </w:tcPr>
                <w:p>
                  <w:pPr>
                    <w:pStyle w:val="46"/>
                    <w:spacing w:line="240" w:lineRule="auto"/>
                    <w:ind w:firstLine="0" w:firstLineChars="0"/>
                    <w:jc w:val="center"/>
                    <w:rPr>
                      <w:highlight w:val="none"/>
                    </w:rPr>
                  </w:pPr>
                  <w:r>
                    <w:rPr>
                      <w:rFonts w:hint="eastAsia"/>
                      <w:highlight w:val="none"/>
                    </w:rPr>
                    <w:t>天然气</w:t>
                  </w:r>
                </w:p>
              </w:tc>
              <w:tc>
                <w:tcPr>
                  <w:tcW w:w="2562" w:type="pct"/>
                  <w:vAlign w:val="center"/>
                </w:tcPr>
                <w:p>
                  <w:pPr>
                    <w:pStyle w:val="46"/>
                    <w:spacing w:line="240" w:lineRule="auto"/>
                    <w:ind w:firstLine="0" w:firstLineChars="0"/>
                    <w:jc w:val="center"/>
                    <w:rPr>
                      <w:highlight w:val="none"/>
                    </w:rPr>
                  </w:pPr>
                  <w:r>
                    <w:rPr>
                      <w:rFonts w:hint="eastAsia"/>
                      <w:highlight w:val="none"/>
                    </w:rPr>
                    <w:t>1</w:t>
                  </w:r>
                  <w:r>
                    <w:rPr>
                      <w:highlight w:val="none"/>
                    </w:rPr>
                    <w:t>3.5</w:t>
                  </w:r>
                  <w:r>
                    <w:rPr>
                      <w:rFonts w:hint="eastAsia"/>
                      <w:highlight w:val="none"/>
                    </w:rPr>
                    <w:t>万m</w:t>
                  </w:r>
                  <w:r>
                    <w:rPr>
                      <w:highlight w:val="none"/>
                      <w:vertAlign w:val="superscript"/>
                    </w:rPr>
                    <w:t>3</w:t>
                  </w:r>
                </w:p>
              </w:tc>
              <w:tc>
                <w:tcPr>
                  <w:tcW w:w="985" w:type="pct"/>
                  <w:vAlign w:val="center"/>
                </w:tcPr>
                <w:p>
                  <w:pPr>
                    <w:pStyle w:val="46"/>
                    <w:spacing w:line="240" w:lineRule="auto"/>
                    <w:ind w:firstLine="0" w:firstLineChars="0"/>
                    <w:jc w:val="center"/>
                    <w:rPr>
                      <w:highlight w:val="none"/>
                    </w:rPr>
                  </w:pPr>
                  <w:r>
                    <w:rPr>
                      <w:rFonts w:hint="eastAsia"/>
                      <w:highlight w:val="none"/>
                    </w:rPr>
                    <w:t>外购</w:t>
                  </w:r>
                </w:p>
              </w:tc>
            </w:tr>
          </w:tbl>
          <w:p>
            <w:pPr>
              <w:pStyle w:val="46"/>
              <w:ind w:firstLine="422"/>
              <w:rPr>
                <w:b/>
                <w:bCs/>
                <w:highlight w:val="none"/>
              </w:rPr>
            </w:pPr>
            <w:r>
              <w:rPr>
                <w:rFonts w:hint="eastAsia"/>
                <w:b/>
                <w:bCs/>
                <w:highlight w:val="none"/>
              </w:rPr>
              <w:t>4、公用工程</w:t>
            </w:r>
          </w:p>
          <w:p>
            <w:pPr>
              <w:autoSpaceDE w:val="0"/>
              <w:autoSpaceDN w:val="0"/>
              <w:adjustRightInd w:val="0"/>
              <w:snapToGrid w:val="0"/>
              <w:spacing w:line="360" w:lineRule="auto"/>
              <w:ind w:firstLine="420" w:firstLineChars="200"/>
              <w:rPr>
                <w:rFonts w:ascii="宋体"/>
                <w:color w:val="000000"/>
                <w:highlight w:val="none"/>
              </w:rPr>
            </w:pPr>
            <w:r>
              <w:rPr>
                <w:rFonts w:hint="eastAsia" w:ascii="宋体"/>
                <w:color w:val="000000"/>
                <w:highlight w:val="none"/>
              </w:rPr>
              <w:t>本项目无新增劳动定员，无新增生活用水，主要用水为锅炉用水。</w:t>
            </w:r>
          </w:p>
          <w:p>
            <w:pPr>
              <w:pStyle w:val="46"/>
              <w:ind w:firstLine="422"/>
              <w:rPr>
                <w:b/>
                <w:bCs/>
                <w:highlight w:val="none"/>
              </w:rPr>
            </w:pPr>
            <w:r>
              <w:rPr>
                <w:b/>
                <w:bCs/>
                <w:highlight w:val="none"/>
              </w:rPr>
              <w:t xml:space="preserve">4.1 </w:t>
            </w:r>
            <w:r>
              <w:rPr>
                <w:rFonts w:hint="eastAsia"/>
                <w:b/>
                <w:bCs/>
                <w:highlight w:val="none"/>
              </w:rPr>
              <w:t>给排水</w:t>
            </w:r>
          </w:p>
          <w:p>
            <w:pPr>
              <w:pStyle w:val="46"/>
              <w:ind w:firstLine="420"/>
              <w:rPr>
                <w:highlight w:val="none"/>
              </w:rPr>
            </w:pPr>
            <w:r>
              <w:rPr>
                <w:rFonts w:hint="eastAsia"/>
                <w:highlight w:val="none"/>
              </w:rPr>
              <w:t>根据《排放源统计调查产排污核算方法和系数手册》中的《4</w:t>
            </w:r>
            <w:r>
              <w:rPr>
                <w:highlight w:val="none"/>
              </w:rPr>
              <w:t>430</w:t>
            </w:r>
            <w:r>
              <w:rPr>
                <w:rFonts w:hint="eastAsia"/>
                <w:highlight w:val="none"/>
              </w:rPr>
              <w:t>工业锅炉（热力供应）行业系数手册》中废水产污系数为9</w:t>
            </w:r>
            <w:r>
              <w:rPr>
                <w:highlight w:val="none"/>
              </w:rPr>
              <w:t>.86</w:t>
            </w:r>
            <w:r>
              <w:rPr>
                <w:rFonts w:hint="eastAsia"/>
                <w:highlight w:val="none"/>
              </w:rPr>
              <w:t>吨/万立方米-原料，本项目燃气蒸汽锅炉燃料消耗量为2</w:t>
            </w:r>
            <w:r>
              <w:rPr>
                <w:highlight w:val="none"/>
              </w:rPr>
              <w:t>.5</w:t>
            </w:r>
            <w:r>
              <w:rPr>
                <w:rFonts w:hint="eastAsia"/>
                <w:highlight w:val="none"/>
              </w:rPr>
              <w:t>万m</w:t>
            </w:r>
            <w:r>
              <w:rPr>
                <w:highlight w:val="none"/>
                <w:vertAlign w:val="superscript"/>
              </w:rPr>
              <w:t>3</w:t>
            </w:r>
            <w:r>
              <w:rPr>
                <w:rFonts w:hint="eastAsia"/>
                <w:highlight w:val="none"/>
              </w:rPr>
              <w:t>，燃气热水锅炉燃料消耗量为1</w:t>
            </w:r>
            <w:r>
              <w:rPr>
                <w:highlight w:val="none"/>
              </w:rPr>
              <w:t>1</w:t>
            </w:r>
            <w:r>
              <w:rPr>
                <w:rFonts w:hint="eastAsia"/>
                <w:highlight w:val="none"/>
              </w:rPr>
              <w:t>万m</w:t>
            </w:r>
            <w:r>
              <w:rPr>
                <w:highlight w:val="none"/>
                <w:vertAlign w:val="superscript"/>
              </w:rPr>
              <w:t>3</w:t>
            </w:r>
            <w:r>
              <w:rPr>
                <w:rFonts w:hint="eastAsia"/>
                <w:highlight w:val="none"/>
              </w:rPr>
              <w:t>，因此燃气蒸汽锅炉污水量为2</w:t>
            </w:r>
            <w:r>
              <w:rPr>
                <w:highlight w:val="none"/>
              </w:rPr>
              <w:t>4.65</w:t>
            </w:r>
            <w:r>
              <w:rPr>
                <w:rFonts w:hint="eastAsia"/>
                <w:highlight w:val="none"/>
              </w:rPr>
              <w:t>m</w:t>
            </w:r>
            <w:r>
              <w:rPr>
                <w:highlight w:val="none"/>
                <w:vertAlign w:val="superscript"/>
              </w:rPr>
              <w:t>3</w:t>
            </w:r>
            <w:r>
              <w:rPr>
                <w:highlight w:val="none"/>
              </w:rPr>
              <w:t>/</w:t>
            </w:r>
            <w:r>
              <w:rPr>
                <w:rFonts w:hint="eastAsia"/>
                <w:highlight w:val="none"/>
              </w:rPr>
              <w:t>a，燃气热水锅炉污水量为1</w:t>
            </w:r>
            <w:r>
              <w:rPr>
                <w:highlight w:val="none"/>
              </w:rPr>
              <w:t>08.46</w:t>
            </w:r>
            <w:r>
              <w:rPr>
                <w:rFonts w:hint="eastAsia"/>
                <w:highlight w:val="none"/>
              </w:rPr>
              <w:t>m</w:t>
            </w:r>
            <w:r>
              <w:rPr>
                <w:highlight w:val="none"/>
                <w:vertAlign w:val="superscript"/>
              </w:rPr>
              <w:t>3</w:t>
            </w:r>
            <w:r>
              <w:rPr>
                <w:highlight w:val="none"/>
              </w:rPr>
              <w:t>/</w:t>
            </w:r>
            <w:r>
              <w:rPr>
                <w:rFonts w:hint="eastAsia"/>
                <w:highlight w:val="none"/>
              </w:rPr>
              <w:t>a。</w:t>
            </w:r>
          </w:p>
          <w:p>
            <w:pPr>
              <w:pStyle w:val="46"/>
              <w:ind w:firstLine="420"/>
              <w:rPr>
                <w:highlight w:val="none"/>
              </w:rPr>
            </w:pPr>
            <w:r>
              <w:rPr>
                <w:rFonts w:hint="eastAsia"/>
                <w:highlight w:val="none"/>
              </w:rPr>
              <w:t>本项目锅炉软化水补水量为</w:t>
            </w:r>
            <w:r>
              <w:rPr>
                <w:highlight w:val="none"/>
              </w:rPr>
              <w:t>134</w:t>
            </w:r>
            <w:r>
              <w:rPr>
                <w:rFonts w:hint="eastAsia"/>
                <w:highlight w:val="none"/>
              </w:rPr>
              <w:t>m</w:t>
            </w:r>
            <w:r>
              <w:rPr>
                <w:highlight w:val="none"/>
                <w:vertAlign w:val="superscript"/>
              </w:rPr>
              <w:t>3</w:t>
            </w:r>
            <w:r>
              <w:rPr>
                <w:highlight w:val="none"/>
              </w:rPr>
              <w:t>/</w:t>
            </w:r>
            <w:r>
              <w:rPr>
                <w:rFonts w:hint="eastAsia"/>
                <w:highlight w:val="none"/>
              </w:rPr>
              <w:t>a。</w:t>
            </w:r>
            <w:r>
              <w:rPr>
                <w:highlight w:val="none"/>
              </w:rPr>
              <w:t>锅炉系统补充水需要进行软化处理，软水制备设施采用离子交换树脂制备软水，软水制备率为80%</w:t>
            </w:r>
            <w:r>
              <w:rPr>
                <w:rFonts w:hint="eastAsia"/>
                <w:highlight w:val="none"/>
              </w:rPr>
              <w:t>，因此软化水制备用水量为</w:t>
            </w:r>
            <w:r>
              <w:rPr>
                <w:highlight w:val="none"/>
              </w:rPr>
              <w:t>167.5</w:t>
            </w:r>
            <w:r>
              <w:rPr>
                <w:rFonts w:hint="eastAsia"/>
                <w:highlight w:val="none"/>
              </w:rPr>
              <w:t>m</w:t>
            </w:r>
            <w:r>
              <w:rPr>
                <w:highlight w:val="none"/>
                <w:vertAlign w:val="superscript"/>
              </w:rPr>
              <w:t>3</w:t>
            </w:r>
            <w:r>
              <w:rPr>
                <w:highlight w:val="none"/>
              </w:rPr>
              <w:t>/</w:t>
            </w:r>
            <w:r>
              <w:rPr>
                <w:rFonts w:hint="eastAsia"/>
                <w:highlight w:val="none"/>
              </w:rPr>
              <w:t>a，软化水排水量为3</w:t>
            </w:r>
            <w:r>
              <w:rPr>
                <w:highlight w:val="none"/>
              </w:rPr>
              <w:t>3.5</w:t>
            </w:r>
            <w:r>
              <w:rPr>
                <w:rFonts w:hint="eastAsia"/>
                <w:highlight w:val="none"/>
              </w:rPr>
              <w:t>m</w:t>
            </w:r>
            <w:r>
              <w:rPr>
                <w:highlight w:val="none"/>
                <w:vertAlign w:val="superscript"/>
              </w:rPr>
              <w:t>3</w:t>
            </w:r>
            <w:r>
              <w:rPr>
                <w:highlight w:val="none"/>
              </w:rPr>
              <w:t>/</w:t>
            </w:r>
            <w:r>
              <w:rPr>
                <w:rFonts w:hint="eastAsia"/>
                <w:highlight w:val="none"/>
              </w:rPr>
              <w:t>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8903" w:type="dxa"/>
                </w:tcPr>
                <w:p>
                  <w:pPr>
                    <w:pStyle w:val="46"/>
                    <w:spacing w:line="240" w:lineRule="auto"/>
                    <w:ind w:firstLine="0" w:firstLineChars="0"/>
                    <w:jc w:val="center"/>
                    <w:rPr>
                      <w:highlight w:val="none"/>
                    </w:rPr>
                  </w:pPr>
                  <w:r>
                    <w:rPr>
                      <w:highlight w:val="none"/>
                    </w:rPr>
                    <w:object>
                      <v:shape id="_x0000_i1025" o:spt="75" type="#_x0000_t75" style="height:161.25pt;width:390.7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tc>
            </w:tr>
          </w:tbl>
          <w:p>
            <w:pPr>
              <w:pStyle w:val="46"/>
              <w:ind w:firstLine="0" w:firstLineChars="0"/>
              <w:jc w:val="center"/>
              <w:rPr>
                <w:b/>
                <w:bCs/>
                <w:highlight w:val="none"/>
              </w:rPr>
            </w:pPr>
            <w:r>
              <w:rPr>
                <w:rFonts w:hint="eastAsia"/>
                <w:b/>
                <w:bCs/>
                <w:highlight w:val="none"/>
              </w:rPr>
              <w:t>图</w:t>
            </w:r>
            <w:r>
              <w:rPr>
                <w:b/>
                <w:bCs/>
                <w:highlight w:val="none"/>
              </w:rPr>
              <w:t xml:space="preserve">5  </w:t>
            </w:r>
            <w:r>
              <w:rPr>
                <w:rFonts w:hint="eastAsia"/>
                <w:b/>
                <w:bCs/>
                <w:highlight w:val="none"/>
              </w:rPr>
              <w:t xml:space="preserve">水平衡示意图 </w:t>
            </w:r>
            <w:r>
              <w:rPr>
                <w:b/>
                <w:bCs/>
                <w:highlight w:val="none"/>
              </w:rPr>
              <w:t xml:space="preserve"> </w:t>
            </w:r>
            <w:r>
              <w:rPr>
                <w:rFonts w:hint="eastAsia"/>
                <w:b/>
                <w:bCs/>
                <w:highlight w:val="none"/>
              </w:rPr>
              <w:t>单位：m</w:t>
            </w:r>
            <w:r>
              <w:rPr>
                <w:b/>
                <w:bCs/>
                <w:highlight w:val="none"/>
                <w:vertAlign w:val="superscript"/>
              </w:rPr>
              <w:t>3</w:t>
            </w:r>
            <w:r>
              <w:rPr>
                <w:rFonts w:hint="eastAsia"/>
                <w:b/>
                <w:bCs/>
                <w:highlight w:val="none"/>
              </w:rPr>
              <w:t>/a</w:t>
            </w:r>
          </w:p>
          <w:p>
            <w:pPr>
              <w:pStyle w:val="46"/>
              <w:ind w:firstLine="422"/>
              <w:rPr>
                <w:b/>
                <w:bCs/>
                <w:highlight w:val="none"/>
              </w:rPr>
            </w:pPr>
            <w:r>
              <w:rPr>
                <w:b/>
                <w:bCs/>
                <w:highlight w:val="none"/>
              </w:rPr>
              <w:t>4.2</w:t>
            </w:r>
            <w:r>
              <w:rPr>
                <w:rFonts w:hint="eastAsia"/>
                <w:b/>
                <w:bCs/>
                <w:highlight w:val="none"/>
              </w:rPr>
              <w:t>供热</w:t>
            </w:r>
          </w:p>
          <w:p>
            <w:pPr>
              <w:pStyle w:val="46"/>
              <w:ind w:firstLine="420"/>
              <w:rPr>
                <w:highlight w:val="none"/>
              </w:rPr>
            </w:pPr>
            <w:r>
              <w:rPr>
                <w:rFonts w:hint="eastAsia"/>
                <w:highlight w:val="none"/>
              </w:rPr>
              <w:t>冬季供暖自建2台1</w:t>
            </w:r>
            <w:r>
              <w:rPr>
                <w:highlight w:val="none"/>
              </w:rPr>
              <w:t>050KW</w:t>
            </w:r>
            <w:r>
              <w:rPr>
                <w:rFonts w:hint="eastAsia"/>
                <w:highlight w:val="none"/>
              </w:rPr>
              <w:t>燃气热水锅炉，2台</w:t>
            </w:r>
            <w:r>
              <w:rPr>
                <w:highlight w:val="none"/>
              </w:rPr>
              <w:t>0.5t/h</w:t>
            </w:r>
            <w:r>
              <w:rPr>
                <w:rFonts w:hint="eastAsia"/>
                <w:highlight w:val="none"/>
              </w:rPr>
              <w:t>燃气蒸汽锅炉用于生产。</w:t>
            </w:r>
          </w:p>
          <w:p>
            <w:pPr>
              <w:pStyle w:val="46"/>
              <w:ind w:firstLine="422"/>
              <w:rPr>
                <w:b/>
                <w:bCs/>
                <w:highlight w:val="none"/>
              </w:rPr>
            </w:pPr>
            <w:r>
              <w:rPr>
                <w:b/>
                <w:bCs/>
                <w:highlight w:val="none"/>
              </w:rPr>
              <w:t xml:space="preserve">4.3 </w:t>
            </w:r>
            <w:r>
              <w:rPr>
                <w:rFonts w:hint="eastAsia"/>
                <w:b/>
                <w:bCs/>
                <w:highlight w:val="none"/>
              </w:rPr>
              <w:t>供电</w:t>
            </w:r>
          </w:p>
          <w:p>
            <w:pPr>
              <w:pStyle w:val="46"/>
              <w:ind w:firstLine="420"/>
              <w:rPr>
                <w:highlight w:val="none"/>
              </w:rPr>
            </w:pPr>
            <w:r>
              <w:rPr>
                <w:rFonts w:hint="eastAsia"/>
                <w:highlight w:val="none"/>
              </w:rPr>
              <w:t>厂区供电依托开发区供电设施，可满足需求。</w:t>
            </w:r>
          </w:p>
          <w:p>
            <w:pPr>
              <w:pStyle w:val="46"/>
              <w:ind w:firstLine="422"/>
              <w:rPr>
                <w:b/>
                <w:bCs/>
                <w:highlight w:val="none"/>
              </w:rPr>
            </w:pPr>
            <w:r>
              <w:rPr>
                <w:rFonts w:hint="eastAsia"/>
                <w:b/>
                <w:bCs/>
                <w:highlight w:val="none"/>
              </w:rPr>
              <w:t>5、劳动定员及工作制度</w:t>
            </w:r>
          </w:p>
          <w:p>
            <w:pPr>
              <w:pStyle w:val="46"/>
              <w:ind w:firstLine="420"/>
              <w:rPr>
                <w:highlight w:val="none"/>
              </w:rPr>
            </w:pPr>
            <w:r>
              <w:rPr>
                <w:rFonts w:hint="eastAsia"/>
                <w:highlight w:val="none"/>
              </w:rPr>
              <w:t>本项目不新增劳动定员，厂区现有工人160人，三班制工作，年工作300d，年操作时间为7200h。</w:t>
            </w:r>
          </w:p>
          <w:p>
            <w:pPr>
              <w:pStyle w:val="46"/>
              <w:ind w:firstLine="422"/>
              <w:rPr>
                <w:b/>
                <w:bCs/>
                <w:highlight w:val="none"/>
              </w:rPr>
            </w:pPr>
            <w:r>
              <w:rPr>
                <w:rFonts w:hint="eastAsia"/>
                <w:b/>
                <w:bCs/>
                <w:highlight w:val="none"/>
              </w:rPr>
              <w:t>6、平面布置及四至情况</w:t>
            </w:r>
          </w:p>
          <w:p>
            <w:pPr>
              <w:pStyle w:val="46"/>
              <w:ind w:firstLine="420"/>
              <w:rPr>
                <w:highlight w:val="none"/>
              </w:rPr>
            </w:pPr>
            <w:r>
              <w:rPr>
                <w:rFonts w:hint="eastAsia"/>
                <w:highlight w:val="none"/>
              </w:rPr>
              <w:t>本项目位于</w:t>
            </w:r>
            <w:r>
              <w:rPr>
                <w:highlight w:val="none"/>
              </w:rPr>
              <w:t>林省长春市北湖科技开发区龙腾路以南、建丰街以东</w:t>
            </w:r>
            <w:r>
              <w:rPr>
                <w:rFonts w:hint="eastAsia"/>
                <w:highlight w:val="none"/>
              </w:rPr>
              <w:t>，厂区西北侧为办公楼，东北侧为一号厂房，东南侧为二号厂房，西南侧为三号厂房，厂区平面布置详见附图2</w:t>
            </w:r>
          </w:p>
          <w:p>
            <w:pPr>
              <w:pStyle w:val="46"/>
              <w:ind w:firstLine="420"/>
              <w:rPr>
                <w:highlight w:val="none"/>
              </w:rPr>
            </w:pPr>
            <w:r>
              <w:rPr>
                <w:rFonts w:hint="eastAsia"/>
                <w:highlight w:val="none"/>
              </w:rPr>
              <w:t>本项目东侧紧邻“吉林省亿隆特种电缆制造有限公司”，东南侧紧邻 “长春汇邦科技有限公司”，南侧紧邻“中旭网络安全产业园”和“吉林省富程科技有限公司”，西侧紧邻建丰街，北侧紧邻“吉林瑞铭电机设备有限公司”和“恒天电气”，东北侧紧邻“吉林奥拓自动化设备有限公司”，距离本项目最近的敏感点为东南侧3</w:t>
            </w:r>
            <w:r>
              <w:rPr>
                <w:highlight w:val="none"/>
              </w:rPr>
              <w:t>40</w:t>
            </w:r>
            <w:r>
              <w:rPr>
                <w:rFonts w:hint="eastAsia"/>
                <w:highlight w:val="none"/>
              </w:rPr>
              <w:t>m处的“长春青年人才城”，详见附图3</w:t>
            </w: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43" w:type="pct"/>
            <w:vAlign w:val="center"/>
          </w:tcPr>
          <w:p>
            <w:pPr>
              <w:pStyle w:val="17"/>
              <w:adjustRightInd w:val="0"/>
              <w:snapToGrid w:val="0"/>
              <w:spacing w:before="0" w:beforeAutospacing="0" w:after="0" w:afterAutospacing="0"/>
              <w:jc w:val="center"/>
              <w:rPr>
                <w:rFonts w:cs="宋体"/>
                <w:sz w:val="21"/>
                <w:szCs w:val="21"/>
                <w:highlight w:val="none"/>
              </w:rPr>
            </w:pPr>
            <w:r>
              <w:rPr>
                <w:rFonts w:hint="eastAsia" w:cs="宋体"/>
                <w:sz w:val="21"/>
                <w:szCs w:val="21"/>
                <w:highlight w:val="none"/>
              </w:rPr>
              <w:t>工艺流程和产排污环节</w:t>
            </w:r>
          </w:p>
        </w:tc>
        <w:tc>
          <w:tcPr>
            <w:tcW w:w="4657" w:type="pct"/>
          </w:tcPr>
          <w:p>
            <w:pPr>
              <w:wordWrap w:val="0"/>
              <w:adjustRightInd w:val="0"/>
              <w:snapToGrid w:val="0"/>
              <w:spacing w:line="360" w:lineRule="auto"/>
              <w:ind w:firstLine="422" w:firstLineChars="200"/>
              <w:rPr>
                <w:b/>
                <w:szCs w:val="21"/>
                <w:highlight w:val="none"/>
              </w:rPr>
            </w:pPr>
            <w:r>
              <w:rPr>
                <w:b/>
                <w:szCs w:val="21"/>
                <w:highlight w:val="none"/>
              </w:rPr>
              <w:t>1、工艺流程和产排污环节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2" w:type="dxa"/>
                </w:tcPr>
                <w:p>
                  <w:pPr>
                    <w:adjustRightInd w:val="0"/>
                    <w:snapToGrid w:val="0"/>
                    <w:jc w:val="center"/>
                    <w:rPr>
                      <w:rFonts w:ascii="宋体" w:hAnsi="宋体"/>
                      <w:highlight w:val="none"/>
                    </w:rPr>
                  </w:pPr>
                  <w:r>
                    <w:rPr>
                      <w:rFonts w:ascii="宋体" w:hAnsi="宋体"/>
                      <w:highlight w:val="none"/>
                    </w:rPr>
                    <w:object>
                      <v:shape id="_x0000_i1026" o:spt="75" type="#_x0000_t75" style="height:186pt;width:431.25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tc>
            </w:tr>
          </w:tbl>
          <w:p>
            <w:pPr>
              <w:adjustRightInd w:val="0"/>
              <w:snapToGrid w:val="0"/>
              <w:spacing w:line="360" w:lineRule="auto"/>
              <w:jc w:val="center"/>
              <w:rPr>
                <w:b/>
                <w:bCs/>
                <w:highlight w:val="none"/>
              </w:rPr>
            </w:pPr>
            <w:r>
              <w:rPr>
                <w:b/>
                <w:bCs/>
                <w:highlight w:val="none"/>
              </w:rPr>
              <w:t>图6  工艺流程及产排污节点图</w:t>
            </w:r>
          </w:p>
          <w:p>
            <w:pPr>
              <w:adjustRightInd w:val="0"/>
              <w:snapToGrid w:val="0"/>
              <w:spacing w:line="360" w:lineRule="auto"/>
              <w:ind w:firstLine="420" w:firstLineChars="200"/>
              <w:rPr>
                <w:rFonts w:ascii="宋体" w:hAnsi="宋体"/>
                <w:highlight w:val="none"/>
              </w:rPr>
            </w:pPr>
            <w:r>
              <w:rPr>
                <w:rFonts w:hint="eastAsia" w:ascii="宋体" w:hAnsi="宋体"/>
                <w:highlight w:val="none"/>
              </w:rPr>
              <w:t>工艺流程简述：</w:t>
            </w:r>
          </w:p>
          <w:p>
            <w:pPr>
              <w:adjustRightInd w:val="0"/>
              <w:snapToGrid w:val="0"/>
              <w:spacing w:line="360" w:lineRule="auto"/>
              <w:ind w:firstLine="420" w:firstLineChars="200"/>
              <w:rPr>
                <w:rFonts w:ascii="宋体" w:hAnsi="宋体"/>
                <w:highlight w:val="none"/>
              </w:rPr>
            </w:pPr>
            <w:r>
              <w:rPr>
                <w:rFonts w:hint="eastAsia" w:ascii="宋体" w:hAnsi="宋体"/>
                <w:highlight w:val="none"/>
              </w:rPr>
              <w:t>（1）本项目天然气来源市政管道天然气，用气由附近道路就近接入，过厂区燃气管道输送至锅炉。</w:t>
            </w:r>
          </w:p>
          <w:p>
            <w:pPr>
              <w:adjustRightInd w:val="0"/>
              <w:snapToGrid w:val="0"/>
              <w:spacing w:line="360" w:lineRule="auto"/>
              <w:ind w:firstLine="420" w:firstLineChars="200"/>
              <w:rPr>
                <w:rFonts w:ascii="宋体" w:hAnsi="宋体"/>
                <w:highlight w:val="none"/>
              </w:rPr>
            </w:pPr>
            <w:r>
              <w:rPr>
                <w:rFonts w:hint="eastAsia" w:ascii="宋体" w:hAnsi="宋体"/>
                <w:highlight w:val="none"/>
              </w:rPr>
              <w:t>流出的水就是去掉了绝大部分钙、镁离子、硬度极低的软化水。当离子树脂吸收一定量的钙镁离子后就必须进行再生，即用饱和的食盐水浸树脂层，把树脂上的钙镁离子再置换出来，恢复树脂的交换能力，并将废液污水排出即软水处理废水，树脂使用到一定程度后需进行更换，因此产生废离子交换树脂。</w:t>
            </w:r>
          </w:p>
          <w:p>
            <w:pPr>
              <w:adjustRightInd w:val="0"/>
              <w:snapToGrid w:val="0"/>
              <w:spacing w:line="360" w:lineRule="auto"/>
              <w:ind w:firstLine="420" w:firstLineChars="200"/>
              <w:rPr>
                <w:rFonts w:ascii="宋体" w:hAnsi="宋体"/>
                <w:highlight w:val="none"/>
              </w:rPr>
            </w:pPr>
            <w:r>
              <w:rPr>
                <w:rFonts w:hint="eastAsia" w:ascii="宋体" w:hAnsi="宋体"/>
                <w:highlight w:val="none"/>
              </w:rPr>
              <w:t>（2）软水系统：本项目依托现有软水制备系统，作为现有软水设施故障时使用，均采用离子交换树脂进行软水制备，通过离子交换树脂将源水中的钙，镁离子置换出去，流出的水就是去掉了绝大部分钙、镁离子、硬度极低的软化水。当离子树脂吸收一定量的钙镁离子后就必须进行再生，即用饱和的食盐水浸树脂层，把树脂上的钙镁离子再置换出来，恢复树脂的交换能力，并将废液污水排出即软水处理废水，树脂使用到一定程度后需进行更换，因此产生废离子交换树脂。</w:t>
            </w:r>
          </w:p>
          <w:p>
            <w:pPr>
              <w:adjustRightInd w:val="0"/>
              <w:snapToGrid w:val="0"/>
              <w:spacing w:line="360" w:lineRule="auto"/>
              <w:ind w:firstLine="420" w:firstLineChars="200"/>
              <w:rPr>
                <w:rFonts w:ascii="宋体" w:hAnsi="宋体"/>
                <w:highlight w:val="none"/>
              </w:rPr>
            </w:pPr>
            <w:r>
              <w:rPr>
                <w:rFonts w:hint="eastAsia" w:ascii="宋体" w:hAnsi="宋体"/>
                <w:highlight w:val="none"/>
              </w:rPr>
              <w:t>（3）锅炉产汽：本项目配套2台燃气热水锅炉用于厂区冬季供热，2台燃气蒸汽锅炉用于生产，锅炉用天然气作燃料，另外锅炉还需定期排放含盐浓度较高的废水即锅炉排污水，以免锅炉循环水系统的含盐量及杂质含量较高。</w:t>
            </w:r>
          </w:p>
          <w:p>
            <w:pPr>
              <w:adjustRightInd w:val="0"/>
              <w:snapToGrid w:val="0"/>
              <w:spacing w:line="360" w:lineRule="auto"/>
              <w:ind w:firstLine="422" w:firstLineChars="200"/>
              <w:rPr>
                <w:rFonts w:ascii="宋体" w:hAnsi="宋体"/>
                <w:b/>
                <w:bCs/>
                <w:i/>
                <w:iCs/>
                <w:highlight w:val="none"/>
                <w:u w:val="single"/>
              </w:rPr>
            </w:pPr>
            <w:r>
              <w:rPr>
                <w:rFonts w:hint="eastAsia" w:ascii="宋体" w:hAnsi="宋体"/>
                <w:b/>
                <w:bCs/>
                <w:i/>
                <w:iCs/>
                <w:highlight w:val="none"/>
                <w:u w:val="single"/>
              </w:rPr>
              <w:t>产污环节：主要为锅炉燃烧过程产生的烟气，锅炉排污水，软化水系统排污水。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43" w:type="pct"/>
            <w:vAlign w:val="center"/>
          </w:tcPr>
          <w:p>
            <w:pPr>
              <w:pStyle w:val="17"/>
              <w:widowControl w:val="0"/>
              <w:adjustRightInd w:val="0"/>
              <w:snapToGrid w:val="0"/>
              <w:spacing w:before="0" w:beforeAutospacing="0" w:after="0" w:afterAutospacing="0"/>
              <w:jc w:val="center"/>
              <w:rPr>
                <w:rFonts w:cs="宋体"/>
                <w:sz w:val="21"/>
                <w:szCs w:val="21"/>
                <w:highlight w:val="none"/>
              </w:rPr>
            </w:pPr>
            <w:r>
              <w:rPr>
                <w:rFonts w:hint="eastAsia" w:cs="宋体"/>
                <w:bCs/>
                <w:kern w:val="2"/>
                <w:sz w:val="21"/>
                <w:szCs w:val="21"/>
                <w:highlight w:val="none"/>
              </w:rPr>
              <w:t>与项目有关的原有环境污染问题</w:t>
            </w:r>
          </w:p>
        </w:tc>
        <w:tc>
          <w:tcPr>
            <w:tcW w:w="4657" w:type="pct"/>
          </w:tcPr>
          <w:p>
            <w:pPr>
              <w:pStyle w:val="46"/>
              <w:widowControl w:val="0"/>
              <w:wordWrap w:val="0"/>
              <w:ind w:firstLine="422"/>
              <w:rPr>
                <w:b/>
                <w:bCs/>
                <w:highlight w:val="none"/>
              </w:rPr>
            </w:pPr>
            <w:r>
              <w:rPr>
                <w:b/>
                <w:bCs/>
                <w:highlight w:val="none"/>
              </w:rPr>
              <w:t>1、现有工程环境影响评价、验收、排污许可证履行情况</w:t>
            </w:r>
          </w:p>
          <w:p>
            <w:pPr>
              <w:pStyle w:val="46"/>
              <w:widowControl w:val="0"/>
              <w:wordWrap w:val="0"/>
              <w:ind w:firstLine="420"/>
              <w:rPr>
                <w:highlight w:val="none"/>
              </w:rPr>
            </w:pPr>
            <w:r>
              <w:rPr>
                <w:rFonts w:hint="eastAsia" w:cs="Times New Roman"/>
                <w:highlight w:val="none"/>
              </w:rPr>
              <w:t>企业</w:t>
            </w:r>
            <w:r>
              <w:rPr>
                <w:rFonts w:hint="eastAsia"/>
                <w:highlight w:val="none"/>
              </w:rPr>
              <w:t>于2</w:t>
            </w:r>
            <w:r>
              <w:rPr>
                <w:highlight w:val="none"/>
              </w:rPr>
              <w:t>020</w:t>
            </w:r>
            <w:r>
              <w:rPr>
                <w:rFonts w:hint="eastAsia"/>
                <w:highlight w:val="none"/>
              </w:rPr>
              <w:t>年1</w:t>
            </w:r>
            <w:r>
              <w:rPr>
                <w:highlight w:val="none"/>
              </w:rPr>
              <w:t>0</w:t>
            </w:r>
            <w:r>
              <w:rPr>
                <w:rFonts w:hint="eastAsia"/>
                <w:highlight w:val="none"/>
              </w:rPr>
              <w:t>月委托吉林省中实环保工程开发有限公司编制完成了《长春新区北湖科技开发区特陶产业园区项目环境影响报告表》，长春市生态环境局长春新区分局以“</w:t>
            </w:r>
            <w:r>
              <w:rPr>
                <w:rFonts w:cs="Times New Roman"/>
                <w:highlight w:val="none"/>
              </w:rPr>
              <w:t>长环</w:t>
            </w:r>
            <w:r>
              <w:rPr>
                <w:rFonts w:hint="eastAsia" w:cs="Times New Roman"/>
                <w:highlight w:val="none"/>
              </w:rPr>
              <w:t>新</w:t>
            </w:r>
            <w:r>
              <w:rPr>
                <w:rFonts w:cs="Times New Roman"/>
                <w:highlight w:val="none"/>
              </w:rPr>
              <w:t>审（表）〔2020〕097</w:t>
            </w:r>
            <w:r>
              <w:rPr>
                <w:rFonts w:hint="eastAsia" w:cs="Times New Roman"/>
                <w:highlight w:val="none"/>
              </w:rPr>
              <w:t>号</w:t>
            </w:r>
            <w:r>
              <w:rPr>
                <w:rFonts w:hint="eastAsia"/>
                <w:highlight w:val="none"/>
              </w:rPr>
              <w:t>”予以批复。</w:t>
            </w:r>
          </w:p>
          <w:p>
            <w:pPr>
              <w:pStyle w:val="46"/>
              <w:widowControl w:val="0"/>
              <w:wordWrap w:val="0"/>
              <w:ind w:firstLine="420"/>
              <w:rPr>
                <w:highlight w:val="none"/>
              </w:rPr>
            </w:pPr>
            <w:r>
              <w:rPr>
                <w:rFonts w:hint="eastAsia"/>
                <w:highlight w:val="none"/>
              </w:rPr>
              <w:t>企业于2</w:t>
            </w:r>
            <w:r>
              <w:rPr>
                <w:highlight w:val="none"/>
              </w:rPr>
              <w:t>020</w:t>
            </w:r>
            <w:r>
              <w:rPr>
                <w:rFonts w:hint="eastAsia"/>
                <w:highlight w:val="none"/>
              </w:rPr>
              <w:t>年3月2</w:t>
            </w:r>
            <w:r>
              <w:rPr>
                <w:highlight w:val="none"/>
              </w:rPr>
              <w:t>4</w:t>
            </w:r>
            <w:r>
              <w:rPr>
                <w:rFonts w:hint="eastAsia"/>
                <w:highlight w:val="none"/>
              </w:rPr>
              <w:t>日取得了排污许可登记回执，登记编号：</w:t>
            </w:r>
            <w:r>
              <w:rPr>
                <w:highlight w:val="none"/>
              </w:rPr>
              <w:t>91220101MA14AL1X02002Y</w:t>
            </w:r>
            <w:r>
              <w:rPr>
                <w:rFonts w:hint="eastAsia"/>
                <w:highlight w:val="none"/>
              </w:rPr>
              <w:t>。</w:t>
            </w:r>
          </w:p>
          <w:p>
            <w:pPr>
              <w:pStyle w:val="46"/>
              <w:widowControl w:val="0"/>
              <w:wordWrap w:val="0"/>
              <w:ind w:firstLine="420"/>
              <w:rPr>
                <w:highlight w:val="none"/>
              </w:rPr>
            </w:pPr>
            <w:r>
              <w:rPr>
                <w:rFonts w:hint="eastAsia"/>
                <w:highlight w:val="none"/>
              </w:rPr>
              <w:t>目前企业特种陶瓷生产线已建设完成，暂未进行竣工环保验收工作。</w:t>
            </w:r>
          </w:p>
          <w:p>
            <w:pPr>
              <w:pStyle w:val="46"/>
              <w:ind w:firstLine="422"/>
              <w:rPr>
                <w:b/>
                <w:bCs/>
                <w:highlight w:val="none"/>
              </w:rPr>
            </w:pPr>
            <w:r>
              <w:rPr>
                <w:rFonts w:hint="eastAsia"/>
                <w:b/>
                <w:bCs/>
                <w:highlight w:val="none"/>
              </w:rPr>
              <w:t>2、环评批复落实情况</w:t>
            </w:r>
          </w:p>
          <w:p>
            <w:pPr>
              <w:pStyle w:val="46"/>
              <w:ind w:firstLine="420"/>
              <w:rPr>
                <w:highlight w:val="none"/>
              </w:rPr>
            </w:pPr>
            <w:r>
              <w:rPr>
                <w:rFonts w:hint="eastAsia"/>
                <w:highlight w:val="none"/>
              </w:rPr>
              <w:t>企业现有环保要求及落实情况详见下表。</w:t>
            </w:r>
          </w:p>
          <w:p>
            <w:pPr>
              <w:pStyle w:val="46"/>
              <w:spacing w:line="240" w:lineRule="auto"/>
              <w:ind w:firstLine="0" w:firstLineChars="0"/>
              <w:jc w:val="center"/>
              <w:rPr>
                <w:b/>
                <w:bCs/>
                <w:highlight w:val="none"/>
                <w:u w:val="single"/>
              </w:rPr>
            </w:pPr>
            <w:r>
              <w:rPr>
                <w:rFonts w:hint="eastAsia"/>
                <w:b/>
                <w:bCs/>
                <w:highlight w:val="none"/>
                <w:u w:val="single"/>
              </w:rPr>
              <w:t>表2</w:t>
            </w:r>
            <w:r>
              <w:rPr>
                <w:b/>
                <w:bCs/>
                <w:highlight w:val="none"/>
                <w:u w:val="single"/>
              </w:rPr>
              <w:t xml:space="preserve">-4  </w:t>
            </w:r>
            <w:r>
              <w:rPr>
                <w:rFonts w:hint="eastAsia"/>
                <w:b/>
                <w:bCs/>
                <w:highlight w:val="none"/>
                <w:u w:val="single"/>
              </w:rPr>
              <w:t>环评批复要求及批复落实情况一览表</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44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jc w:val="center"/>
                    <w:rPr>
                      <w:highlight w:val="none"/>
                    </w:rPr>
                  </w:pPr>
                  <w:r>
                    <w:rPr>
                      <w:rFonts w:hint="eastAsia"/>
                      <w:highlight w:val="none"/>
                    </w:rPr>
                    <w:t>批复意见要求</w:t>
                  </w:r>
                </w:p>
              </w:tc>
              <w:tc>
                <w:tcPr>
                  <w:tcW w:w="2500" w:type="pct"/>
                  <w:vAlign w:val="center"/>
                </w:tcPr>
                <w:p>
                  <w:pPr>
                    <w:pStyle w:val="46"/>
                    <w:spacing w:line="240" w:lineRule="auto"/>
                    <w:ind w:firstLine="0" w:firstLineChars="0"/>
                    <w:jc w:val="center"/>
                    <w:rPr>
                      <w:highlight w:val="none"/>
                    </w:rPr>
                  </w:pPr>
                  <w:r>
                    <w:rPr>
                      <w:rFonts w:hint="eastAsia"/>
                      <w:highlight w:val="none"/>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pStyle w:val="46"/>
                    <w:spacing w:line="240" w:lineRule="auto"/>
                    <w:ind w:firstLine="0" w:firstLineChars="0"/>
                    <w:jc w:val="center"/>
                    <w:rPr>
                      <w:highlight w:val="none"/>
                    </w:rPr>
                  </w:pPr>
                  <w:r>
                    <w:rPr>
                      <w:rFonts w:hint="eastAsia"/>
                      <w:highlight w:val="none"/>
                    </w:rPr>
                    <w:t>《关于长春新区北湖科技开发区特陶产业园区项目的批复》（</w:t>
                  </w:r>
                  <w:r>
                    <w:rPr>
                      <w:rFonts w:cs="Times New Roman"/>
                      <w:highlight w:val="none"/>
                    </w:rPr>
                    <w:t>长环</w:t>
                  </w:r>
                  <w:r>
                    <w:rPr>
                      <w:rFonts w:hint="eastAsia" w:cs="Times New Roman"/>
                      <w:highlight w:val="none"/>
                    </w:rPr>
                    <w:t>新</w:t>
                  </w:r>
                  <w:r>
                    <w:rPr>
                      <w:rFonts w:cs="Times New Roman"/>
                      <w:highlight w:val="none"/>
                    </w:rPr>
                    <w:t>审（表）〔2020〕097</w:t>
                  </w:r>
                  <w:r>
                    <w:rPr>
                      <w:rFonts w:hint="eastAsia" w:cs="Times New Roman"/>
                      <w:highlight w:val="none"/>
                    </w:rPr>
                    <w:t>号</w:t>
                  </w:r>
                  <w:r>
                    <w:rPr>
                      <w:rFonts w:hint="eastAsia"/>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rPr>
                      <w:highlight w:val="none"/>
                    </w:rPr>
                  </w:pPr>
                  <w:r>
                    <w:rPr>
                      <w:highlight w:val="none"/>
                    </w:rPr>
                    <w:t>冬季采暖采用集中供热</w:t>
                  </w:r>
                </w:p>
              </w:tc>
              <w:tc>
                <w:tcPr>
                  <w:tcW w:w="2500" w:type="pct"/>
                  <w:vAlign w:val="center"/>
                </w:tcPr>
                <w:p>
                  <w:pPr>
                    <w:pStyle w:val="46"/>
                    <w:spacing w:line="240" w:lineRule="auto"/>
                    <w:ind w:firstLine="0" w:firstLineChars="0"/>
                    <w:rPr>
                      <w:b/>
                      <w:bCs/>
                      <w:i/>
                      <w:iCs/>
                      <w:highlight w:val="none"/>
                      <w:u w:val="single"/>
                    </w:rPr>
                  </w:pPr>
                  <w:r>
                    <w:rPr>
                      <w:rFonts w:hint="eastAsia"/>
                      <w:b/>
                      <w:bCs/>
                      <w:i/>
                      <w:iCs/>
                      <w:highlight w:val="none"/>
                      <w:u w:val="single"/>
                    </w:rPr>
                    <w:t>因为集中供热不满足企业生产供热需要，所以拟自建2台燃气热水锅炉，即本次评价内容。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rPr>
                      <w:highlight w:val="none"/>
                    </w:rPr>
                  </w:pPr>
                  <w:r>
                    <w:rPr>
                      <w:highlight w:val="none"/>
                    </w:rPr>
                    <w:t>生活污水和生产废水经自建污水处理站处理，在符合《陶瓷工业污染物排放标准》</w:t>
                  </w:r>
                  <w:r>
                    <w:rPr>
                      <w:rFonts w:hint="eastAsia"/>
                      <w:highlight w:val="none"/>
                    </w:rPr>
                    <w:t>（</w:t>
                  </w:r>
                  <w:r>
                    <w:rPr>
                      <w:highlight w:val="none"/>
                    </w:rPr>
                    <w:t>GB 25464-2010</w:t>
                  </w:r>
                  <w:r>
                    <w:rPr>
                      <w:rFonts w:hint="eastAsia"/>
                      <w:highlight w:val="none"/>
                    </w:rPr>
                    <w:t>）</w:t>
                  </w:r>
                  <w:r>
                    <w:rPr>
                      <w:highlight w:val="none"/>
                    </w:rPr>
                    <w:t>要求后与清净废水一同经市政管网排入污水处理厂处理。</w:t>
                  </w:r>
                </w:p>
              </w:tc>
              <w:tc>
                <w:tcPr>
                  <w:tcW w:w="2500" w:type="pct"/>
                  <w:vAlign w:val="center"/>
                </w:tcPr>
                <w:p>
                  <w:pPr>
                    <w:pStyle w:val="46"/>
                    <w:spacing w:line="240" w:lineRule="auto"/>
                    <w:ind w:firstLine="0" w:firstLineChars="0"/>
                    <w:rPr>
                      <w:highlight w:val="none"/>
                    </w:rPr>
                  </w:pPr>
                  <w:r>
                    <w:rPr>
                      <w:rFonts w:hint="eastAsia"/>
                      <w:highlight w:val="none"/>
                    </w:rPr>
                    <w:t>已落实厂区已建设有一座污水处理站，采用M</w:t>
                  </w:r>
                  <w:r>
                    <w:rPr>
                      <w:highlight w:val="none"/>
                    </w:rPr>
                    <w:t>BR</w:t>
                  </w:r>
                  <w:r>
                    <w:rPr>
                      <w:rFonts w:hint="eastAsia"/>
                      <w:highlight w:val="none"/>
                    </w:rPr>
                    <w:t>处理工艺，处理后的废水在符合《陶瓷工业污染物排放标准》（GB 25464-2010）要求后与清净废水一同经市政管网排入</w:t>
                  </w:r>
                  <w:r>
                    <w:rPr>
                      <w:rFonts w:hint="eastAsia"/>
                      <w:bCs/>
                      <w:highlight w:val="none"/>
                    </w:rPr>
                    <w:t>长春高新技术产业开发区北区污水处理厂</w:t>
                  </w:r>
                  <w:r>
                    <w:rPr>
                      <w:rFonts w:hint="eastAsia"/>
                      <w:highlight w:val="none"/>
                    </w:rPr>
                    <w:t>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rPr>
                      <w:highlight w:val="none"/>
                    </w:rPr>
                  </w:pPr>
                  <w:r>
                    <w:rPr>
                      <w:highlight w:val="none"/>
                    </w:rPr>
                    <w:t>严格落实环评提出的工艺废气治理措施，确保各类污染物稳定达标排放。</w:t>
                  </w:r>
                </w:p>
              </w:tc>
              <w:tc>
                <w:tcPr>
                  <w:tcW w:w="2500" w:type="pct"/>
                  <w:vAlign w:val="center"/>
                </w:tcPr>
                <w:p>
                  <w:pPr>
                    <w:pStyle w:val="46"/>
                    <w:spacing w:line="240" w:lineRule="auto"/>
                    <w:ind w:firstLine="0" w:firstLineChars="0"/>
                    <w:rPr>
                      <w:highlight w:val="none"/>
                    </w:rPr>
                  </w:pPr>
                  <w:r>
                    <w:rPr>
                      <w:rFonts w:hint="eastAsia"/>
                      <w:highlight w:val="none"/>
                    </w:rPr>
                    <w:t>已落实，现场有组织废气排气筒前段均已安装废气治理措施。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rPr>
                      <w:highlight w:val="none"/>
                    </w:rPr>
                  </w:pPr>
                  <w:r>
                    <w:rPr>
                      <w:highlight w:val="none"/>
                    </w:rPr>
                    <w:t>选用低噪声设备，并采取封闭、隔声、减振等措施，确保厂界噪声符合《工业企业厂界环境噪声排放标准》</w:t>
                  </w:r>
                  <w:r>
                    <w:rPr>
                      <w:rFonts w:hint="eastAsia"/>
                      <w:highlight w:val="none"/>
                    </w:rPr>
                    <w:t>（</w:t>
                  </w:r>
                  <w:r>
                    <w:rPr>
                      <w:highlight w:val="none"/>
                    </w:rPr>
                    <w:t>GB 12348-2008</w:t>
                  </w:r>
                  <w:r>
                    <w:rPr>
                      <w:rFonts w:hint="eastAsia"/>
                      <w:highlight w:val="none"/>
                    </w:rPr>
                    <w:t>）</w:t>
                  </w:r>
                  <w:r>
                    <w:rPr>
                      <w:highlight w:val="none"/>
                    </w:rPr>
                    <w:t>中3类区标准要求。</w:t>
                  </w:r>
                </w:p>
              </w:tc>
              <w:tc>
                <w:tcPr>
                  <w:tcW w:w="2500" w:type="pct"/>
                  <w:vAlign w:val="center"/>
                </w:tcPr>
                <w:p>
                  <w:pPr>
                    <w:pStyle w:val="46"/>
                    <w:spacing w:line="240" w:lineRule="auto"/>
                    <w:ind w:firstLine="0" w:firstLineChars="0"/>
                    <w:rPr>
                      <w:highlight w:val="none"/>
                    </w:rPr>
                  </w:pPr>
                  <w:r>
                    <w:rPr>
                      <w:rFonts w:hint="eastAsia"/>
                      <w:highlight w:val="none"/>
                    </w:rPr>
                    <w:t>已落实，企业已选用低噪声设备，并做好厂房封闭、隔声，设备基础减震的措施，确保厂界噪声符合《工业企业厂界环境噪声排放标准》（GB 12348-2008）中3类区标准要求。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rPr>
                      <w:highlight w:val="none"/>
                    </w:rPr>
                  </w:pPr>
                  <w:r>
                    <w:rPr>
                      <w:highlight w:val="none"/>
                    </w:rPr>
                    <w:t>固体废物按“资源化、减量化、无害化”处理原则，落实各类固体废物的收集处置和综合利用措施，危险废物委托有资质单位进行处理与处置，避免产生二次污染。</w:t>
                  </w:r>
                </w:p>
              </w:tc>
              <w:tc>
                <w:tcPr>
                  <w:tcW w:w="2500" w:type="pct"/>
                  <w:vAlign w:val="center"/>
                </w:tcPr>
                <w:p>
                  <w:pPr>
                    <w:pStyle w:val="46"/>
                    <w:spacing w:line="240" w:lineRule="auto"/>
                    <w:ind w:firstLine="0" w:firstLineChars="0"/>
                    <w:rPr>
                      <w:highlight w:val="none"/>
                    </w:rPr>
                  </w:pPr>
                  <w:r>
                    <w:rPr>
                      <w:rFonts w:hint="eastAsia"/>
                      <w:highlight w:val="none"/>
                    </w:rPr>
                    <w:t>已建设危废暂存间，按照废物类别进行分类收集储存。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rPr>
                      <w:highlight w:val="none"/>
                    </w:rPr>
                  </w:pPr>
                  <w:r>
                    <w:rPr>
                      <w:highlight w:val="none"/>
                    </w:rPr>
                    <w:t>加强项目运行期间的环境管理，落实各项环境风险防范措施。</w:t>
                  </w:r>
                </w:p>
              </w:tc>
              <w:tc>
                <w:tcPr>
                  <w:tcW w:w="2500" w:type="pct"/>
                  <w:vAlign w:val="center"/>
                </w:tcPr>
                <w:p>
                  <w:pPr>
                    <w:pStyle w:val="46"/>
                    <w:spacing w:line="240" w:lineRule="auto"/>
                    <w:ind w:firstLine="0" w:firstLineChars="0"/>
                    <w:rPr>
                      <w:highlight w:val="none"/>
                    </w:rPr>
                  </w:pPr>
                  <w:r>
                    <w:rPr>
                      <w:rFonts w:hint="eastAsia"/>
                      <w:highlight w:val="none"/>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46"/>
                    <w:spacing w:line="240" w:lineRule="auto"/>
                    <w:ind w:firstLine="0" w:firstLineChars="0"/>
                    <w:rPr>
                      <w:highlight w:val="none"/>
                    </w:rPr>
                  </w:pPr>
                  <w:r>
                    <w:rPr>
                      <w:highlight w:val="none"/>
                    </w:rPr>
                    <w:t>加强施工期的管理，落实各项污染防治措施，施工期由长春市生态环境局长春新区分局监察大队负责监督检查。</w:t>
                  </w:r>
                </w:p>
              </w:tc>
              <w:tc>
                <w:tcPr>
                  <w:tcW w:w="2500" w:type="pct"/>
                  <w:vAlign w:val="center"/>
                </w:tcPr>
                <w:p>
                  <w:pPr>
                    <w:pStyle w:val="46"/>
                    <w:spacing w:line="240" w:lineRule="auto"/>
                    <w:ind w:firstLine="0" w:firstLineChars="0"/>
                    <w:rPr>
                      <w:highlight w:val="none"/>
                    </w:rPr>
                  </w:pPr>
                  <w:r>
                    <w:rPr>
                      <w:rFonts w:hint="eastAsia"/>
                      <w:highlight w:val="none"/>
                    </w:rPr>
                    <w:t>已落实，企业施工期间委托长春市生态环境局长春新区分局监察大队负责监督检查。</w:t>
                  </w:r>
                </w:p>
              </w:tc>
            </w:tr>
          </w:tbl>
          <w:p>
            <w:pPr>
              <w:pStyle w:val="46"/>
              <w:ind w:firstLine="422"/>
              <w:rPr>
                <w:b/>
                <w:bCs/>
                <w:highlight w:val="none"/>
              </w:rPr>
            </w:pPr>
            <w:r>
              <w:rPr>
                <w:rFonts w:hint="eastAsia"/>
                <w:b/>
                <w:bCs/>
                <w:highlight w:val="none"/>
              </w:rPr>
              <w:t>3、现有污染物排放情况</w:t>
            </w:r>
          </w:p>
          <w:p>
            <w:pPr>
              <w:pStyle w:val="46"/>
              <w:ind w:firstLine="422"/>
              <w:rPr>
                <w:b/>
                <w:bCs/>
                <w:i/>
                <w:iCs/>
                <w:highlight w:val="none"/>
                <w:u w:val="single"/>
              </w:rPr>
            </w:pPr>
            <w:r>
              <w:rPr>
                <w:rFonts w:hint="eastAsia"/>
                <w:b/>
                <w:bCs/>
                <w:i/>
                <w:iCs/>
                <w:highlight w:val="none"/>
                <w:u w:val="single"/>
              </w:rPr>
              <w:t>本项目原有生产工艺与生产能能力未发生变化，原环评阶段废气治理措施+排气筒为4套，现场实际建设车间废气治理措施+排气筒为9套，因此厂区污染物排放量未增加，根据《吉林省环境保护厅关于加强建设项目重大变动环评管理的通知》（吉环管字</w:t>
            </w:r>
            <w:r>
              <w:rPr>
                <w:rFonts w:hint="eastAsia" w:ascii="宋体" w:hAnsi="宋体"/>
                <w:b/>
                <w:bCs/>
                <w:i/>
                <w:iCs/>
                <w:highlight w:val="none"/>
                <w:u w:val="single"/>
              </w:rPr>
              <w:t>〔</w:t>
            </w:r>
            <w:r>
              <w:rPr>
                <w:rFonts w:hint="eastAsia"/>
                <w:b/>
                <w:bCs/>
                <w:i/>
                <w:iCs/>
                <w:highlight w:val="none"/>
                <w:u w:val="single"/>
              </w:rPr>
              <w:t>2016</w:t>
            </w:r>
            <w:r>
              <w:rPr>
                <w:rFonts w:hint="eastAsia" w:ascii="宋体" w:hAnsi="宋体"/>
                <w:b/>
                <w:bCs/>
                <w:i/>
                <w:iCs/>
                <w:highlight w:val="none"/>
                <w:u w:val="single"/>
              </w:rPr>
              <w:t>〕</w:t>
            </w:r>
            <w:r>
              <w:rPr>
                <w:rFonts w:hint="eastAsia"/>
                <w:b/>
                <w:bCs/>
                <w:i/>
                <w:iCs/>
                <w:highlight w:val="none"/>
                <w:u w:val="single"/>
              </w:rPr>
              <w:t>10号），增加废气处理设施数量不属于重大变动。</w:t>
            </w:r>
          </w:p>
          <w:p>
            <w:pPr>
              <w:pStyle w:val="46"/>
              <w:ind w:firstLine="422"/>
              <w:rPr>
                <w:b/>
                <w:bCs/>
                <w:i/>
                <w:iCs/>
                <w:highlight w:val="none"/>
                <w:u w:val="single"/>
              </w:rPr>
            </w:pPr>
            <w:r>
              <w:rPr>
                <w:rFonts w:hint="eastAsia"/>
                <w:b/>
                <w:bCs/>
                <w:i/>
                <w:iCs/>
                <w:highlight w:val="none"/>
                <w:u w:val="single"/>
              </w:rPr>
              <w:t>原有环评阶段废气污染物排放量为：粉尘</w:t>
            </w:r>
            <w:r>
              <w:rPr>
                <w:b/>
                <w:bCs/>
                <w:i/>
                <w:iCs/>
                <w:highlight w:val="none"/>
                <w:u w:val="single"/>
              </w:rPr>
              <w:t>0.8</w:t>
            </w:r>
            <w:r>
              <w:rPr>
                <w:rFonts w:hint="eastAsia"/>
                <w:b/>
                <w:bCs/>
                <w:i/>
                <w:iCs/>
                <w:highlight w:val="none"/>
                <w:u w:val="single"/>
              </w:rPr>
              <w:t>t/a，非甲烷总烃1</w:t>
            </w:r>
            <w:r>
              <w:rPr>
                <w:b/>
                <w:bCs/>
                <w:i/>
                <w:iCs/>
                <w:highlight w:val="none"/>
                <w:u w:val="single"/>
              </w:rPr>
              <w:t>.59</w:t>
            </w:r>
            <w:r>
              <w:rPr>
                <w:rFonts w:hint="eastAsia"/>
                <w:b/>
                <w:bCs/>
                <w:i/>
                <w:iCs/>
                <w:highlight w:val="none"/>
                <w:u w:val="single"/>
              </w:rPr>
              <w:t>t/a；废水污染物排放量为：C</w:t>
            </w:r>
            <w:r>
              <w:rPr>
                <w:b/>
                <w:bCs/>
                <w:i/>
                <w:iCs/>
                <w:highlight w:val="none"/>
                <w:u w:val="single"/>
              </w:rPr>
              <w:t>OD1.515</w:t>
            </w:r>
            <w:r>
              <w:rPr>
                <w:rFonts w:hint="eastAsia"/>
                <w:b/>
                <w:bCs/>
                <w:i/>
                <w:iCs/>
                <w:highlight w:val="none"/>
                <w:u w:val="single"/>
              </w:rPr>
              <w:t>t/a，B</w:t>
            </w:r>
            <w:r>
              <w:rPr>
                <w:b/>
                <w:bCs/>
                <w:i/>
                <w:iCs/>
                <w:highlight w:val="none"/>
                <w:u w:val="single"/>
              </w:rPr>
              <w:t>OD</w:t>
            </w:r>
            <w:r>
              <w:rPr>
                <w:b/>
                <w:bCs/>
                <w:i/>
                <w:iCs/>
                <w:highlight w:val="none"/>
                <w:u w:val="single"/>
                <w:vertAlign w:val="subscript"/>
              </w:rPr>
              <w:t>5</w:t>
            </w:r>
            <w:r>
              <w:rPr>
                <w:b/>
                <w:bCs/>
                <w:i/>
                <w:iCs/>
                <w:highlight w:val="none"/>
                <w:u w:val="single"/>
              </w:rPr>
              <w:t>0.627</w:t>
            </w:r>
            <w:r>
              <w:rPr>
                <w:rFonts w:hint="eastAsia"/>
                <w:b/>
                <w:bCs/>
                <w:i/>
                <w:iCs/>
                <w:highlight w:val="none"/>
                <w:u w:val="single"/>
              </w:rPr>
              <w:t>t/a，N</w:t>
            </w:r>
            <w:r>
              <w:rPr>
                <w:b/>
                <w:bCs/>
                <w:i/>
                <w:iCs/>
                <w:highlight w:val="none"/>
                <w:u w:val="single"/>
              </w:rPr>
              <w:t>H</w:t>
            </w:r>
            <w:r>
              <w:rPr>
                <w:b/>
                <w:bCs/>
                <w:i/>
                <w:iCs/>
                <w:highlight w:val="none"/>
                <w:u w:val="single"/>
                <w:vertAlign w:val="subscript"/>
              </w:rPr>
              <w:t>3</w:t>
            </w:r>
            <w:r>
              <w:rPr>
                <w:b/>
                <w:bCs/>
                <w:i/>
                <w:iCs/>
                <w:highlight w:val="none"/>
                <w:u w:val="single"/>
              </w:rPr>
              <w:t>-N0.119</w:t>
            </w:r>
            <w:r>
              <w:rPr>
                <w:rFonts w:hint="eastAsia"/>
                <w:b/>
                <w:bCs/>
                <w:i/>
                <w:iCs/>
                <w:highlight w:val="none"/>
                <w:u w:val="single"/>
              </w:rPr>
              <w:t>t/a，S</w:t>
            </w:r>
            <w:r>
              <w:rPr>
                <w:b/>
                <w:bCs/>
                <w:i/>
                <w:iCs/>
                <w:highlight w:val="none"/>
                <w:u w:val="single"/>
              </w:rPr>
              <w:t>S0.843</w:t>
            </w:r>
            <w:r>
              <w:rPr>
                <w:rFonts w:hint="eastAsia"/>
                <w:b/>
                <w:bCs/>
                <w:i/>
                <w:iCs/>
                <w:highlight w:val="none"/>
                <w:u w:val="single"/>
              </w:rPr>
              <w:t>t/a，动植物油0</w:t>
            </w:r>
            <w:r>
              <w:rPr>
                <w:b/>
                <w:bCs/>
                <w:i/>
                <w:iCs/>
                <w:highlight w:val="none"/>
                <w:u w:val="single"/>
              </w:rPr>
              <w:t>.019</w:t>
            </w:r>
            <w:r>
              <w:rPr>
                <w:rFonts w:hint="eastAsia"/>
                <w:b/>
                <w:bCs/>
                <w:i/>
                <w:iCs/>
                <w:highlight w:val="none"/>
                <w:u w:val="single"/>
              </w:rPr>
              <w:t>t/a。</w:t>
            </w: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highlight w:val="none"/>
              </w:rPr>
            </w:pPr>
          </w:p>
          <w:p>
            <w:pPr>
              <w:pStyle w:val="46"/>
              <w:ind w:firstLine="420"/>
              <w:rPr>
                <w:rFonts w:hint="eastAsia"/>
                <w:highlight w:val="none"/>
              </w:rPr>
            </w:pPr>
          </w:p>
        </w:tc>
      </w:tr>
      <w:bookmarkEnd w:id="13"/>
    </w:tbl>
    <w:p>
      <w:pPr>
        <w:pStyle w:val="17"/>
        <w:pageBreakBefore/>
        <w:adjustRightInd w:val="0"/>
        <w:snapToGrid w:val="0"/>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4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4657" w:type="pct"/>
            <w:vAlign w:val="center"/>
          </w:tcPr>
          <w:p>
            <w:pPr>
              <w:pStyle w:val="46"/>
              <w:widowControl w:val="0"/>
              <w:ind w:firstLine="422"/>
              <w:rPr>
                <w:b/>
                <w:bCs/>
              </w:rPr>
            </w:pPr>
            <w:r>
              <w:rPr>
                <w:b/>
                <w:bCs/>
              </w:rPr>
              <w:t>1、环境空气质量现状</w:t>
            </w:r>
          </w:p>
          <w:p>
            <w:pPr>
              <w:pStyle w:val="46"/>
              <w:widowControl w:val="0"/>
              <w:ind w:firstLine="422"/>
              <w:rPr>
                <w:b/>
                <w:bCs/>
              </w:rPr>
            </w:pPr>
            <w:r>
              <w:rPr>
                <w:b/>
                <w:bCs/>
              </w:rPr>
              <w:t>1.1 区域环境空气质量状况</w:t>
            </w:r>
          </w:p>
          <w:p>
            <w:pPr>
              <w:pStyle w:val="46"/>
              <w:widowControl w:val="0"/>
              <w:ind w:firstLine="420"/>
            </w:pPr>
            <w:bookmarkStart w:id="6" w:name="_Hlk141793745"/>
            <w:r>
              <w:t>根据吉林省生态环境厅2023年6月1日发布的《吉林省2022年</w:t>
            </w:r>
            <w:r>
              <w:rPr>
                <w:rFonts w:hint="eastAsia"/>
              </w:rPr>
              <w:t>生态环境状况公报</w:t>
            </w:r>
            <w:r>
              <w:t>》中相关内容可知，2022年，</w:t>
            </w:r>
            <w:r>
              <w:rPr>
                <w:rFonts w:hint="eastAsia"/>
              </w:rPr>
              <w:t>长春</w:t>
            </w:r>
            <w:r>
              <w:t>市环境空气中SO</w:t>
            </w:r>
            <w:r>
              <w:rPr>
                <w:vertAlign w:val="subscript"/>
              </w:rPr>
              <w:t>2</w:t>
            </w:r>
            <w:r>
              <w:t>、NO</w:t>
            </w:r>
            <w:r>
              <w:rPr>
                <w:vertAlign w:val="subscript"/>
              </w:rPr>
              <w:t>2</w:t>
            </w:r>
            <w:r>
              <w:t>、CO、O</w:t>
            </w:r>
            <w:r>
              <w:rPr>
                <w:vertAlign w:val="subscript"/>
              </w:rPr>
              <w:t>3</w:t>
            </w:r>
            <w:r>
              <w:t>、PM</w:t>
            </w:r>
            <w:r>
              <w:rPr>
                <w:vertAlign w:val="subscript"/>
              </w:rPr>
              <w:t>10</w:t>
            </w:r>
            <w:r>
              <w:t>、PM</w:t>
            </w:r>
            <w:r>
              <w:rPr>
                <w:vertAlign w:val="subscript"/>
              </w:rPr>
              <w:t>2.5</w:t>
            </w:r>
            <w:r>
              <w:t>六项污染物的均值浓度符合《环境空气质量标准》（GB 3095-2012）中年平均二级标准的要求，具体详见下表。</w:t>
            </w:r>
          </w:p>
          <w:p>
            <w:pPr>
              <w:adjustRightInd w:val="0"/>
              <w:snapToGrid w:val="0"/>
              <w:jc w:val="center"/>
              <w:rPr>
                <w:b/>
                <w:bCs/>
                <w:szCs w:val="21"/>
                <w:u w:val="single"/>
              </w:rPr>
            </w:pPr>
            <w:r>
              <w:rPr>
                <w:b/>
                <w:bCs/>
                <w:szCs w:val="21"/>
                <w:u w:val="single"/>
              </w:rPr>
              <w:t>表3-1  区域空气质量现状评价表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3415"/>
              <w:gridCol w:w="1341"/>
              <w:gridCol w:w="1093"/>
              <w:gridCol w:w="781"/>
              <w:gridCol w:w="7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57" w:type="pct"/>
                  <w:tcBorders>
                    <w:top w:val="single" w:color="auto" w:sz="12" w:space="0"/>
                    <w:left w:val="nil"/>
                    <w:bottom w:val="single" w:color="auto" w:sz="4" w:space="0"/>
                    <w:right w:val="single" w:color="auto" w:sz="4" w:space="0"/>
                  </w:tcBorders>
                  <w:vAlign w:val="center"/>
                </w:tcPr>
                <w:p>
                  <w:pPr>
                    <w:jc w:val="center"/>
                    <w:rPr>
                      <w:szCs w:val="21"/>
                    </w:rPr>
                  </w:pPr>
                  <w:r>
                    <w:rPr>
                      <w:szCs w:val="21"/>
                    </w:rPr>
                    <w:t>污染物</w:t>
                  </w:r>
                </w:p>
              </w:tc>
              <w:tc>
                <w:tcPr>
                  <w:tcW w:w="1905" w:type="pct"/>
                  <w:tcBorders>
                    <w:top w:val="single" w:color="auto" w:sz="12" w:space="0"/>
                    <w:left w:val="nil"/>
                    <w:bottom w:val="single" w:color="auto" w:sz="4" w:space="0"/>
                    <w:right w:val="single" w:color="auto" w:sz="4" w:space="0"/>
                  </w:tcBorders>
                  <w:vAlign w:val="center"/>
                </w:tcPr>
                <w:p>
                  <w:pPr>
                    <w:jc w:val="center"/>
                    <w:rPr>
                      <w:szCs w:val="21"/>
                    </w:rPr>
                  </w:pPr>
                  <w:r>
                    <w:rPr>
                      <w:szCs w:val="21"/>
                    </w:rPr>
                    <w:t>年评价指标</w:t>
                  </w:r>
                </w:p>
              </w:tc>
              <w:tc>
                <w:tcPr>
                  <w:tcW w:w="748" w:type="pct"/>
                  <w:tcBorders>
                    <w:top w:val="single" w:color="auto" w:sz="12" w:space="0"/>
                    <w:left w:val="single" w:color="auto" w:sz="4" w:space="0"/>
                    <w:bottom w:val="single" w:color="auto" w:sz="4" w:space="0"/>
                    <w:right w:val="single" w:color="auto" w:sz="4" w:space="0"/>
                  </w:tcBorders>
                  <w:vAlign w:val="center"/>
                </w:tcPr>
                <w:p>
                  <w:pPr>
                    <w:jc w:val="center"/>
                    <w:rPr>
                      <w:szCs w:val="21"/>
                    </w:rPr>
                  </w:pPr>
                  <w:r>
                    <w:rPr>
                      <w:szCs w:val="21"/>
                    </w:rPr>
                    <w:t>现状浓度</w:t>
                  </w:r>
                </w:p>
                <w:p>
                  <w:pPr>
                    <w:jc w:val="center"/>
                    <w:rPr>
                      <w:szCs w:val="21"/>
                    </w:rPr>
                  </w:pPr>
                  <w:r>
                    <w:rPr>
                      <w:szCs w:val="21"/>
                    </w:rPr>
                    <w:t>µ</w:t>
                  </w:r>
                  <w:r>
                    <w:rPr>
                      <w:rFonts w:hint="eastAsia"/>
                      <w:szCs w:val="21"/>
                    </w:rPr>
                    <w:t>g</w:t>
                  </w:r>
                  <w:r>
                    <w:rPr>
                      <w:szCs w:val="21"/>
                    </w:rPr>
                    <w:t>/m</w:t>
                  </w:r>
                  <w:r>
                    <w:rPr>
                      <w:szCs w:val="21"/>
                      <w:vertAlign w:val="superscript"/>
                    </w:rPr>
                    <w:t>3</w:t>
                  </w:r>
                </w:p>
              </w:tc>
              <w:tc>
                <w:tcPr>
                  <w:tcW w:w="610" w:type="pct"/>
                  <w:tcBorders>
                    <w:top w:val="single" w:color="auto" w:sz="12" w:space="0"/>
                    <w:left w:val="single" w:color="auto" w:sz="4" w:space="0"/>
                    <w:bottom w:val="single" w:color="auto" w:sz="4" w:space="0"/>
                    <w:right w:val="single" w:color="auto" w:sz="4" w:space="0"/>
                  </w:tcBorders>
                  <w:vAlign w:val="center"/>
                </w:tcPr>
                <w:p>
                  <w:pPr>
                    <w:jc w:val="center"/>
                    <w:rPr>
                      <w:szCs w:val="21"/>
                    </w:rPr>
                  </w:pPr>
                  <w:r>
                    <w:rPr>
                      <w:szCs w:val="21"/>
                    </w:rPr>
                    <w:t>标准值</w:t>
                  </w:r>
                </w:p>
                <w:p>
                  <w:pPr>
                    <w:jc w:val="center"/>
                    <w:rPr>
                      <w:szCs w:val="21"/>
                    </w:rPr>
                  </w:pPr>
                  <w:r>
                    <w:rPr>
                      <w:szCs w:val="21"/>
                    </w:rPr>
                    <w:t>µg/m</w:t>
                  </w:r>
                  <w:r>
                    <w:rPr>
                      <w:szCs w:val="21"/>
                      <w:vertAlign w:val="superscript"/>
                    </w:rPr>
                    <w:t>3</w:t>
                  </w:r>
                </w:p>
              </w:tc>
              <w:tc>
                <w:tcPr>
                  <w:tcW w:w="436" w:type="pct"/>
                  <w:tcBorders>
                    <w:top w:val="single" w:color="auto" w:sz="12" w:space="0"/>
                    <w:left w:val="single" w:color="auto" w:sz="4" w:space="0"/>
                    <w:bottom w:val="single" w:color="auto" w:sz="4" w:space="0"/>
                    <w:right w:val="single" w:color="auto" w:sz="4" w:space="0"/>
                  </w:tcBorders>
                  <w:vAlign w:val="center"/>
                </w:tcPr>
                <w:p>
                  <w:pPr>
                    <w:jc w:val="center"/>
                    <w:rPr>
                      <w:szCs w:val="21"/>
                    </w:rPr>
                  </w:pPr>
                  <w:r>
                    <w:rPr>
                      <w:rFonts w:hint="eastAsia"/>
                      <w:szCs w:val="21"/>
                    </w:rPr>
                    <w:t>标准指数</w:t>
                  </w:r>
                </w:p>
              </w:tc>
              <w:tc>
                <w:tcPr>
                  <w:tcW w:w="444" w:type="pct"/>
                  <w:tcBorders>
                    <w:top w:val="single" w:color="auto" w:sz="12" w:space="0"/>
                    <w:left w:val="single" w:color="auto" w:sz="4" w:space="0"/>
                    <w:bottom w:val="single" w:color="auto" w:sz="4" w:space="0"/>
                    <w:right w:val="nil"/>
                  </w:tcBorders>
                  <w:vAlign w:val="center"/>
                </w:tcPr>
                <w:p>
                  <w:pPr>
                    <w:jc w:val="center"/>
                    <w:rPr>
                      <w:szCs w:val="21"/>
                    </w:rPr>
                  </w:pPr>
                  <w:r>
                    <w:rPr>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57" w:type="pct"/>
                  <w:tcBorders>
                    <w:top w:val="single" w:color="auto" w:sz="4" w:space="0"/>
                    <w:left w:val="nil"/>
                    <w:bottom w:val="single" w:color="auto" w:sz="4" w:space="0"/>
                    <w:right w:val="single" w:color="auto" w:sz="4" w:space="0"/>
                  </w:tcBorders>
                  <w:vAlign w:val="center"/>
                </w:tcPr>
                <w:p>
                  <w:pPr>
                    <w:jc w:val="center"/>
                    <w:rPr>
                      <w:szCs w:val="21"/>
                    </w:rPr>
                  </w:pPr>
                  <w:r>
                    <w:rPr>
                      <w:szCs w:val="21"/>
                    </w:rPr>
                    <w:t>PM</w:t>
                  </w:r>
                  <w:r>
                    <w:rPr>
                      <w:szCs w:val="21"/>
                      <w:vertAlign w:val="subscript"/>
                    </w:rPr>
                    <w:t>2.5</w:t>
                  </w:r>
                </w:p>
              </w:tc>
              <w:tc>
                <w:tcPr>
                  <w:tcW w:w="1905" w:type="pct"/>
                  <w:tcBorders>
                    <w:top w:val="single" w:color="auto" w:sz="4" w:space="0"/>
                    <w:left w:val="nil"/>
                    <w:bottom w:val="single" w:color="auto" w:sz="4" w:space="0"/>
                    <w:right w:val="single" w:color="auto" w:sz="4" w:space="0"/>
                  </w:tcBorders>
                  <w:vAlign w:val="center"/>
                </w:tcPr>
                <w:p>
                  <w:pPr>
                    <w:jc w:val="center"/>
                    <w:rPr>
                      <w:szCs w:val="21"/>
                    </w:rPr>
                  </w:pPr>
                  <w:r>
                    <w:rPr>
                      <w:szCs w:val="21"/>
                    </w:rPr>
                    <w:t>年平均质量浓度</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8</w:t>
                  </w:r>
                </w:p>
              </w:tc>
              <w:tc>
                <w:tcPr>
                  <w:tcW w:w="6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35</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0.80</w:t>
                  </w:r>
                </w:p>
              </w:tc>
              <w:tc>
                <w:tcPr>
                  <w:tcW w:w="444" w:type="pct"/>
                  <w:tcBorders>
                    <w:top w:val="single" w:color="auto" w:sz="4" w:space="0"/>
                    <w:left w:val="single" w:color="auto" w:sz="4" w:space="0"/>
                    <w:bottom w:val="single" w:color="auto" w:sz="4" w:space="0"/>
                    <w:right w:val="nil"/>
                  </w:tcBorders>
                  <w:vAlign w:val="center"/>
                </w:tcPr>
                <w:p>
                  <w:pPr>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57" w:type="pct"/>
                  <w:tcBorders>
                    <w:top w:val="single" w:color="auto" w:sz="4" w:space="0"/>
                    <w:left w:val="nil"/>
                    <w:bottom w:val="single" w:color="auto" w:sz="4" w:space="0"/>
                    <w:right w:val="single" w:color="auto" w:sz="4" w:space="0"/>
                  </w:tcBorders>
                  <w:vAlign w:val="center"/>
                </w:tcPr>
                <w:p>
                  <w:pPr>
                    <w:jc w:val="center"/>
                    <w:rPr>
                      <w:szCs w:val="21"/>
                    </w:rPr>
                  </w:pPr>
                  <w:r>
                    <w:rPr>
                      <w:szCs w:val="21"/>
                    </w:rPr>
                    <w:t>PM</w:t>
                  </w:r>
                  <w:r>
                    <w:rPr>
                      <w:szCs w:val="21"/>
                      <w:vertAlign w:val="subscript"/>
                    </w:rPr>
                    <w:t>10</w:t>
                  </w:r>
                </w:p>
              </w:tc>
              <w:tc>
                <w:tcPr>
                  <w:tcW w:w="1905" w:type="pct"/>
                  <w:tcBorders>
                    <w:top w:val="single" w:color="auto" w:sz="4" w:space="0"/>
                    <w:left w:val="nil"/>
                    <w:bottom w:val="single" w:color="auto" w:sz="4" w:space="0"/>
                    <w:right w:val="single" w:color="auto" w:sz="4" w:space="0"/>
                  </w:tcBorders>
                  <w:vAlign w:val="center"/>
                </w:tcPr>
                <w:p>
                  <w:pPr>
                    <w:jc w:val="center"/>
                    <w:rPr>
                      <w:szCs w:val="21"/>
                    </w:rPr>
                  </w:pPr>
                  <w:r>
                    <w:rPr>
                      <w:szCs w:val="21"/>
                    </w:rPr>
                    <w:t>年平均质量浓度</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r>
                    <w:rPr>
                      <w:szCs w:val="21"/>
                    </w:rPr>
                    <w:t>8</w:t>
                  </w:r>
                </w:p>
              </w:tc>
              <w:tc>
                <w:tcPr>
                  <w:tcW w:w="6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70</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0.69</w:t>
                  </w:r>
                </w:p>
              </w:tc>
              <w:tc>
                <w:tcPr>
                  <w:tcW w:w="444" w:type="pct"/>
                  <w:tcBorders>
                    <w:top w:val="single" w:color="auto" w:sz="4" w:space="0"/>
                    <w:left w:val="single" w:color="auto" w:sz="4" w:space="0"/>
                    <w:bottom w:val="single" w:color="auto" w:sz="4" w:space="0"/>
                    <w:right w:val="nil"/>
                  </w:tcBorders>
                  <w:vAlign w:val="center"/>
                </w:tcPr>
                <w:p>
                  <w:pPr>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57" w:type="pct"/>
                  <w:tcBorders>
                    <w:top w:val="single" w:color="auto" w:sz="4" w:space="0"/>
                    <w:left w:val="nil"/>
                    <w:bottom w:val="single" w:color="auto" w:sz="4" w:space="0"/>
                    <w:right w:val="single" w:color="auto" w:sz="4" w:space="0"/>
                  </w:tcBorders>
                  <w:vAlign w:val="center"/>
                </w:tcPr>
                <w:p>
                  <w:pPr>
                    <w:jc w:val="center"/>
                    <w:rPr>
                      <w:szCs w:val="21"/>
                    </w:rPr>
                  </w:pPr>
                  <w:r>
                    <w:rPr>
                      <w:szCs w:val="21"/>
                    </w:rPr>
                    <w:t>SO</w:t>
                  </w:r>
                  <w:r>
                    <w:rPr>
                      <w:szCs w:val="21"/>
                      <w:vertAlign w:val="subscript"/>
                    </w:rPr>
                    <w:t>2</w:t>
                  </w:r>
                </w:p>
              </w:tc>
              <w:tc>
                <w:tcPr>
                  <w:tcW w:w="1905" w:type="pct"/>
                  <w:tcBorders>
                    <w:top w:val="single" w:color="auto" w:sz="4" w:space="0"/>
                    <w:left w:val="nil"/>
                    <w:bottom w:val="single" w:color="auto" w:sz="4" w:space="0"/>
                    <w:right w:val="single" w:color="auto" w:sz="4" w:space="0"/>
                  </w:tcBorders>
                  <w:vAlign w:val="center"/>
                </w:tcPr>
                <w:p>
                  <w:pPr>
                    <w:jc w:val="center"/>
                    <w:rPr>
                      <w:szCs w:val="21"/>
                    </w:rPr>
                  </w:pPr>
                  <w:r>
                    <w:rPr>
                      <w:szCs w:val="21"/>
                    </w:rPr>
                    <w:t>年平均质量浓度</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9</w:t>
                  </w:r>
                </w:p>
              </w:tc>
              <w:tc>
                <w:tcPr>
                  <w:tcW w:w="6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60</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0.15</w:t>
                  </w:r>
                </w:p>
              </w:tc>
              <w:tc>
                <w:tcPr>
                  <w:tcW w:w="444" w:type="pct"/>
                  <w:tcBorders>
                    <w:top w:val="single" w:color="auto" w:sz="4" w:space="0"/>
                    <w:left w:val="single" w:color="auto" w:sz="4" w:space="0"/>
                    <w:bottom w:val="single" w:color="auto" w:sz="4" w:space="0"/>
                    <w:right w:val="nil"/>
                  </w:tcBorders>
                  <w:vAlign w:val="center"/>
                </w:tcPr>
                <w:p>
                  <w:pPr>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57" w:type="pct"/>
                  <w:tcBorders>
                    <w:top w:val="single" w:color="auto" w:sz="4" w:space="0"/>
                    <w:left w:val="nil"/>
                    <w:bottom w:val="single" w:color="auto" w:sz="4" w:space="0"/>
                    <w:right w:val="single" w:color="auto" w:sz="4" w:space="0"/>
                  </w:tcBorders>
                  <w:vAlign w:val="center"/>
                </w:tcPr>
                <w:p>
                  <w:pPr>
                    <w:jc w:val="center"/>
                    <w:rPr>
                      <w:szCs w:val="21"/>
                    </w:rPr>
                  </w:pPr>
                  <w:r>
                    <w:rPr>
                      <w:szCs w:val="21"/>
                    </w:rPr>
                    <w:t>NO</w:t>
                  </w:r>
                  <w:r>
                    <w:rPr>
                      <w:szCs w:val="21"/>
                      <w:vertAlign w:val="subscript"/>
                    </w:rPr>
                    <w:t>2</w:t>
                  </w:r>
                </w:p>
              </w:tc>
              <w:tc>
                <w:tcPr>
                  <w:tcW w:w="1905" w:type="pct"/>
                  <w:tcBorders>
                    <w:top w:val="single" w:color="auto" w:sz="4" w:space="0"/>
                    <w:left w:val="nil"/>
                    <w:bottom w:val="single" w:color="auto" w:sz="4" w:space="0"/>
                    <w:right w:val="single" w:color="auto" w:sz="4" w:space="0"/>
                  </w:tcBorders>
                  <w:vAlign w:val="center"/>
                </w:tcPr>
                <w:p>
                  <w:pPr>
                    <w:jc w:val="center"/>
                    <w:rPr>
                      <w:szCs w:val="21"/>
                    </w:rPr>
                  </w:pPr>
                  <w:r>
                    <w:rPr>
                      <w:szCs w:val="21"/>
                    </w:rPr>
                    <w:t>年平均质量浓度</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6</w:t>
                  </w:r>
                </w:p>
              </w:tc>
              <w:tc>
                <w:tcPr>
                  <w:tcW w:w="6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40</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0.65</w:t>
                  </w:r>
                </w:p>
              </w:tc>
              <w:tc>
                <w:tcPr>
                  <w:tcW w:w="444" w:type="pct"/>
                  <w:tcBorders>
                    <w:top w:val="single" w:color="auto" w:sz="4" w:space="0"/>
                    <w:left w:val="single" w:color="auto" w:sz="4" w:space="0"/>
                    <w:bottom w:val="single" w:color="auto" w:sz="4" w:space="0"/>
                    <w:right w:val="nil"/>
                  </w:tcBorders>
                  <w:vAlign w:val="center"/>
                </w:tcPr>
                <w:p>
                  <w:pPr>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857" w:type="pct"/>
                  <w:tcBorders>
                    <w:top w:val="single" w:color="auto" w:sz="4" w:space="0"/>
                    <w:left w:val="nil"/>
                    <w:right w:val="single" w:color="auto" w:sz="4" w:space="0"/>
                  </w:tcBorders>
                  <w:vAlign w:val="center"/>
                </w:tcPr>
                <w:p>
                  <w:pPr>
                    <w:jc w:val="center"/>
                    <w:rPr>
                      <w:szCs w:val="21"/>
                      <w:vertAlign w:val="subscript"/>
                    </w:rPr>
                  </w:pPr>
                  <w:r>
                    <w:rPr>
                      <w:szCs w:val="21"/>
                    </w:rPr>
                    <w:t>O</w:t>
                  </w:r>
                  <w:r>
                    <w:rPr>
                      <w:szCs w:val="21"/>
                      <w:vertAlign w:val="subscript"/>
                    </w:rPr>
                    <w:t>3</w:t>
                  </w:r>
                </w:p>
              </w:tc>
              <w:tc>
                <w:tcPr>
                  <w:tcW w:w="1905" w:type="pct"/>
                  <w:tcBorders>
                    <w:top w:val="single" w:color="auto" w:sz="4" w:space="0"/>
                    <w:left w:val="nil"/>
                    <w:right w:val="single" w:color="auto" w:sz="4" w:space="0"/>
                  </w:tcBorders>
                  <w:vAlign w:val="center"/>
                </w:tcPr>
                <w:p>
                  <w:pPr>
                    <w:pStyle w:val="4"/>
                    <w:jc w:val="center"/>
                    <w:rPr>
                      <w:kern w:val="2"/>
                      <w:sz w:val="21"/>
                      <w:szCs w:val="21"/>
                    </w:rPr>
                  </w:pPr>
                  <w:r>
                    <w:rPr>
                      <w:kern w:val="2"/>
                      <w:sz w:val="21"/>
                      <w:szCs w:val="21"/>
                    </w:rPr>
                    <w:t>第90百分位数8h平均质量浓度</w:t>
                  </w:r>
                </w:p>
              </w:tc>
              <w:tc>
                <w:tcPr>
                  <w:tcW w:w="748" w:type="pct"/>
                  <w:tcBorders>
                    <w:top w:val="single" w:color="auto" w:sz="4" w:space="0"/>
                    <w:left w:val="single" w:color="auto" w:sz="4" w:space="0"/>
                    <w:right w:val="single" w:color="auto" w:sz="4" w:space="0"/>
                  </w:tcBorders>
                  <w:vAlign w:val="center"/>
                </w:tcPr>
                <w:p>
                  <w:pPr>
                    <w:jc w:val="center"/>
                    <w:rPr>
                      <w:szCs w:val="21"/>
                    </w:rPr>
                  </w:pPr>
                  <w:r>
                    <w:rPr>
                      <w:rFonts w:hint="eastAsia"/>
                      <w:szCs w:val="21"/>
                    </w:rPr>
                    <w:t>1</w:t>
                  </w:r>
                  <w:r>
                    <w:rPr>
                      <w:szCs w:val="21"/>
                    </w:rPr>
                    <w:t>24</w:t>
                  </w:r>
                </w:p>
              </w:tc>
              <w:tc>
                <w:tcPr>
                  <w:tcW w:w="610" w:type="pct"/>
                  <w:tcBorders>
                    <w:top w:val="single" w:color="auto" w:sz="4" w:space="0"/>
                    <w:left w:val="single" w:color="auto" w:sz="4" w:space="0"/>
                    <w:right w:val="single" w:color="auto" w:sz="4" w:space="0"/>
                  </w:tcBorders>
                  <w:vAlign w:val="center"/>
                </w:tcPr>
                <w:p>
                  <w:pPr>
                    <w:jc w:val="center"/>
                    <w:rPr>
                      <w:szCs w:val="21"/>
                    </w:rPr>
                  </w:pPr>
                  <w:r>
                    <w:rPr>
                      <w:szCs w:val="21"/>
                    </w:rPr>
                    <w:t>160</w:t>
                  </w:r>
                </w:p>
              </w:tc>
              <w:tc>
                <w:tcPr>
                  <w:tcW w:w="436" w:type="pct"/>
                  <w:tcBorders>
                    <w:top w:val="single" w:color="auto" w:sz="4" w:space="0"/>
                    <w:left w:val="single" w:color="auto" w:sz="4" w:space="0"/>
                    <w:right w:val="single" w:color="auto" w:sz="4" w:space="0"/>
                  </w:tcBorders>
                  <w:vAlign w:val="center"/>
                </w:tcPr>
                <w:p>
                  <w:pPr>
                    <w:jc w:val="center"/>
                    <w:rPr>
                      <w:szCs w:val="21"/>
                    </w:rPr>
                  </w:pPr>
                  <w:r>
                    <w:rPr>
                      <w:rFonts w:hint="eastAsia"/>
                      <w:szCs w:val="21"/>
                    </w:rPr>
                    <w:t>0.78</w:t>
                  </w:r>
                </w:p>
              </w:tc>
              <w:tc>
                <w:tcPr>
                  <w:tcW w:w="444" w:type="pct"/>
                  <w:tcBorders>
                    <w:top w:val="single" w:color="auto" w:sz="4" w:space="0"/>
                    <w:left w:val="single" w:color="auto" w:sz="4" w:space="0"/>
                    <w:right w:val="nil"/>
                  </w:tcBorders>
                  <w:vAlign w:val="center"/>
                </w:tcPr>
                <w:p>
                  <w:pPr>
                    <w:jc w:val="center"/>
                    <w:rPr>
                      <w:szCs w:val="21"/>
                    </w:rPr>
                  </w:pPr>
                  <w:r>
                    <w:rPr>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7" w:type="pct"/>
                  <w:tcBorders>
                    <w:top w:val="single" w:color="auto" w:sz="4" w:space="0"/>
                    <w:left w:val="nil"/>
                    <w:right w:val="single" w:color="auto" w:sz="4" w:space="0"/>
                  </w:tcBorders>
                  <w:vAlign w:val="center"/>
                </w:tcPr>
                <w:p>
                  <w:pPr>
                    <w:jc w:val="center"/>
                    <w:rPr>
                      <w:szCs w:val="21"/>
                    </w:rPr>
                  </w:pPr>
                  <w:r>
                    <w:rPr>
                      <w:szCs w:val="21"/>
                    </w:rPr>
                    <w:t>CO（mg/m</w:t>
                  </w:r>
                  <w:r>
                    <w:rPr>
                      <w:szCs w:val="21"/>
                      <w:vertAlign w:val="superscript"/>
                    </w:rPr>
                    <w:t>3</w:t>
                  </w:r>
                  <w:r>
                    <w:rPr>
                      <w:szCs w:val="21"/>
                    </w:rPr>
                    <w:t>）</w:t>
                  </w:r>
                </w:p>
              </w:tc>
              <w:tc>
                <w:tcPr>
                  <w:tcW w:w="1905" w:type="pct"/>
                  <w:tcBorders>
                    <w:top w:val="single" w:color="auto" w:sz="4" w:space="0"/>
                    <w:left w:val="nil"/>
                    <w:right w:val="single" w:color="auto" w:sz="4" w:space="0"/>
                  </w:tcBorders>
                  <w:vAlign w:val="center"/>
                </w:tcPr>
                <w:p>
                  <w:pPr>
                    <w:jc w:val="center"/>
                    <w:rPr>
                      <w:szCs w:val="21"/>
                    </w:rPr>
                  </w:pPr>
                  <w:r>
                    <w:rPr>
                      <w:szCs w:val="21"/>
                      <w:lang w:bidi="ar"/>
                    </w:rPr>
                    <w:t>第95百分位数日平均</w:t>
                  </w:r>
                </w:p>
              </w:tc>
              <w:tc>
                <w:tcPr>
                  <w:tcW w:w="748" w:type="pct"/>
                  <w:tcBorders>
                    <w:top w:val="single" w:color="auto" w:sz="4" w:space="0"/>
                    <w:left w:val="single" w:color="auto" w:sz="4" w:space="0"/>
                    <w:right w:val="single" w:color="auto" w:sz="4" w:space="0"/>
                  </w:tcBorders>
                  <w:vAlign w:val="center"/>
                </w:tcPr>
                <w:p>
                  <w:pPr>
                    <w:jc w:val="center"/>
                    <w:rPr>
                      <w:szCs w:val="21"/>
                    </w:rPr>
                  </w:pPr>
                  <w:r>
                    <w:rPr>
                      <w:rFonts w:hint="eastAsia"/>
                      <w:szCs w:val="21"/>
                    </w:rPr>
                    <w:t>1</w:t>
                  </w:r>
                  <w:r>
                    <w:rPr>
                      <w:szCs w:val="21"/>
                    </w:rPr>
                    <w:t>.0</w:t>
                  </w:r>
                </w:p>
              </w:tc>
              <w:tc>
                <w:tcPr>
                  <w:tcW w:w="610" w:type="pct"/>
                  <w:tcBorders>
                    <w:top w:val="single" w:color="auto" w:sz="4" w:space="0"/>
                    <w:left w:val="single" w:color="auto" w:sz="4" w:space="0"/>
                    <w:right w:val="single" w:color="auto" w:sz="4" w:space="0"/>
                  </w:tcBorders>
                  <w:vAlign w:val="center"/>
                </w:tcPr>
                <w:p>
                  <w:pPr>
                    <w:jc w:val="center"/>
                    <w:rPr>
                      <w:szCs w:val="21"/>
                    </w:rPr>
                  </w:pPr>
                  <w:r>
                    <w:rPr>
                      <w:szCs w:val="21"/>
                    </w:rPr>
                    <w:t>4</w:t>
                  </w:r>
                </w:p>
              </w:tc>
              <w:tc>
                <w:tcPr>
                  <w:tcW w:w="436" w:type="pct"/>
                  <w:tcBorders>
                    <w:top w:val="single" w:color="auto" w:sz="4" w:space="0"/>
                    <w:left w:val="single" w:color="auto" w:sz="4" w:space="0"/>
                    <w:right w:val="single" w:color="auto" w:sz="4" w:space="0"/>
                  </w:tcBorders>
                  <w:vAlign w:val="center"/>
                </w:tcPr>
                <w:p>
                  <w:pPr>
                    <w:jc w:val="center"/>
                    <w:rPr>
                      <w:szCs w:val="21"/>
                    </w:rPr>
                  </w:pPr>
                  <w:r>
                    <w:rPr>
                      <w:rFonts w:hint="eastAsia"/>
                      <w:szCs w:val="21"/>
                    </w:rPr>
                    <w:t>0.25</w:t>
                  </w:r>
                </w:p>
              </w:tc>
              <w:tc>
                <w:tcPr>
                  <w:tcW w:w="444" w:type="pct"/>
                  <w:tcBorders>
                    <w:top w:val="single" w:color="auto" w:sz="4" w:space="0"/>
                    <w:left w:val="single" w:color="auto" w:sz="4" w:space="0"/>
                    <w:right w:val="nil"/>
                  </w:tcBorders>
                  <w:vAlign w:val="center"/>
                </w:tcPr>
                <w:p>
                  <w:pPr>
                    <w:jc w:val="center"/>
                    <w:rPr>
                      <w:szCs w:val="21"/>
                    </w:rPr>
                  </w:pPr>
                  <w:r>
                    <w:rPr>
                      <w:szCs w:val="21"/>
                    </w:rPr>
                    <w:t>达标</w:t>
                  </w:r>
                </w:p>
              </w:tc>
            </w:tr>
          </w:tbl>
          <w:p>
            <w:pPr>
              <w:pStyle w:val="46"/>
              <w:widowControl w:val="0"/>
              <w:ind w:firstLine="420"/>
            </w:pPr>
            <w:r>
              <w:t>环境空气优良天数比例</w:t>
            </w:r>
            <w:r>
              <w:rPr>
                <w:rFonts w:hint="eastAsia"/>
              </w:rPr>
              <w:t>9</w:t>
            </w:r>
            <w:r>
              <w:t>2.1%</w:t>
            </w:r>
            <w:r>
              <w:rPr>
                <w:rFonts w:hint="eastAsia"/>
              </w:rPr>
              <w:t>，</w:t>
            </w:r>
            <w:r>
              <w:t>项目所在区域为环境空气质量达标区。</w:t>
            </w:r>
          </w:p>
          <w:bookmarkEnd w:id="6"/>
          <w:p>
            <w:pPr>
              <w:pStyle w:val="46"/>
              <w:widowControl w:val="0"/>
              <w:ind w:firstLine="422"/>
              <w:rPr>
                <w:rFonts w:cs="Times New Roman"/>
                <w:b/>
                <w:bCs/>
              </w:rPr>
            </w:pPr>
            <w:r>
              <w:rPr>
                <w:rFonts w:cs="Times New Roman"/>
                <w:b/>
                <w:bCs/>
              </w:rPr>
              <w:t>1.2 特征污染物</w:t>
            </w:r>
          </w:p>
          <w:p>
            <w:pPr>
              <w:pStyle w:val="46"/>
              <w:widowControl w:val="0"/>
              <w:ind w:firstLine="420"/>
              <w:rPr>
                <w:rFonts w:cs="Times New Roman"/>
              </w:rPr>
            </w:pPr>
            <w:r>
              <w:rPr>
                <w:rFonts w:cs="Times New Roman"/>
              </w:rPr>
              <w:t>根据《建设项目环境影响报告表编制技术指南（污染影响类）（试行）》中要</w:t>
            </w:r>
            <w:r>
              <w:rPr>
                <w:rFonts w:ascii="宋体" w:hAnsi="宋体" w:cs="Times New Roman"/>
              </w:rPr>
              <w:t>求“</w:t>
            </w:r>
            <w:r>
              <w:rPr>
                <w:rFonts w:cs="Times New Roman"/>
              </w:rPr>
              <w:t>根据建设项目所在环境功能区及适用的国家、地方环境质量标准，以及地方环境质量管理要求评价大气环境质量现状达标情</w:t>
            </w:r>
            <w:r>
              <w:rPr>
                <w:rFonts w:ascii="宋体" w:hAnsi="宋体" w:cs="Times New Roman"/>
              </w:rPr>
              <w:t>况”</w:t>
            </w:r>
            <w:r>
              <w:rPr>
                <w:rFonts w:cs="Times New Roman"/>
              </w:rPr>
              <w:t>。</w:t>
            </w:r>
          </w:p>
          <w:p>
            <w:pPr>
              <w:pStyle w:val="46"/>
              <w:ind w:firstLine="420"/>
              <w:rPr>
                <w:rFonts w:ascii="宋体" w:hAnsi="宋体"/>
              </w:rPr>
            </w:pPr>
            <w:r>
              <w:rPr>
                <w:rStyle w:val="54"/>
                <w:rFonts w:hint="default"/>
                <w:sz w:val="21"/>
                <w:szCs w:val="21"/>
              </w:rPr>
              <w:t>根据《建设项目环境影响报告表编制技术指南（污染影响类）（试行）》中“</w:t>
            </w:r>
            <w:r>
              <w:rPr>
                <w:rFonts w:ascii="宋体" w:hAnsi="宋体"/>
              </w:rPr>
              <w:t>排放国家、地方环境空气质量标准中有标准限值要求的特征污染物时，引用建</w:t>
            </w:r>
            <w:r>
              <w:t>设项目周边5千米范围内近3年的现有监测数据，无相关数据的选择当季主导风向下风向1个点位补充不少于3天的监测</w:t>
            </w:r>
            <w:r>
              <w:rPr>
                <w:rFonts w:ascii="宋体" w:hAnsi="宋体"/>
              </w:rPr>
              <w:t>数据”</w:t>
            </w:r>
            <w:r>
              <w:rPr>
                <w:rFonts w:hint="eastAsia" w:ascii="宋体" w:hAnsi="宋体"/>
              </w:rPr>
              <w:t>，本次采取补充监测的方式对环境质量现状进行分析。</w:t>
            </w:r>
          </w:p>
          <w:p>
            <w:pPr>
              <w:pStyle w:val="3"/>
            </w:pPr>
            <w:r>
              <w:rPr>
                <w:rFonts w:hint="eastAsia"/>
              </w:rPr>
              <w:t>本项目T</w:t>
            </w:r>
            <w:r>
              <w:t>SP</w:t>
            </w:r>
            <w:r>
              <w:rPr>
                <w:rFonts w:hint="eastAsia"/>
              </w:rPr>
              <w:t>引用《吉林嘉润热力集团有限公司长春北湖科技开发区嘉润热力2号热源厂（一期）改扩建项目》的现状监测数据，吉林嘉润热力集团有限公司位于本项目南侧9</w:t>
            </w:r>
            <w:r>
              <w:t>00</w:t>
            </w:r>
            <w:r>
              <w:rPr>
                <w:rFonts w:hint="eastAsia"/>
              </w:rPr>
              <w:t>m处，监测报告见附件6。其余特征污染物实测。</w:t>
            </w:r>
          </w:p>
          <w:p>
            <w:pPr>
              <w:pStyle w:val="3"/>
              <w:rPr>
                <w:szCs w:val="21"/>
              </w:rPr>
            </w:pPr>
            <w:bookmarkStart w:id="7" w:name="_Hlk141793795"/>
            <w:r>
              <w:rPr>
                <w:rFonts w:hint="eastAsia"/>
                <w:szCs w:val="21"/>
              </w:rPr>
              <w:t>①监测点布设与监测项目</w:t>
            </w:r>
          </w:p>
          <w:p>
            <w:pPr>
              <w:pStyle w:val="3"/>
              <w:rPr>
                <w:szCs w:val="21"/>
              </w:rPr>
            </w:pPr>
            <w:r>
              <w:rPr>
                <w:rFonts w:hint="eastAsia"/>
                <w:szCs w:val="21"/>
              </w:rPr>
              <w:t>根据本工程污染物排放特点，本次评价范围内共布设</w:t>
            </w:r>
            <w:r>
              <w:rPr>
                <w:szCs w:val="21"/>
              </w:rPr>
              <w:t>1</w:t>
            </w:r>
            <w:r>
              <w:rPr>
                <w:rFonts w:hint="eastAsia"/>
                <w:szCs w:val="21"/>
              </w:rPr>
              <w:t>个环境空气特征因子监测点，监测点位布设情况详见下表：</w:t>
            </w:r>
          </w:p>
          <w:p>
            <w:pPr>
              <w:spacing w:before="48" w:after="48"/>
              <w:jc w:val="center"/>
              <w:rPr>
                <w:rFonts w:ascii="宋体" w:hAnsi="宋体" w:cs="宋体"/>
                <w:b/>
                <w:bCs/>
                <w:color w:val="000000"/>
                <w:szCs w:val="21"/>
              </w:rPr>
            </w:pPr>
            <w:r>
              <w:rPr>
                <w:rFonts w:hint="eastAsia" w:ascii="宋体" w:hAnsi="宋体" w:cs="宋体"/>
                <w:b/>
                <w:bCs/>
                <w:color w:val="000000"/>
                <w:szCs w:val="21"/>
                <w:lang w:bidi="ar"/>
              </w:rPr>
              <w:t>表</w:t>
            </w:r>
            <w:r>
              <w:rPr>
                <w:b/>
                <w:bCs/>
                <w:color w:val="000000"/>
                <w:szCs w:val="21"/>
                <w:lang w:bidi="ar"/>
              </w:rPr>
              <w:t>3-2</w:t>
            </w:r>
            <w:r>
              <w:rPr>
                <w:rFonts w:hint="eastAsia" w:ascii="宋体" w:hAnsi="宋体" w:cs="宋体"/>
                <w:b/>
                <w:bCs/>
                <w:color w:val="000000"/>
                <w:szCs w:val="21"/>
                <w:lang w:bidi="ar"/>
              </w:rPr>
              <w:t xml:space="preserve">  环境空气监测点名称及布设情况</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31"/>
              <w:gridCol w:w="3777"/>
              <w:gridCol w:w="20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47" w:type="pct"/>
                  <w:vAlign w:val="center"/>
                </w:tcPr>
                <w:p>
                  <w:pPr>
                    <w:jc w:val="center"/>
                    <w:rPr>
                      <w:szCs w:val="21"/>
                    </w:rPr>
                  </w:pPr>
                  <w:r>
                    <w:rPr>
                      <w:szCs w:val="21"/>
                    </w:rPr>
                    <w:t>监测点位名称</w:t>
                  </w:r>
                </w:p>
              </w:tc>
              <w:tc>
                <w:tcPr>
                  <w:tcW w:w="2107" w:type="pct"/>
                  <w:vAlign w:val="center"/>
                </w:tcPr>
                <w:p>
                  <w:pPr>
                    <w:jc w:val="center"/>
                    <w:rPr>
                      <w:szCs w:val="21"/>
                    </w:rPr>
                  </w:pPr>
                  <w:r>
                    <w:rPr>
                      <w:rFonts w:hint="eastAsia"/>
                      <w:szCs w:val="21"/>
                    </w:rPr>
                    <w:t>监测污染物</w:t>
                  </w:r>
                </w:p>
              </w:tc>
              <w:tc>
                <w:tcPr>
                  <w:tcW w:w="1146" w:type="pct"/>
                  <w:vAlign w:val="center"/>
                </w:tcPr>
                <w:p>
                  <w:pPr>
                    <w:jc w:val="center"/>
                    <w:rPr>
                      <w:szCs w:val="21"/>
                    </w:rPr>
                  </w:pPr>
                  <w:r>
                    <w:rPr>
                      <w:rFonts w:hint="eastAsia"/>
                      <w:szCs w:val="21"/>
                    </w:rPr>
                    <w:t>与本项目位置关系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47" w:type="pct"/>
                  <w:vAlign w:val="center"/>
                </w:tcPr>
                <w:p>
                  <w:pPr>
                    <w:jc w:val="center"/>
                    <w:rPr>
                      <w:szCs w:val="21"/>
                    </w:rPr>
                  </w:pPr>
                  <w:r>
                    <w:rPr>
                      <w:rFonts w:hint="eastAsia"/>
                      <w:szCs w:val="21"/>
                    </w:rPr>
                    <w:t>厂区下风向1</w:t>
                  </w:r>
                  <w:r>
                    <w:rPr>
                      <w:szCs w:val="21"/>
                    </w:rPr>
                    <w:t>50</w:t>
                  </w:r>
                  <w:r>
                    <w:rPr>
                      <w:rFonts w:hint="eastAsia"/>
                      <w:szCs w:val="21"/>
                    </w:rPr>
                    <w:t>m处</w:t>
                  </w:r>
                </w:p>
              </w:tc>
              <w:tc>
                <w:tcPr>
                  <w:tcW w:w="2107" w:type="pct"/>
                  <w:vAlign w:val="center"/>
                </w:tcPr>
                <w:p>
                  <w:pPr>
                    <w:pStyle w:val="56"/>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N</w:t>
                  </w:r>
                  <w:r>
                    <w:rPr>
                      <w:rFonts w:ascii="Times New Roman" w:hAnsi="Times New Roman" w:cs="Times New Roman"/>
                      <w:color w:val="auto"/>
                      <w:sz w:val="21"/>
                      <w:szCs w:val="21"/>
                    </w:rPr>
                    <w:t>O</w:t>
                  </w:r>
                  <w:r>
                    <w:rPr>
                      <w:rFonts w:hint="eastAsia" w:ascii="Times New Roman" w:hAnsi="Times New Roman" w:cs="Times New Roman"/>
                      <w:color w:val="auto"/>
                      <w:sz w:val="21"/>
                      <w:szCs w:val="21"/>
                    </w:rPr>
                    <w:t>x</w:t>
                  </w:r>
                  <w:r>
                    <w:rPr>
                      <w:rFonts w:ascii="Times New Roman" w:hAnsi="Times New Roman" w:cs="Times New Roman"/>
                      <w:color w:val="auto"/>
                      <w:sz w:val="21"/>
                      <w:szCs w:val="21"/>
                    </w:rPr>
                    <w:t xml:space="preserve"> </w:t>
                  </w:r>
                </w:p>
              </w:tc>
              <w:tc>
                <w:tcPr>
                  <w:tcW w:w="1146" w:type="pct"/>
                  <w:vAlign w:val="center"/>
                </w:tcPr>
                <w:p>
                  <w:pPr>
                    <w:jc w:val="center"/>
                    <w:rPr>
                      <w:szCs w:val="21"/>
                    </w:rPr>
                  </w:pPr>
                  <w:r>
                    <w:rPr>
                      <w:rFonts w:hint="eastAsia"/>
                      <w:szCs w:val="21"/>
                    </w:rPr>
                    <w:t>厂区东北侧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47" w:type="pct"/>
                  <w:vAlign w:val="center"/>
                </w:tcPr>
                <w:p>
                  <w:pPr>
                    <w:jc w:val="center"/>
                    <w:rPr>
                      <w:szCs w:val="21"/>
                    </w:rPr>
                  </w:pPr>
                  <w:r>
                    <w:rPr>
                      <w:rFonts w:hint="eastAsia"/>
                      <w:szCs w:val="21"/>
                    </w:rPr>
                    <w:t>吉林佳润热力集团有限公司</w:t>
                  </w:r>
                </w:p>
              </w:tc>
              <w:tc>
                <w:tcPr>
                  <w:tcW w:w="2107" w:type="pct"/>
                  <w:vAlign w:val="center"/>
                </w:tcPr>
                <w:p>
                  <w:pPr>
                    <w:pStyle w:val="56"/>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T</w:t>
                  </w:r>
                  <w:r>
                    <w:rPr>
                      <w:rFonts w:ascii="Times New Roman" w:hAnsi="Times New Roman" w:cs="Times New Roman"/>
                      <w:color w:val="auto"/>
                      <w:sz w:val="21"/>
                      <w:szCs w:val="21"/>
                    </w:rPr>
                    <w:t>SP</w:t>
                  </w:r>
                </w:p>
              </w:tc>
              <w:tc>
                <w:tcPr>
                  <w:tcW w:w="1146" w:type="pct"/>
                  <w:vAlign w:val="center"/>
                </w:tcPr>
                <w:p>
                  <w:pPr>
                    <w:jc w:val="center"/>
                    <w:rPr>
                      <w:szCs w:val="21"/>
                    </w:rPr>
                  </w:pPr>
                  <w:r>
                    <w:rPr>
                      <w:rFonts w:hint="eastAsia"/>
                      <w:szCs w:val="21"/>
                    </w:rPr>
                    <w:t>厂区西南侧</w:t>
                  </w:r>
                </w:p>
              </w:tc>
            </w:tr>
          </w:tbl>
          <w:p>
            <w:pPr>
              <w:pStyle w:val="3"/>
            </w:pPr>
            <w:r>
              <w:rPr>
                <w:rFonts w:hint="eastAsia"/>
              </w:rPr>
              <w:t>②监测单位及时间</w:t>
            </w:r>
          </w:p>
          <w:p>
            <w:pPr>
              <w:pStyle w:val="3"/>
            </w:pPr>
            <w:r>
              <w:rPr>
                <w:rFonts w:hint="eastAsia"/>
                <w:szCs w:val="21"/>
              </w:rPr>
              <w:t>N</w:t>
            </w:r>
            <w:r>
              <w:rPr>
                <w:szCs w:val="21"/>
              </w:rPr>
              <w:t>O</w:t>
            </w:r>
            <w:r>
              <w:rPr>
                <w:rFonts w:hint="eastAsia"/>
                <w:szCs w:val="21"/>
              </w:rPr>
              <w:t>x</w:t>
            </w:r>
            <w:r>
              <w:rPr>
                <w:rFonts w:hint="eastAsia"/>
              </w:rPr>
              <w:t>由吉林省赢帮环境检测有限公司于20</w:t>
            </w:r>
            <w:r>
              <w:t>23</w:t>
            </w:r>
            <w:r>
              <w:rPr>
                <w:rFonts w:hint="eastAsia"/>
              </w:rPr>
              <w:t>年7月7日至1</w:t>
            </w:r>
            <w:r>
              <w:t>3</w:t>
            </w:r>
            <w:r>
              <w:rPr>
                <w:rFonts w:hint="eastAsia"/>
              </w:rPr>
              <w:t>日进行监测，连续监测7天。</w:t>
            </w:r>
          </w:p>
          <w:p>
            <w:pPr>
              <w:pStyle w:val="3"/>
            </w:pPr>
            <w:r>
              <w:rPr>
                <w:rFonts w:hint="eastAsia"/>
                <w:szCs w:val="21"/>
              </w:rPr>
              <w:t>T</w:t>
            </w:r>
            <w:r>
              <w:rPr>
                <w:szCs w:val="21"/>
              </w:rPr>
              <w:t>SP</w:t>
            </w:r>
            <w:r>
              <w:rPr>
                <w:rFonts w:hint="eastAsia"/>
                <w:szCs w:val="21"/>
              </w:rPr>
              <w:t>由吉林省世翔环境科技有限公司于2</w:t>
            </w:r>
            <w:r>
              <w:rPr>
                <w:szCs w:val="21"/>
              </w:rPr>
              <w:t>020</w:t>
            </w:r>
            <w:r>
              <w:rPr>
                <w:rFonts w:hint="eastAsia"/>
                <w:szCs w:val="21"/>
              </w:rPr>
              <w:t>年1</w:t>
            </w:r>
            <w:r>
              <w:rPr>
                <w:szCs w:val="21"/>
              </w:rPr>
              <w:t>2</w:t>
            </w:r>
            <w:r>
              <w:rPr>
                <w:rFonts w:hint="eastAsia"/>
                <w:szCs w:val="21"/>
              </w:rPr>
              <w:t>月1日至7日进行监测，连续监测7天。</w:t>
            </w:r>
          </w:p>
          <w:p>
            <w:pPr>
              <w:pStyle w:val="3"/>
            </w:pPr>
            <w:r>
              <w:rPr>
                <w:rFonts w:hint="eastAsia"/>
              </w:rPr>
              <w:t>③评价方法</w:t>
            </w:r>
          </w:p>
          <w:p>
            <w:pPr>
              <w:pStyle w:val="3"/>
            </w:pPr>
            <w:r>
              <w:rPr>
                <w:rFonts w:hint="eastAsia"/>
              </w:rPr>
              <w:t>采用占标率法，同时计算污染物年均值超标率。数学表达式如下：</w:t>
            </w:r>
          </w:p>
          <w:p>
            <w:pPr>
              <w:pStyle w:val="55"/>
              <w:spacing w:beforeLines="0" w:afterLines="0"/>
              <w:ind w:firstLine="0" w:firstLineChars="0"/>
              <w:jc w:val="center"/>
              <w:rPr>
                <w:rFonts w:cs="宋体"/>
                <w:szCs w:val="24"/>
              </w:rPr>
            </w:pPr>
            <w:r>
              <w:rPr>
                <w:rFonts w:hint="eastAsia" w:cs="宋体"/>
                <w:szCs w:val="24"/>
              </w:rPr>
              <w:object>
                <v:shape id="_x0000_i1027" o:spt="75" type="#_x0000_t75" style="height:21.75pt;width:50.2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p>
            <w:pPr>
              <w:pStyle w:val="3"/>
            </w:pPr>
            <w:r>
              <w:rPr>
                <w:rFonts w:hint="eastAsia"/>
              </w:rPr>
              <w:t>式中：I</w:t>
            </w:r>
            <w:r>
              <w:rPr>
                <w:rFonts w:hint="eastAsia"/>
                <w:vertAlign w:val="subscript"/>
              </w:rPr>
              <w:t>i</w:t>
            </w:r>
            <w:r>
              <w:rPr>
                <w:rFonts w:hint="eastAsia"/>
              </w:rPr>
              <w:t>—第i种污染物环境质量指数；</w:t>
            </w:r>
          </w:p>
          <w:p>
            <w:pPr>
              <w:pStyle w:val="3"/>
              <w:ind w:firstLine="1050" w:firstLineChars="500"/>
            </w:pPr>
            <w:r>
              <w:rPr>
                <w:rFonts w:hint="eastAsia"/>
              </w:rPr>
              <w:t>C</w:t>
            </w:r>
            <w:r>
              <w:rPr>
                <w:rFonts w:hint="eastAsia"/>
                <w:vertAlign w:val="subscript"/>
              </w:rPr>
              <w:t>i</w:t>
            </w:r>
            <w:r>
              <w:rPr>
                <w:rFonts w:hint="eastAsia"/>
              </w:rPr>
              <w:t>—第i种污染物平均浓度，mg/m</w:t>
            </w:r>
            <w:r>
              <w:rPr>
                <w:rFonts w:hint="eastAsia"/>
                <w:vertAlign w:val="superscript"/>
              </w:rPr>
              <w:t>3</w:t>
            </w:r>
            <w:r>
              <w:rPr>
                <w:rFonts w:hint="eastAsia"/>
              </w:rPr>
              <w:t>；</w:t>
            </w:r>
          </w:p>
          <w:p>
            <w:pPr>
              <w:pStyle w:val="3"/>
              <w:ind w:firstLine="1050" w:firstLineChars="500"/>
            </w:pPr>
            <w:r>
              <w:rPr>
                <w:rFonts w:hint="eastAsia"/>
              </w:rPr>
              <w:t>C</w:t>
            </w:r>
            <w:r>
              <w:rPr>
                <w:rFonts w:hint="eastAsia"/>
                <w:vertAlign w:val="subscript"/>
              </w:rPr>
              <w:t xml:space="preserve">0 </w:t>
            </w:r>
            <w:r>
              <w:rPr>
                <w:rFonts w:hint="eastAsia"/>
              </w:rPr>
              <w:t>—第i种污染物环境质量标准，mg/m</w:t>
            </w:r>
            <w:r>
              <w:rPr>
                <w:rFonts w:hint="eastAsia"/>
                <w:vertAlign w:val="superscript"/>
              </w:rPr>
              <w:t>3</w:t>
            </w:r>
            <w:r>
              <w:rPr>
                <w:rFonts w:hint="eastAsia"/>
              </w:rPr>
              <w:t>。</w:t>
            </w:r>
          </w:p>
          <w:p>
            <w:pPr>
              <w:pStyle w:val="3"/>
            </w:pPr>
            <w:r>
              <w:rPr>
                <w:rFonts w:hint="eastAsia"/>
              </w:rPr>
              <w:t>④监测结果</w:t>
            </w:r>
          </w:p>
          <w:p>
            <w:pPr>
              <w:pStyle w:val="3"/>
            </w:pPr>
            <w:r>
              <w:rPr>
                <w:rFonts w:hint="eastAsia"/>
              </w:rPr>
              <w:t>监测及评价结果见下表</w:t>
            </w:r>
          </w:p>
          <w:p>
            <w:pPr>
              <w:pStyle w:val="53"/>
              <w:snapToGrid w:val="0"/>
              <w:jc w:val="center"/>
              <w:rPr>
                <w:rFonts w:hAnsi="宋体"/>
                <w:b/>
                <w:bCs/>
                <w:sz w:val="21"/>
                <w:szCs w:val="21"/>
              </w:rPr>
            </w:pPr>
            <w:r>
              <w:rPr>
                <w:rFonts w:hint="eastAsia" w:hAnsi="宋体"/>
                <w:b/>
                <w:bCs/>
                <w:sz w:val="21"/>
                <w:szCs w:val="21"/>
              </w:rPr>
              <w:t>表</w:t>
            </w:r>
            <w:r>
              <w:rPr>
                <w:rFonts w:ascii="Times New Roman"/>
                <w:b/>
                <w:bCs/>
                <w:sz w:val="21"/>
                <w:szCs w:val="21"/>
              </w:rPr>
              <w:t xml:space="preserve">3-3 </w:t>
            </w:r>
            <w:r>
              <w:rPr>
                <w:rFonts w:hint="eastAsia" w:hAnsi="宋体"/>
                <w:b/>
                <w:bCs/>
                <w:sz w:val="21"/>
                <w:szCs w:val="21"/>
              </w:rPr>
              <w:t xml:space="preserve"> 环境空气质量现状监测分析统计结果</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909"/>
              <w:gridCol w:w="1819"/>
              <w:gridCol w:w="1821"/>
              <w:gridCol w:w="1819"/>
              <w:gridCol w:w="18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gridSpan w:val="2"/>
                  <w:vMerge w:val="restart"/>
                  <w:vAlign w:val="center"/>
                </w:tcPr>
                <w:p>
                  <w:pPr>
                    <w:jc w:val="center"/>
                    <w:rPr>
                      <w:szCs w:val="21"/>
                    </w:rPr>
                  </w:pPr>
                  <w:r>
                    <w:rPr>
                      <w:rFonts w:hint="eastAsia"/>
                      <w:szCs w:val="21"/>
                    </w:rPr>
                    <w:t>项目</w:t>
                  </w:r>
                </w:p>
              </w:tc>
              <w:tc>
                <w:tcPr>
                  <w:tcW w:w="4062" w:type="pct"/>
                  <w:gridSpan w:val="4"/>
                </w:tcPr>
                <w:p>
                  <w:pPr>
                    <w:jc w:val="center"/>
                    <w:rPr>
                      <w:szCs w:val="21"/>
                    </w:rPr>
                  </w:pPr>
                  <w:r>
                    <w:rPr>
                      <w:rFonts w:hint="eastAsia"/>
                      <w:szCs w:val="21"/>
                    </w:rPr>
                    <w:t>浓度统计结果（小时值）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gridSpan w:val="2"/>
                  <w:vMerge w:val="continue"/>
                  <w:vAlign w:val="center"/>
                </w:tcPr>
                <w:p>
                  <w:pPr>
                    <w:jc w:val="center"/>
                    <w:rPr>
                      <w:szCs w:val="21"/>
                    </w:rPr>
                  </w:pPr>
                </w:p>
              </w:tc>
              <w:tc>
                <w:tcPr>
                  <w:tcW w:w="1015" w:type="pct"/>
                  <w:vAlign w:val="center"/>
                </w:tcPr>
                <w:p>
                  <w:pPr>
                    <w:jc w:val="center"/>
                    <w:rPr>
                      <w:szCs w:val="21"/>
                    </w:rPr>
                  </w:pPr>
                  <w:r>
                    <w:rPr>
                      <w:rFonts w:hint="eastAsia"/>
                      <w:szCs w:val="21"/>
                    </w:rPr>
                    <w:t>浓度范围</w:t>
                  </w:r>
                </w:p>
                <w:p>
                  <w:pPr>
                    <w:jc w:val="center"/>
                    <w:rPr>
                      <w:szCs w:val="21"/>
                    </w:rPr>
                  </w:pPr>
                  <w:r>
                    <w:rPr>
                      <w:rFonts w:hint="eastAsia"/>
                      <w:szCs w:val="21"/>
                    </w:rPr>
                    <w:t>（mg/m</w:t>
                  </w:r>
                  <w:r>
                    <w:rPr>
                      <w:rFonts w:hint="eastAsia"/>
                      <w:szCs w:val="21"/>
                      <w:vertAlign w:val="superscript"/>
                    </w:rPr>
                    <w:t>3</w:t>
                  </w:r>
                  <w:r>
                    <w:rPr>
                      <w:rFonts w:hint="eastAsia"/>
                      <w:szCs w:val="21"/>
                    </w:rPr>
                    <w:t>）</w:t>
                  </w:r>
                </w:p>
              </w:tc>
              <w:tc>
                <w:tcPr>
                  <w:tcW w:w="1016" w:type="pct"/>
                </w:tcPr>
                <w:p>
                  <w:pPr>
                    <w:jc w:val="center"/>
                    <w:rPr>
                      <w:szCs w:val="21"/>
                    </w:rPr>
                  </w:pPr>
                  <w:r>
                    <w:rPr>
                      <w:rFonts w:hint="eastAsia"/>
                      <w:szCs w:val="21"/>
                    </w:rPr>
                    <w:t>标准值（mg/m</w:t>
                  </w:r>
                  <w:r>
                    <w:rPr>
                      <w:rFonts w:hint="eastAsia"/>
                      <w:szCs w:val="21"/>
                      <w:vertAlign w:val="superscript"/>
                    </w:rPr>
                    <w:t>3</w:t>
                  </w:r>
                  <w:r>
                    <w:rPr>
                      <w:rFonts w:hint="eastAsia"/>
                      <w:szCs w:val="21"/>
                    </w:rPr>
                    <w:t>）</w:t>
                  </w:r>
                </w:p>
              </w:tc>
              <w:tc>
                <w:tcPr>
                  <w:tcW w:w="1015" w:type="pct"/>
                  <w:vAlign w:val="center"/>
                </w:tcPr>
                <w:p>
                  <w:pPr>
                    <w:jc w:val="center"/>
                    <w:rPr>
                      <w:szCs w:val="21"/>
                    </w:rPr>
                  </w:pPr>
                  <w:r>
                    <w:rPr>
                      <w:rFonts w:hint="eastAsia"/>
                      <w:szCs w:val="21"/>
                    </w:rPr>
                    <w:t>超标率</w:t>
                  </w:r>
                </w:p>
              </w:tc>
              <w:tc>
                <w:tcPr>
                  <w:tcW w:w="1016" w:type="pct"/>
                  <w:vAlign w:val="center"/>
                </w:tcPr>
                <w:p>
                  <w:pPr>
                    <w:jc w:val="center"/>
                    <w:rPr>
                      <w:szCs w:val="21"/>
                    </w:rPr>
                  </w:pPr>
                  <w:r>
                    <w:rPr>
                      <w:rFonts w:hint="eastAsia"/>
                      <w:szCs w:val="21"/>
                    </w:rPr>
                    <w:t>最大占标率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gridSpan w:val="2"/>
                  <w:vAlign w:val="center"/>
                </w:tcPr>
                <w:p>
                  <w:pPr>
                    <w:jc w:val="center"/>
                    <w:rPr>
                      <w:szCs w:val="21"/>
                    </w:rPr>
                  </w:pPr>
                  <w:r>
                    <w:rPr>
                      <w:rFonts w:hint="eastAsia"/>
                      <w:szCs w:val="21"/>
                    </w:rPr>
                    <w:t>TSP</w:t>
                  </w:r>
                </w:p>
              </w:tc>
              <w:tc>
                <w:tcPr>
                  <w:tcW w:w="1015" w:type="pct"/>
                  <w:vAlign w:val="center"/>
                </w:tcPr>
                <w:p>
                  <w:pPr>
                    <w:jc w:val="center"/>
                    <w:rPr>
                      <w:szCs w:val="21"/>
                    </w:rPr>
                  </w:pPr>
                  <w:r>
                    <w:rPr>
                      <w:szCs w:val="21"/>
                    </w:rPr>
                    <w:t>0.096-0.141</w:t>
                  </w:r>
                </w:p>
              </w:tc>
              <w:tc>
                <w:tcPr>
                  <w:tcW w:w="1016" w:type="pct"/>
                </w:tcPr>
                <w:p>
                  <w:pPr>
                    <w:jc w:val="center"/>
                    <w:rPr>
                      <w:szCs w:val="21"/>
                    </w:rPr>
                  </w:pPr>
                  <w:r>
                    <w:rPr>
                      <w:rFonts w:hint="eastAsia"/>
                      <w:szCs w:val="21"/>
                    </w:rPr>
                    <w:t>0</w:t>
                  </w:r>
                  <w:r>
                    <w:rPr>
                      <w:szCs w:val="21"/>
                    </w:rPr>
                    <w:t>.3</w:t>
                  </w:r>
                </w:p>
              </w:tc>
              <w:tc>
                <w:tcPr>
                  <w:tcW w:w="1015" w:type="pct"/>
                  <w:vAlign w:val="center"/>
                </w:tcPr>
                <w:p>
                  <w:pPr>
                    <w:jc w:val="center"/>
                    <w:rPr>
                      <w:szCs w:val="21"/>
                    </w:rPr>
                  </w:pPr>
                  <w:r>
                    <w:rPr>
                      <w:rFonts w:hint="eastAsia"/>
                      <w:szCs w:val="21"/>
                    </w:rPr>
                    <w:t>0</w:t>
                  </w:r>
                </w:p>
              </w:tc>
              <w:tc>
                <w:tcPr>
                  <w:tcW w:w="1016" w:type="pct"/>
                  <w:vAlign w:val="center"/>
                </w:tcPr>
                <w:p>
                  <w:pPr>
                    <w:jc w:val="center"/>
                    <w:rPr>
                      <w:szCs w:val="21"/>
                    </w:rPr>
                  </w:pPr>
                  <w:r>
                    <w:rPr>
                      <w:szCs w:val="21"/>
                    </w:rPr>
                    <w:t>0.</w:t>
                  </w:r>
                  <w:r>
                    <w:rPr>
                      <w:rFonts w:hint="eastAsia"/>
                      <w:szCs w:val="21"/>
                    </w:rPr>
                    <w:t>4</w:t>
                  </w:r>
                  <w:r>
                    <w:rPr>
                      <w:szCs w:val="21"/>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pPr>
                    <w:jc w:val="center"/>
                    <w:rPr>
                      <w:szCs w:val="21"/>
                    </w:rPr>
                  </w:pPr>
                  <w:r>
                    <w:rPr>
                      <w:rFonts w:hint="eastAsia"/>
                      <w:szCs w:val="21"/>
                    </w:rPr>
                    <w:t>N</w:t>
                  </w:r>
                  <w:r>
                    <w:rPr>
                      <w:szCs w:val="21"/>
                    </w:rPr>
                    <w:t>O</w:t>
                  </w:r>
                  <w:r>
                    <w:rPr>
                      <w:rFonts w:hint="eastAsia"/>
                      <w:szCs w:val="21"/>
                    </w:rPr>
                    <w:t>x</w:t>
                  </w:r>
                </w:p>
              </w:tc>
              <w:tc>
                <w:tcPr>
                  <w:tcW w:w="507" w:type="pct"/>
                  <w:vAlign w:val="center"/>
                </w:tcPr>
                <w:p>
                  <w:pPr>
                    <w:jc w:val="center"/>
                    <w:rPr>
                      <w:szCs w:val="21"/>
                    </w:rPr>
                  </w:pPr>
                  <w:r>
                    <w:rPr>
                      <w:rFonts w:hint="eastAsia"/>
                      <w:szCs w:val="21"/>
                    </w:rPr>
                    <w:t>小时值</w:t>
                  </w:r>
                </w:p>
              </w:tc>
              <w:tc>
                <w:tcPr>
                  <w:tcW w:w="1015" w:type="pct"/>
                  <w:vAlign w:val="center"/>
                </w:tcPr>
                <w:p>
                  <w:pPr>
                    <w:jc w:val="center"/>
                    <w:rPr>
                      <w:szCs w:val="21"/>
                    </w:rPr>
                  </w:pPr>
                  <w:r>
                    <w:rPr>
                      <w:rFonts w:hint="eastAsia"/>
                      <w:szCs w:val="21"/>
                    </w:rPr>
                    <w:t>0</w:t>
                  </w:r>
                  <w:r>
                    <w:rPr>
                      <w:szCs w:val="21"/>
                    </w:rPr>
                    <w:t>.025-0.03</w:t>
                  </w:r>
                </w:p>
              </w:tc>
              <w:tc>
                <w:tcPr>
                  <w:tcW w:w="1016" w:type="pct"/>
                </w:tcPr>
                <w:p>
                  <w:pPr>
                    <w:jc w:val="center"/>
                    <w:rPr>
                      <w:szCs w:val="21"/>
                    </w:rPr>
                  </w:pPr>
                  <w:r>
                    <w:rPr>
                      <w:rFonts w:hint="eastAsia"/>
                      <w:szCs w:val="21"/>
                    </w:rPr>
                    <w:t>0</w:t>
                  </w:r>
                  <w:r>
                    <w:rPr>
                      <w:szCs w:val="21"/>
                    </w:rPr>
                    <w:t>.25</w:t>
                  </w:r>
                </w:p>
              </w:tc>
              <w:tc>
                <w:tcPr>
                  <w:tcW w:w="1015" w:type="pct"/>
                </w:tcPr>
                <w:p>
                  <w:pPr>
                    <w:jc w:val="center"/>
                    <w:rPr>
                      <w:szCs w:val="21"/>
                    </w:rPr>
                  </w:pPr>
                  <w:r>
                    <w:rPr>
                      <w:rFonts w:hint="eastAsia"/>
                      <w:szCs w:val="21"/>
                    </w:rPr>
                    <w:t>0</w:t>
                  </w:r>
                </w:p>
              </w:tc>
              <w:tc>
                <w:tcPr>
                  <w:tcW w:w="1016" w:type="pct"/>
                  <w:vAlign w:val="center"/>
                </w:tcPr>
                <w:p>
                  <w:pPr>
                    <w:jc w:val="center"/>
                    <w:rPr>
                      <w:szCs w:val="21"/>
                    </w:rPr>
                  </w:pPr>
                  <w:r>
                    <w:rPr>
                      <w:szCs w:val="21"/>
                    </w:rPr>
                    <w:t>0.</w:t>
                  </w:r>
                  <w:r>
                    <w:rPr>
                      <w:rFonts w:hint="eastAsia"/>
                      <w:szCs w:val="21"/>
                    </w:rPr>
                    <w:t>1</w:t>
                  </w:r>
                  <w:r>
                    <w:rPr>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pPr>
                    <w:jc w:val="center"/>
                    <w:rPr>
                      <w:szCs w:val="21"/>
                    </w:rPr>
                  </w:pPr>
                </w:p>
              </w:tc>
              <w:tc>
                <w:tcPr>
                  <w:tcW w:w="507" w:type="pct"/>
                  <w:vAlign w:val="center"/>
                </w:tcPr>
                <w:p>
                  <w:pPr>
                    <w:jc w:val="center"/>
                    <w:rPr>
                      <w:szCs w:val="21"/>
                    </w:rPr>
                  </w:pPr>
                  <w:r>
                    <w:rPr>
                      <w:rFonts w:hint="eastAsia"/>
                      <w:szCs w:val="21"/>
                    </w:rPr>
                    <w:t>日均值</w:t>
                  </w:r>
                </w:p>
              </w:tc>
              <w:tc>
                <w:tcPr>
                  <w:tcW w:w="1015" w:type="pct"/>
                  <w:vAlign w:val="center"/>
                </w:tcPr>
                <w:p>
                  <w:pPr>
                    <w:jc w:val="center"/>
                    <w:rPr>
                      <w:szCs w:val="21"/>
                    </w:rPr>
                  </w:pPr>
                  <w:r>
                    <w:rPr>
                      <w:rFonts w:hint="eastAsia"/>
                      <w:szCs w:val="21"/>
                    </w:rPr>
                    <w:t>0</w:t>
                  </w:r>
                  <w:r>
                    <w:rPr>
                      <w:szCs w:val="21"/>
                    </w:rPr>
                    <w:t>.025-0.03</w:t>
                  </w:r>
                </w:p>
              </w:tc>
              <w:tc>
                <w:tcPr>
                  <w:tcW w:w="1016" w:type="pct"/>
                </w:tcPr>
                <w:p>
                  <w:pPr>
                    <w:jc w:val="center"/>
                    <w:rPr>
                      <w:szCs w:val="21"/>
                    </w:rPr>
                  </w:pPr>
                  <w:r>
                    <w:rPr>
                      <w:rFonts w:hint="eastAsia"/>
                      <w:szCs w:val="21"/>
                    </w:rPr>
                    <w:t>0</w:t>
                  </w:r>
                  <w:r>
                    <w:rPr>
                      <w:szCs w:val="21"/>
                    </w:rPr>
                    <w:t>.1</w:t>
                  </w:r>
                </w:p>
              </w:tc>
              <w:tc>
                <w:tcPr>
                  <w:tcW w:w="1015" w:type="pct"/>
                </w:tcPr>
                <w:p>
                  <w:pPr>
                    <w:jc w:val="center"/>
                    <w:rPr>
                      <w:szCs w:val="21"/>
                    </w:rPr>
                  </w:pPr>
                  <w:r>
                    <w:rPr>
                      <w:rFonts w:hint="eastAsia"/>
                      <w:szCs w:val="21"/>
                    </w:rPr>
                    <w:t>0</w:t>
                  </w:r>
                </w:p>
              </w:tc>
              <w:tc>
                <w:tcPr>
                  <w:tcW w:w="1016" w:type="pct"/>
                  <w:vAlign w:val="center"/>
                </w:tcPr>
                <w:p>
                  <w:pPr>
                    <w:jc w:val="center"/>
                    <w:rPr>
                      <w:szCs w:val="21"/>
                    </w:rPr>
                  </w:pPr>
                  <w:r>
                    <w:rPr>
                      <w:szCs w:val="21"/>
                    </w:rPr>
                    <w:t>0.</w:t>
                  </w:r>
                  <w:r>
                    <w:rPr>
                      <w:rFonts w:hint="eastAsia"/>
                      <w:szCs w:val="21"/>
                    </w:rPr>
                    <w:t>3</w:t>
                  </w:r>
                  <w:r>
                    <w:rPr>
                      <w:szCs w:val="21"/>
                    </w:rPr>
                    <w:t>0</w:t>
                  </w:r>
                </w:p>
              </w:tc>
            </w:tr>
          </w:tbl>
          <w:p>
            <w:pPr>
              <w:pStyle w:val="46"/>
              <w:ind w:firstLine="420"/>
            </w:pPr>
            <w:r>
              <w:rPr>
                <w:rFonts w:hint="eastAsia"/>
                <w:lang w:val="zh-CN"/>
              </w:rPr>
              <w:t>由监测与评价结果可以看出：监测点位中</w:t>
            </w:r>
            <w:r>
              <w:rPr>
                <w:rFonts w:hint="eastAsia"/>
                <w:szCs w:val="24"/>
              </w:rPr>
              <w:t>最大占标率</w:t>
            </w:r>
            <w:r>
              <w:rPr>
                <w:rFonts w:hint="eastAsia"/>
              </w:rPr>
              <w:t>均小于1，满足《环境空气质量标准》（</w:t>
            </w:r>
            <w:r>
              <w:t>GB 3095-2012</w:t>
            </w:r>
            <w:r>
              <w:rPr>
                <w:rFonts w:hint="eastAsia"/>
              </w:rPr>
              <w:t>）中二级浓度限值，说明区域环境空气质量较好，环境空气尚有一定容量。</w:t>
            </w:r>
          </w:p>
          <w:bookmarkEnd w:id="7"/>
          <w:p>
            <w:pPr>
              <w:pStyle w:val="46"/>
              <w:ind w:firstLine="422"/>
              <w:rPr>
                <w:rFonts w:cs="Times New Roman"/>
                <w:b/>
                <w:bCs/>
              </w:rPr>
            </w:pPr>
            <w:r>
              <w:rPr>
                <w:rFonts w:hint="eastAsia" w:cs="Times New Roman"/>
                <w:b/>
                <w:bCs/>
              </w:rPr>
              <w:t>2、地表水环境</w:t>
            </w:r>
          </w:p>
          <w:p>
            <w:pPr>
              <w:pStyle w:val="46"/>
              <w:widowControl w:val="0"/>
              <w:ind w:firstLine="420"/>
            </w:pPr>
            <w:r>
              <w:t>根据《建设项目环境影响报告表编制技术指南（污染影响类）（试行）》中</w:t>
            </w:r>
            <w:r>
              <w:rPr>
                <w:rFonts w:ascii="宋体" w:hAnsi="宋体"/>
              </w:rPr>
              <w:t>“地</w:t>
            </w:r>
            <w:r>
              <w:t>表水环境，引用与建设项目距离近的有效数据，包括近3年的规划环境影响评价的监测数据，所在流域控制单元内国家、地方控制断面监测数据，生态环境主管部门发布的水环境质</w:t>
            </w:r>
            <w:r>
              <w:rPr>
                <w:rFonts w:hint="eastAsia"/>
              </w:rPr>
              <w:t>量</w:t>
            </w:r>
            <w:r>
              <w:t>数据或地表水达标情况的结论</w:t>
            </w:r>
            <w:r>
              <w:rPr>
                <w:rFonts w:ascii="宋体" w:hAnsi="宋体"/>
              </w:rPr>
              <w:t>”</w:t>
            </w:r>
            <w:r>
              <w:t>。</w:t>
            </w:r>
          </w:p>
          <w:p>
            <w:pPr>
              <w:spacing w:line="360" w:lineRule="auto"/>
              <w:ind w:firstLine="420" w:firstLineChars="200"/>
              <w:rPr>
                <w:szCs w:val="21"/>
              </w:rPr>
            </w:pPr>
            <w:r>
              <w:rPr>
                <w:rFonts w:hint="eastAsia"/>
              </w:rPr>
              <w:t>本项目所在区域附近水体为伊通河，因此</w:t>
            </w:r>
            <w:r>
              <w:rPr>
                <w:szCs w:val="21"/>
              </w:rPr>
              <w:t>优先采用吉林省生态环境厅2023年1</w:t>
            </w:r>
            <w:r>
              <w:rPr>
                <w:rFonts w:hint="eastAsia"/>
                <w:szCs w:val="21"/>
              </w:rPr>
              <w:t>月~</w:t>
            </w:r>
            <w:r>
              <w:rPr>
                <w:szCs w:val="21"/>
              </w:rPr>
              <w:t>9月《吉林省地表水国控断面水质月报》（吉林省生态环境厅）中</w:t>
            </w:r>
            <w:r>
              <w:rPr>
                <w:rFonts w:hint="eastAsia"/>
              </w:rPr>
              <w:t>伊通河</w:t>
            </w:r>
            <w:r>
              <w:rPr>
                <w:szCs w:val="21"/>
              </w:rPr>
              <w:t>的相关数据。</w:t>
            </w:r>
          </w:p>
          <w:p>
            <w:pPr>
              <w:pStyle w:val="3"/>
              <w:spacing w:line="240" w:lineRule="auto"/>
              <w:ind w:firstLine="0" w:firstLineChars="0"/>
              <w:jc w:val="center"/>
              <w:rPr>
                <w:b/>
                <w:bCs/>
                <w:u w:val="single"/>
              </w:rPr>
            </w:pPr>
            <w:r>
              <w:rPr>
                <w:rFonts w:hint="eastAsia"/>
                <w:b/>
                <w:bCs/>
                <w:u w:val="single"/>
              </w:rPr>
              <w:t>表</w:t>
            </w:r>
            <w:r>
              <w:rPr>
                <w:b/>
                <w:bCs/>
                <w:u w:val="single"/>
              </w:rPr>
              <w:t xml:space="preserve">3-2  </w:t>
            </w:r>
            <w:r>
              <w:rPr>
                <w:rFonts w:hint="eastAsia"/>
                <w:b/>
                <w:bCs/>
                <w:u w:val="single"/>
              </w:rPr>
              <w:t>2</w:t>
            </w:r>
            <w:r>
              <w:rPr>
                <w:b/>
                <w:bCs/>
                <w:u w:val="single"/>
              </w:rPr>
              <w:t>023</w:t>
            </w:r>
            <w:r>
              <w:rPr>
                <w:rFonts w:hint="eastAsia"/>
                <w:b/>
                <w:bCs/>
                <w:u w:val="single"/>
              </w:rPr>
              <w:t>年地表水监测结果</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98"/>
              <w:gridCol w:w="1398"/>
              <w:gridCol w:w="1398"/>
              <w:gridCol w:w="842"/>
              <w:gridCol w:w="842"/>
              <w:gridCol w:w="1402"/>
              <w:gridCol w:w="842"/>
              <w:gridCol w:w="84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780" w:type="pct"/>
                  <w:vMerge w:val="restart"/>
                  <w:vAlign w:val="center"/>
                </w:tcPr>
                <w:p>
                  <w:pPr>
                    <w:pStyle w:val="3"/>
                    <w:spacing w:line="240" w:lineRule="auto"/>
                    <w:ind w:firstLine="0" w:firstLineChars="0"/>
                    <w:jc w:val="center"/>
                  </w:pPr>
                  <w:r>
                    <w:rPr>
                      <w:rFonts w:hint="eastAsia"/>
                    </w:rPr>
                    <w:t>月份</w:t>
                  </w:r>
                </w:p>
              </w:tc>
              <w:tc>
                <w:tcPr>
                  <w:tcW w:w="780" w:type="pct"/>
                  <w:vMerge w:val="restart"/>
                  <w:shd w:val="clear" w:color="auto" w:fill="auto"/>
                  <w:vAlign w:val="center"/>
                </w:tcPr>
                <w:p>
                  <w:pPr>
                    <w:pStyle w:val="3"/>
                    <w:spacing w:line="240" w:lineRule="auto"/>
                    <w:ind w:firstLine="0" w:firstLineChars="0"/>
                    <w:jc w:val="center"/>
                  </w:pPr>
                  <w:r>
                    <w:t>所在水体</w:t>
                  </w:r>
                </w:p>
              </w:tc>
              <w:tc>
                <w:tcPr>
                  <w:tcW w:w="780" w:type="pct"/>
                  <w:vMerge w:val="restart"/>
                  <w:shd w:val="clear" w:color="auto" w:fill="auto"/>
                  <w:vAlign w:val="center"/>
                </w:tcPr>
                <w:p>
                  <w:pPr>
                    <w:pStyle w:val="3"/>
                    <w:spacing w:line="240" w:lineRule="auto"/>
                    <w:ind w:firstLine="0" w:firstLineChars="0"/>
                    <w:jc w:val="center"/>
                  </w:pPr>
                  <w:r>
                    <w:t>断面名称</w:t>
                  </w:r>
                </w:p>
              </w:tc>
              <w:tc>
                <w:tcPr>
                  <w:tcW w:w="1722" w:type="pct"/>
                  <w:gridSpan w:val="3"/>
                  <w:shd w:val="clear" w:color="auto" w:fill="auto"/>
                  <w:vAlign w:val="center"/>
                </w:tcPr>
                <w:p>
                  <w:pPr>
                    <w:pStyle w:val="3"/>
                    <w:spacing w:line="240" w:lineRule="auto"/>
                    <w:ind w:firstLine="0" w:firstLineChars="0"/>
                    <w:jc w:val="center"/>
                  </w:pPr>
                  <w:r>
                    <w:t>水质类别</w:t>
                  </w:r>
                </w:p>
              </w:tc>
              <w:tc>
                <w:tcPr>
                  <w:tcW w:w="470" w:type="pct"/>
                  <w:vMerge w:val="restart"/>
                  <w:shd w:val="clear" w:color="auto" w:fill="auto"/>
                  <w:vAlign w:val="center"/>
                </w:tcPr>
                <w:p>
                  <w:pPr>
                    <w:pStyle w:val="3"/>
                    <w:spacing w:line="240" w:lineRule="auto"/>
                    <w:ind w:firstLine="0" w:firstLineChars="0"/>
                    <w:jc w:val="center"/>
                  </w:pPr>
                  <w:r>
                    <w:t>同比</w:t>
                  </w:r>
                </w:p>
              </w:tc>
              <w:tc>
                <w:tcPr>
                  <w:tcW w:w="468" w:type="pct"/>
                  <w:vMerge w:val="restart"/>
                  <w:shd w:val="clear" w:color="auto" w:fill="auto"/>
                  <w:vAlign w:val="center"/>
                </w:tcPr>
                <w:p>
                  <w:pPr>
                    <w:pStyle w:val="3"/>
                    <w:spacing w:line="240" w:lineRule="auto"/>
                    <w:ind w:firstLine="0" w:firstLineChars="0"/>
                    <w:jc w:val="center"/>
                  </w:pPr>
                  <w:r>
                    <w:t>环比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470" w:type="pct"/>
                  <w:shd w:val="clear" w:color="auto" w:fill="auto"/>
                  <w:vAlign w:val="center"/>
                </w:tcPr>
                <w:p>
                  <w:pPr>
                    <w:pStyle w:val="3"/>
                    <w:spacing w:line="240" w:lineRule="auto"/>
                    <w:ind w:firstLine="0" w:firstLineChars="0"/>
                    <w:jc w:val="center"/>
                  </w:pPr>
                  <w:r>
                    <w:t>本月</w:t>
                  </w:r>
                </w:p>
              </w:tc>
              <w:tc>
                <w:tcPr>
                  <w:tcW w:w="470" w:type="pct"/>
                  <w:shd w:val="clear" w:color="auto" w:fill="auto"/>
                  <w:vAlign w:val="center"/>
                </w:tcPr>
                <w:p>
                  <w:pPr>
                    <w:pStyle w:val="3"/>
                    <w:spacing w:line="240" w:lineRule="auto"/>
                    <w:ind w:firstLine="0" w:firstLineChars="0"/>
                    <w:jc w:val="center"/>
                  </w:pPr>
                  <w:r>
                    <w:t>上月</w:t>
                  </w:r>
                </w:p>
              </w:tc>
              <w:tc>
                <w:tcPr>
                  <w:tcW w:w="782" w:type="pct"/>
                  <w:shd w:val="clear" w:color="auto" w:fill="auto"/>
                  <w:vAlign w:val="center"/>
                </w:tcPr>
                <w:p>
                  <w:pPr>
                    <w:pStyle w:val="3"/>
                    <w:spacing w:line="240" w:lineRule="auto"/>
                    <w:ind w:firstLine="0" w:firstLineChars="0"/>
                    <w:jc w:val="center"/>
                  </w:pPr>
                  <w:r>
                    <w:t>去年同期</w:t>
                  </w:r>
                </w:p>
              </w:tc>
              <w:tc>
                <w:tcPr>
                  <w:tcW w:w="470" w:type="pct"/>
                  <w:vMerge w:val="continue"/>
                  <w:shd w:val="clear" w:color="auto" w:fill="auto"/>
                  <w:vAlign w:val="center"/>
                </w:tcPr>
                <w:p>
                  <w:pPr>
                    <w:pStyle w:val="3"/>
                    <w:spacing w:line="240" w:lineRule="auto"/>
                    <w:ind w:firstLine="0" w:firstLineChars="0"/>
                    <w:jc w:val="center"/>
                  </w:pPr>
                </w:p>
              </w:tc>
              <w:tc>
                <w:tcPr>
                  <w:tcW w:w="468" w:type="pct"/>
                  <w:vMerge w:val="continue"/>
                  <w:shd w:val="clear" w:color="auto" w:fill="auto"/>
                  <w:vAlign w:val="center"/>
                </w:tcPr>
                <w:p>
                  <w:pPr>
                    <w:pStyle w:val="3"/>
                    <w:spacing w:line="240" w:lineRule="auto"/>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1月</w:t>
                  </w:r>
                </w:p>
              </w:tc>
              <w:tc>
                <w:tcPr>
                  <w:tcW w:w="780" w:type="pct"/>
                  <w:vMerge w:val="restart"/>
                  <w:shd w:val="clear" w:color="auto" w:fill="auto"/>
                  <w:vAlign w:val="center"/>
                </w:tcPr>
                <w:p>
                  <w:pPr>
                    <w:pStyle w:val="3"/>
                    <w:spacing w:line="240" w:lineRule="auto"/>
                    <w:ind w:firstLine="0" w:firstLineChars="0"/>
                    <w:jc w:val="center"/>
                  </w:pPr>
                  <w:r>
                    <w:rPr>
                      <w:rFonts w:hint="eastAsia"/>
                    </w:rPr>
                    <w:t>伊通河</w:t>
                  </w: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782"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2月</w:t>
                  </w: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3月</w:t>
                  </w: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rFonts w:hint="eastAsia"/>
                      <w:color w:val="333333"/>
                    </w:rPr>
                    <w:t>/</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4月</w:t>
                  </w: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pPr>
                  <w:r>
                    <w:rPr>
                      <w:rFonts w:hint="eastAsia"/>
                    </w:rPr>
                    <w:t>/</w:t>
                  </w:r>
                </w:p>
              </w:tc>
              <w:tc>
                <w:tcPr>
                  <w:tcW w:w="470" w:type="pct"/>
                  <w:shd w:val="clear" w:color="auto" w:fill="auto"/>
                </w:tcPr>
                <w:p>
                  <w:pPr>
                    <w:pStyle w:val="3"/>
                    <w:spacing w:line="240" w:lineRule="auto"/>
                    <w:ind w:firstLine="0" w:firstLineChars="0"/>
                    <w:jc w:val="center"/>
                  </w:pPr>
                  <w:r>
                    <w:rPr>
                      <w:rFonts w:hint="eastAsia"/>
                      <w:color w:val="333333"/>
                    </w:rPr>
                    <w:t>→</w:t>
                  </w:r>
                </w:p>
              </w:tc>
              <w:tc>
                <w:tcPr>
                  <w:tcW w:w="468" w:type="pct"/>
                  <w:shd w:val="clear" w:color="auto" w:fill="auto"/>
                </w:tcPr>
                <w:p>
                  <w:pPr>
                    <w:pStyle w:val="3"/>
                    <w:spacing w:line="240" w:lineRule="auto"/>
                    <w:ind w:firstLine="0" w:firstLineChars="0"/>
                    <w:jc w:val="center"/>
                  </w:pPr>
                  <w:r>
                    <w:rPr>
                      <w:rFonts w:hint="eastAsia"/>
                      <w:color w:val="333333"/>
                    </w:rPr>
                    <w:t>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rPr>
                      <w:color w:val="333333"/>
                    </w:rPr>
                  </w:pPr>
                  <w:r>
                    <w:rPr>
                      <w:rFonts w:hint="eastAsia"/>
                    </w:rPr>
                    <w:t>杨家崴子</w:t>
                  </w:r>
                </w:p>
              </w:tc>
              <w:tc>
                <w:tcPr>
                  <w:tcW w:w="470" w:type="pct"/>
                  <w:shd w:val="clear" w:color="auto" w:fill="auto"/>
                </w:tcPr>
                <w:p>
                  <w:pPr>
                    <w:pStyle w:val="3"/>
                    <w:spacing w:line="240" w:lineRule="auto"/>
                    <w:ind w:firstLine="0" w:firstLineChars="0"/>
                    <w:jc w:val="cente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pPr>
                  <w:r>
                    <w:rPr>
                      <w:rFonts w:hint="eastAsia"/>
                    </w:rPr>
                    <w:t>/</w:t>
                  </w:r>
                </w:p>
              </w:tc>
              <w:tc>
                <w:tcPr>
                  <w:tcW w:w="470" w:type="pct"/>
                  <w:shd w:val="clear" w:color="auto" w:fill="auto"/>
                </w:tcPr>
                <w:p>
                  <w:pPr>
                    <w:pStyle w:val="3"/>
                    <w:spacing w:line="240" w:lineRule="auto"/>
                    <w:ind w:firstLine="0" w:firstLineChars="0"/>
                    <w:jc w:val="center"/>
                  </w:pPr>
                  <w:r>
                    <w:rPr>
                      <w:rFonts w:hint="eastAsia"/>
                      <w:color w:val="333333"/>
                    </w:rPr>
                    <w:t>↓</w:t>
                  </w:r>
                </w:p>
              </w:tc>
              <w:tc>
                <w:tcPr>
                  <w:tcW w:w="468" w:type="pct"/>
                  <w:shd w:val="clear" w:color="auto" w:fill="auto"/>
                </w:tcPr>
                <w:p>
                  <w:pPr>
                    <w:pStyle w:val="3"/>
                    <w:spacing w:line="240" w:lineRule="auto"/>
                    <w:ind w:firstLine="0" w:firstLineChars="0"/>
                    <w:jc w:val="center"/>
                  </w:pPr>
                  <w:r>
                    <w:rPr>
                      <w:rFonts w:hint="eastAsia"/>
                      <w:color w:val="333333"/>
                    </w:rPr>
                    <w:t>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rPr>
                      <w:color w:val="333333"/>
                    </w:rP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5月</w:t>
                  </w: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5" w:hRule="atLeast"/>
              </w:trPr>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6月</w:t>
                  </w: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rFonts w:hint="eastAsia"/>
                      <w:color w:val="333333"/>
                    </w:rPr>
                    <w:t>劣</w:t>
                  </w: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t>Ⅲ</w:t>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7月</w:t>
                  </w: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劣</w:t>
                  </w: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8月</w:t>
                  </w: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restart"/>
                  <w:vAlign w:val="center"/>
                </w:tcPr>
                <w:p>
                  <w:pPr>
                    <w:pStyle w:val="3"/>
                    <w:spacing w:line="240" w:lineRule="auto"/>
                    <w:ind w:firstLine="0" w:firstLineChars="0"/>
                    <w:jc w:val="center"/>
                  </w:pPr>
                  <w:r>
                    <w:rPr>
                      <w:rFonts w:hint="eastAsia"/>
                    </w:rPr>
                    <w:t>9月</w:t>
                  </w: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新立城大坝</w:t>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470" w:type="pct"/>
                  <w:shd w:val="clear" w:color="auto" w:fill="auto"/>
                </w:tcPr>
                <w:p>
                  <w:pPr>
                    <w:pStyle w:val="3"/>
                    <w:spacing w:line="240" w:lineRule="auto"/>
                    <w:ind w:firstLine="0" w:firstLineChars="0"/>
                    <w:jc w:val="center"/>
                    <w:rPr>
                      <w:color w:val="333333"/>
                    </w:rP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c>
              <w:tc>
                <w:tcPr>
                  <w:tcW w:w="782" w:type="pct"/>
                  <w:shd w:val="clear" w:color="auto" w:fill="auto"/>
                </w:tcPr>
                <w:p>
                  <w:pPr>
                    <w:pStyle w:val="3"/>
                    <w:spacing w:line="240" w:lineRule="auto"/>
                    <w:ind w:firstLine="0" w:firstLineChars="0"/>
                    <w:jc w:val="center"/>
                    <w:rPr>
                      <w:color w:val="333333"/>
                    </w:rPr>
                  </w:pPr>
                  <w:r>
                    <w:rPr>
                      <w:color w:val="333333"/>
                    </w:rPr>
                    <w:t>Ⅲ</w:t>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杨家崴子</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80" w:type="pct"/>
                  <w:vMerge w:val="continue"/>
                  <w:vAlign w:val="center"/>
                </w:tcPr>
                <w:p>
                  <w:pPr>
                    <w:pStyle w:val="3"/>
                    <w:spacing w:line="240" w:lineRule="auto"/>
                    <w:ind w:firstLine="0" w:firstLineChars="0"/>
                    <w:jc w:val="center"/>
                  </w:pPr>
                </w:p>
              </w:tc>
              <w:tc>
                <w:tcPr>
                  <w:tcW w:w="780" w:type="pct"/>
                  <w:vMerge w:val="continue"/>
                  <w:shd w:val="clear" w:color="auto" w:fill="auto"/>
                  <w:vAlign w:val="center"/>
                </w:tcPr>
                <w:p>
                  <w:pPr>
                    <w:pStyle w:val="3"/>
                    <w:spacing w:line="240" w:lineRule="auto"/>
                    <w:ind w:firstLine="0" w:firstLineChars="0"/>
                    <w:jc w:val="center"/>
                  </w:pPr>
                </w:p>
              </w:tc>
              <w:tc>
                <w:tcPr>
                  <w:tcW w:w="780" w:type="pct"/>
                  <w:shd w:val="clear" w:color="auto" w:fill="auto"/>
                  <w:vAlign w:val="center"/>
                </w:tcPr>
                <w:p>
                  <w:pPr>
                    <w:pStyle w:val="3"/>
                    <w:spacing w:line="240" w:lineRule="auto"/>
                    <w:ind w:firstLine="0" w:firstLineChars="0"/>
                    <w:jc w:val="center"/>
                  </w:pPr>
                  <w:r>
                    <w:rPr>
                      <w:rFonts w:hint="eastAsia"/>
                    </w:rPr>
                    <w:t>靠山大桥</w:t>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4 \* ROMAN</w:instrText>
                  </w:r>
                  <w:r>
                    <w:rPr>
                      <w:color w:val="333333"/>
                    </w:rPr>
                    <w:instrText xml:space="preserve"> </w:instrText>
                  </w:r>
                  <w:r>
                    <w:rPr>
                      <w:color w:val="333333"/>
                    </w:rPr>
                    <w:fldChar w:fldCharType="separate"/>
                  </w:r>
                  <w:r>
                    <w:rPr>
                      <w:color w:val="333333"/>
                    </w:rPr>
                    <w:t>IV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782" w:type="pct"/>
                  <w:shd w:val="clear" w:color="auto" w:fill="auto"/>
                </w:tcPr>
                <w:p>
                  <w:pPr>
                    <w:pStyle w:val="3"/>
                    <w:spacing w:line="240" w:lineRule="auto"/>
                    <w:ind w:firstLine="0" w:firstLineChars="0"/>
                    <w:jc w:val="center"/>
                    <w:rPr>
                      <w:color w:val="333333"/>
                    </w:rPr>
                  </w:pPr>
                  <w:r>
                    <w:rPr>
                      <w:color w:val="333333"/>
                    </w:rPr>
                    <w:fldChar w:fldCharType="begin"/>
                  </w:r>
                  <w:r>
                    <w:rPr>
                      <w:color w:val="333333"/>
                    </w:rPr>
                    <w:instrText xml:space="preserve"> </w:instrText>
                  </w:r>
                  <w:r>
                    <w:rPr>
                      <w:rFonts w:hint="eastAsia"/>
                      <w:color w:val="333333"/>
                    </w:rPr>
                    <w:instrText xml:space="preserve">= 5 \* ROMAN</w:instrText>
                  </w:r>
                  <w:r>
                    <w:rPr>
                      <w:color w:val="333333"/>
                    </w:rPr>
                    <w:instrText xml:space="preserve"> </w:instrText>
                  </w:r>
                  <w:r>
                    <w:rPr>
                      <w:color w:val="333333"/>
                    </w:rPr>
                    <w:fldChar w:fldCharType="separate"/>
                  </w:r>
                  <w:r>
                    <w:rPr>
                      <w:color w:val="333333"/>
                    </w:rPr>
                    <w:t>V</w:t>
                  </w:r>
                  <w:r>
                    <w:rPr>
                      <w:color w:val="333333"/>
                    </w:rPr>
                    <w:fldChar w:fldCharType="end"/>
                  </w:r>
                </w:p>
              </w:tc>
              <w:tc>
                <w:tcPr>
                  <w:tcW w:w="470" w:type="pct"/>
                  <w:shd w:val="clear" w:color="auto" w:fill="auto"/>
                </w:tcPr>
                <w:p>
                  <w:pPr>
                    <w:pStyle w:val="3"/>
                    <w:spacing w:line="240" w:lineRule="auto"/>
                    <w:ind w:firstLine="0" w:firstLineChars="0"/>
                    <w:jc w:val="center"/>
                    <w:rPr>
                      <w:color w:val="333333"/>
                    </w:rPr>
                  </w:pPr>
                  <w:r>
                    <w:rPr>
                      <w:rFonts w:hint="eastAsia"/>
                      <w:color w:val="333333"/>
                    </w:rPr>
                    <w:t>↑</w:t>
                  </w:r>
                </w:p>
              </w:tc>
              <w:tc>
                <w:tcPr>
                  <w:tcW w:w="468" w:type="pct"/>
                  <w:shd w:val="clear" w:color="auto" w:fill="auto"/>
                </w:tcPr>
                <w:p>
                  <w:pPr>
                    <w:pStyle w:val="3"/>
                    <w:spacing w:line="240" w:lineRule="auto"/>
                    <w:ind w:firstLine="0" w:firstLineChars="0"/>
                    <w:jc w:val="center"/>
                    <w:rPr>
                      <w:color w:val="333333"/>
                    </w:rPr>
                  </w:pPr>
                  <w:r>
                    <w:rPr>
                      <w:rFonts w:hint="eastAsia"/>
                      <w:color w:val="333333"/>
                    </w:rPr>
                    <w:t>↑</w:t>
                  </w:r>
                </w:p>
              </w:tc>
            </w:tr>
          </w:tbl>
          <w:p>
            <w:pPr>
              <w:pStyle w:val="15"/>
            </w:pPr>
            <w:r>
              <w:rPr>
                <w:rFonts w:hint="eastAsia"/>
              </w:rPr>
              <w:t>根据《吉林省地表水功能区》（D</w:t>
            </w:r>
            <w:r>
              <w:t>B 22/388-2004</w:t>
            </w:r>
            <w:r>
              <w:rPr>
                <w:rFonts w:hint="eastAsia"/>
              </w:rPr>
              <w:t>）可知，新立城大坝断面水质目标为</w:t>
            </w:r>
            <w:r>
              <w:t>Ⅲ</w:t>
            </w:r>
            <w:r>
              <w:rPr>
                <w:rFonts w:hint="eastAsia"/>
              </w:rPr>
              <w:t>类，杨家崴子水质目标为</w:t>
            </w:r>
            <w:r>
              <w:fldChar w:fldCharType="begin"/>
            </w:r>
            <w:r>
              <w:instrText xml:space="preserve"> </w:instrText>
            </w:r>
            <w:r>
              <w:rPr>
                <w:rFonts w:hint="eastAsia"/>
              </w:rPr>
              <w:instrText xml:space="preserve">= 5 \* ROMAN</w:instrText>
            </w:r>
            <w:r>
              <w:instrText xml:space="preserve"> </w:instrText>
            </w:r>
            <w:r>
              <w:fldChar w:fldCharType="separate"/>
            </w:r>
            <w:r>
              <w:t>V</w:t>
            </w:r>
            <w:r>
              <w:fldChar w:fldCharType="end"/>
            </w:r>
            <w:r>
              <w:rPr>
                <w:rFonts w:hint="eastAsia"/>
              </w:rPr>
              <w:t>类，靠山大桥断面水质目标为</w:t>
            </w:r>
            <w:r>
              <w:fldChar w:fldCharType="begin"/>
            </w:r>
            <w:r>
              <w:instrText xml:space="preserve"> </w:instrText>
            </w:r>
            <w:r>
              <w:rPr>
                <w:rFonts w:hint="eastAsia"/>
              </w:rPr>
              <w:instrText xml:space="preserve">= 4 \* ROMAN</w:instrText>
            </w:r>
            <w:r>
              <w:instrText xml:space="preserve"> </w:instrText>
            </w:r>
            <w:r>
              <w:fldChar w:fldCharType="separate"/>
            </w:r>
            <w:r>
              <w:t>IV</w:t>
            </w:r>
            <w:r>
              <w:fldChar w:fldCharType="end"/>
            </w:r>
            <w:r>
              <w:rPr>
                <w:rFonts w:hint="eastAsia"/>
              </w:rPr>
              <w:t>类；</w:t>
            </w:r>
            <w:r>
              <w:t>由上表可知，</w:t>
            </w:r>
            <w:r>
              <w:rPr>
                <w:rFonts w:hint="eastAsia"/>
              </w:rPr>
              <w:t>伊通河1-</w:t>
            </w:r>
            <w:r>
              <w:t>9</w:t>
            </w:r>
            <w:r>
              <w:rPr>
                <w:rFonts w:hint="eastAsia"/>
              </w:rPr>
              <w:t>月份新立城大坝断面</w:t>
            </w:r>
            <w:r>
              <w:t>水质</w:t>
            </w:r>
            <w:r>
              <w:rPr>
                <w:rFonts w:hint="eastAsia"/>
              </w:rPr>
              <w:t>能够满足《吉林省地表水功能区》（D</w:t>
            </w:r>
            <w:r>
              <w:t>B 22/388-2004</w:t>
            </w:r>
            <w:r>
              <w:rPr>
                <w:rFonts w:hint="eastAsia"/>
              </w:rPr>
              <w:t>）中规定的水质目标，杨家崴子、靠山大桥断面6月份水质不能够满足《吉林省地表水功能区》（D</w:t>
            </w:r>
            <w:r>
              <w:t>B 22/388-2004</w:t>
            </w:r>
            <w:r>
              <w:rPr>
                <w:rFonts w:hint="eastAsia"/>
              </w:rPr>
              <w:t>）中规定的水质目标。</w:t>
            </w:r>
          </w:p>
          <w:p>
            <w:pPr>
              <w:pStyle w:val="46"/>
              <w:ind w:firstLine="422"/>
              <w:rPr>
                <w:rFonts w:cs="Times New Roman"/>
                <w:b/>
                <w:bCs/>
              </w:rPr>
            </w:pPr>
            <w:r>
              <w:rPr>
                <w:rFonts w:hint="eastAsia" w:cs="Times New Roman"/>
                <w:b/>
                <w:bCs/>
              </w:rPr>
              <w:t>3、声环境质量现状</w:t>
            </w:r>
          </w:p>
          <w:p>
            <w:pPr>
              <w:pStyle w:val="46"/>
              <w:ind w:firstLine="420"/>
              <w:rPr>
                <w:rFonts w:cs="Times New Roman"/>
              </w:rPr>
            </w:pPr>
            <w:r>
              <w:rPr>
                <w:rFonts w:hint="eastAsia" w:cs="Times New Roman"/>
              </w:rPr>
              <w:t>根据</w:t>
            </w:r>
            <w:r>
              <w:rPr>
                <w:rFonts w:cs="Times New Roman"/>
              </w:rPr>
              <w:t>《建设项目环境影响报告编制技术指南（污染影响类）（试行）》中</w:t>
            </w:r>
            <w:r>
              <w:rPr>
                <w:rFonts w:ascii="宋体" w:hAnsi="宋体" w:cs="Times New Roman"/>
              </w:rPr>
              <w:t>“</w:t>
            </w:r>
            <w:r>
              <w:rPr>
                <w:rFonts w:cs="Times New Roman"/>
              </w:rPr>
              <w:t>声环境，厂界外周边50米范围内存在声环境保护目标的建设项目，应监测保护目标声环境质量现状并评价达标情况</w:t>
            </w:r>
            <w:r>
              <w:rPr>
                <w:rFonts w:ascii="宋体" w:hAnsi="宋体" w:cs="Times New Roman"/>
              </w:rPr>
              <w:t>”</w:t>
            </w:r>
            <w:r>
              <w:rPr>
                <w:rFonts w:cs="Times New Roman"/>
              </w:rPr>
              <w:t>。</w:t>
            </w:r>
          </w:p>
          <w:p>
            <w:pPr>
              <w:pStyle w:val="46"/>
              <w:ind w:firstLine="420"/>
              <w:rPr>
                <w:rFonts w:cs="Times New Roman"/>
              </w:rPr>
            </w:pPr>
            <w:r>
              <w:rPr>
                <w:rFonts w:cs="Times New Roman"/>
              </w:rPr>
              <w:t>本项目厂界</w:t>
            </w:r>
            <w:r>
              <w:rPr>
                <w:rFonts w:hint="eastAsia" w:cs="Times New Roman"/>
              </w:rPr>
              <w:t>外</w:t>
            </w:r>
            <w:r>
              <w:rPr>
                <w:rFonts w:cs="Times New Roman"/>
              </w:rPr>
              <w:t>50米范围内不存在声环境保护目标，因此无需噪声现状监测。</w:t>
            </w:r>
          </w:p>
          <w:p>
            <w:pPr>
              <w:pStyle w:val="46"/>
              <w:ind w:firstLine="422"/>
              <w:rPr>
                <w:rFonts w:cs="Times New Roman"/>
                <w:b/>
                <w:bCs/>
              </w:rPr>
            </w:pPr>
            <w:r>
              <w:rPr>
                <w:rFonts w:cs="Times New Roman"/>
                <w:b/>
                <w:bCs/>
              </w:rPr>
              <w:t>4、生态环境</w:t>
            </w:r>
          </w:p>
          <w:p>
            <w:pPr>
              <w:pStyle w:val="46"/>
              <w:ind w:firstLine="420"/>
              <w:rPr>
                <w:rFonts w:cs="Times New Roman"/>
              </w:rPr>
            </w:pPr>
            <w:r>
              <w:rPr>
                <w:rFonts w:hint="eastAsia" w:cs="Times New Roman"/>
              </w:rPr>
              <w:t>本项目依托现有厂房进行建设，占地范围内不含生态环境保护目标。</w:t>
            </w:r>
          </w:p>
          <w:p>
            <w:pPr>
              <w:pStyle w:val="46"/>
              <w:ind w:firstLine="422"/>
              <w:rPr>
                <w:rFonts w:cs="Times New Roman"/>
                <w:b/>
                <w:bCs/>
              </w:rPr>
            </w:pPr>
            <w:r>
              <w:rPr>
                <w:rFonts w:cs="Times New Roman"/>
                <w:b/>
                <w:bCs/>
              </w:rPr>
              <w:t>5、电磁辐射</w:t>
            </w:r>
          </w:p>
          <w:p>
            <w:pPr>
              <w:pStyle w:val="46"/>
              <w:ind w:firstLine="420"/>
              <w:rPr>
                <w:rFonts w:cs="Times New Roman"/>
              </w:rPr>
            </w:pPr>
            <w:r>
              <w:rPr>
                <w:rFonts w:hint="eastAsia" w:cs="Times New Roman"/>
              </w:rPr>
              <w:t>本项目不属于电磁辐射类项目，无需开展电磁辐射现状监测与评价。</w:t>
            </w:r>
          </w:p>
          <w:p>
            <w:pPr>
              <w:pStyle w:val="46"/>
              <w:ind w:firstLine="422"/>
              <w:rPr>
                <w:rFonts w:cs="Times New Roman"/>
                <w:b/>
                <w:bCs/>
              </w:rPr>
            </w:pPr>
            <w:r>
              <w:rPr>
                <w:rFonts w:cs="Times New Roman"/>
                <w:b/>
                <w:bCs/>
              </w:rPr>
              <w:t>6、地下水</w:t>
            </w:r>
            <w:r>
              <w:rPr>
                <w:rFonts w:hint="eastAsia" w:cs="Times New Roman"/>
                <w:b/>
                <w:bCs/>
              </w:rPr>
              <w:t>、土壤</w:t>
            </w:r>
            <w:r>
              <w:rPr>
                <w:rFonts w:cs="Times New Roman"/>
                <w:b/>
                <w:bCs/>
              </w:rPr>
              <w:t>环境</w:t>
            </w:r>
          </w:p>
          <w:p>
            <w:pPr>
              <w:pStyle w:val="46"/>
              <w:ind w:firstLine="420"/>
              <w:rPr>
                <w:rFonts w:ascii="宋体" w:hAnsi="宋体"/>
              </w:rPr>
            </w:pPr>
            <w:r>
              <w:rPr>
                <w:rFonts w:hint="eastAsia" w:cs="Times New Roman"/>
              </w:rPr>
              <w:t>本项目生产活动均在砖混、轻钢结构生产厂房内进行，无露天物料堆放、露天生产等情形。锅炉排水直接排入市政污水管网，同时项目厂区现状为已硬化地面；基本不存在地下水、土壤污染途径，因此不进行地下水、土壤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4657" w:type="pct"/>
            <w:vAlign w:val="center"/>
          </w:tcPr>
          <w:p>
            <w:pPr>
              <w:pStyle w:val="46"/>
              <w:widowControl w:val="0"/>
              <w:ind w:firstLine="420"/>
            </w:pPr>
            <w:r>
              <w:rPr>
                <w:rFonts w:hint="eastAsia"/>
              </w:rPr>
              <w:t>1、大气环境：厂界外500m范围内大气环境保护目标如下：</w:t>
            </w:r>
          </w:p>
          <w:p>
            <w:pPr>
              <w:pStyle w:val="3"/>
              <w:spacing w:line="240" w:lineRule="auto"/>
              <w:ind w:firstLine="0" w:firstLineChars="0"/>
              <w:jc w:val="center"/>
              <w:rPr>
                <w:b/>
                <w:bCs/>
                <w:u w:val="single"/>
              </w:rPr>
            </w:pPr>
            <w:r>
              <w:rPr>
                <w:rFonts w:hint="eastAsia"/>
                <w:b/>
                <w:bCs/>
                <w:u w:val="single"/>
              </w:rPr>
              <w:t>表3</w:t>
            </w:r>
            <w:r>
              <w:rPr>
                <w:b/>
                <w:bCs/>
                <w:u w:val="single"/>
              </w:rPr>
              <w:t xml:space="preserve">-3  </w:t>
            </w:r>
            <w:r>
              <w:rPr>
                <w:rFonts w:hint="eastAsia"/>
                <w:b/>
                <w:bCs/>
                <w:u w:val="single"/>
              </w:rPr>
              <w:t>大气环境保护目标</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48"/>
              <w:gridCol w:w="1425"/>
              <w:gridCol w:w="1265"/>
              <w:gridCol w:w="1265"/>
              <w:gridCol w:w="28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3" w:type="pct"/>
                  <w:vAlign w:val="center"/>
                </w:tcPr>
                <w:p>
                  <w:pPr>
                    <w:pStyle w:val="3"/>
                    <w:spacing w:line="240" w:lineRule="auto"/>
                    <w:ind w:firstLine="0" w:firstLineChars="0"/>
                    <w:jc w:val="center"/>
                  </w:pPr>
                  <w:r>
                    <w:rPr>
                      <w:rFonts w:hint="eastAsia"/>
                    </w:rPr>
                    <w:t>类型</w:t>
                  </w:r>
                </w:p>
              </w:tc>
              <w:tc>
                <w:tcPr>
                  <w:tcW w:w="529" w:type="pct"/>
                  <w:vAlign w:val="center"/>
                </w:tcPr>
                <w:p>
                  <w:pPr>
                    <w:pStyle w:val="3"/>
                    <w:spacing w:line="240" w:lineRule="auto"/>
                    <w:ind w:firstLine="0" w:firstLineChars="0"/>
                    <w:jc w:val="center"/>
                  </w:pPr>
                  <w:r>
                    <w:rPr>
                      <w:rFonts w:hint="eastAsia"/>
                    </w:rPr>
                    <w:t>方位</w:t>
                  </w:r>
                </w:p>
              </w:tc>
              <w:tc>
                <w:tcPr>
                  <w:tcW w:w="795" w:type="pct"/>
                  <w:vAlign w:val="center"/>
                </w:tcPr>
                <w:p>
                  <w:pPr>
                    <w:pStyle w:val="3"/>
                    <w:spacing w:line="240" w:lineRule="auto"/>
                    <w:ind w:firstLine="0" w:firstLineChars="0"/>
                    <w:jc w:val="center"/>
                  </w:pPr>
                  <w:r>
                    <w:rPr>
                      <w:rFonts w:hint="eastAsia"/>
                    </w:rPr>
                    <w:t>距离（m）</w:t>
                  </w:r>
                </w:p>
              </w:tc>
              <w:tc>
                <w:tcPr>
                  <w:tcW w:w="706" w:type="pct"/>
                  <w:vAlign w:val="center"/>
                </w:tcPr>
                <w:p>
                  <w:pPr>
                    <w:pStyle w:val="3"/>
                    <w:spacing w:line="240" w:lineRule="auto"/>
                    <w:ind w:firstLine="0" w:firstLineChars="0"/>
                    <w:jc w:val="center"/>
                  </w:pPr>
                  <w:r>
                    <w:rPr>
                      <w:rFonts w:hint="eastAsia"/>
                    </w:rPr>
                    <w:t>保护目标</w:t>
                  </w:r>
                </w:p>
              </w:tc>
              <w:tc>
                <w:tcPr>
                  <w:tcW w:w="706" w:type="pct"/>
                  <w:vAlign w:val="center"/>
                </w:tcPr>
                <w:p>
                  <w:pPr>
                    <w:pStyle w:val="3"/>
                    <w:spacing w:line="240" w:lineRule="auto"/>
                    <w:ind w:firstLine="0" w:firstLineChars="0"/>
                    <w:jc w:val="center"/>
                  </w:pPr>
                  <w:r>
                    <w:rPr>
                      <w:rFonts w:hint="eastAsia"/>
                    </w:rPr>
                    <w:t>保护对象</w:t>
                  </w:r>
                </w:p>
              </w:tc>
              <w:tc>
                <w:tcPr>
                  <w:tcW w:w="1601" w:type="pct"/>
                  <w:vAlign w:val="center"/>
                </w:tcPr>
                <w:p>
                  <w:pPr>
                    <w:pStyle w:val="3"/>
                    <w:spacing w:line="240" w:lineRule="auto"/>
                    <w:ind w:firstLine="0" w:firstLineChars="0"/>
                    <w:jc w:val="center"/>
                  </w:pPr>
                  <w:r>
                    <w:rPr>
                      <w:rFonts w:hint="eastAsia"/>
                    </w:rPr>
                    <w:t>环境功能区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3" w:type="pct"/>
                  <w:vAlign w:val="center"/>
                </w:tcPr>
                <w:p>
                  <w:pPr>
                    <w:pStyle w:val="3"/>
                    <w:spacing w:line="240" w:lineRule="auto"/>
                    <w:ind w:firstLine="0" w:firstLineChars="0"/>
                    <w:jc w:val="center"/>
                  </w:pPr>
                  <w:r>
                    <w:rPr>
                      <w:rFonts w:hint="eastAsia"/>
                    </w:rPr>
                    <w:t>环境空气</w:t>
                  </w:r>
                </w:p>
              </w:tc>
              <w:tc>
                <w:tcPr>
                  <w:tcW w:w="529" w:type="pct"/>
                  <w:vAlign w:val="center"/>
                </w:tcPr>
                <w:p>
                  <w:pPr>
                    <w:pStyle w:val="3"/>
                    <w:spacing w:line="240" w:lineRule="auto"/>
                    <w:ind w:firstLine="0" w:firstLineChars="0"/>
                    <w:jc w:val="center"/>
                  </w:pPr>
                  <w:r>
                    <w:rPr>
                      <w:rFonts w:hint="eastAsia"/>
                      <w:bCs/>
                    </w:rPr>
                    <w:t>东南侧</w:t>
                  </w:r>
                </w:p>
              </w:tc>
              <w:tc>
                <w:tcPr>
                  <w:tcW w:w="795" w:type="pct"/>
                  <w:vAlign w:val="center"/>
                </w:tcPr>
                <w:p>
                  <w:pPr>
                    <w:pStyle w:val="3"/>
                    <w:spacing w:line="240" w:lineRule="auto"/>
                    <w:ind w:firstLine="0" w:firstLineChars="0"/>
                    <w:jc w:val="center"/>
                  </w:pPr>
                  <w:r>
                    <w:t>340</w:t>
                  </w:r>
                </w:p>
              </w:tc>
              <w:tc>
                <w:tcPr>
                  <w:tcW w:w="706" w:type="pct"/>
                  <w:vAlign w:val="center"/>
                </w:tcPr>
                <w:p>
                  <w:pPr>
                    <w:pStyle w:val="3"/>
                    <w:spacing w:line="240" w:lineRule="auto"/>
                    <w:ind w:firstLine="0" w:firstLineChars="0"/>
                    <w:jc w:val="center"/>
                  </w:pPr>
                  <w:r>
                    <w:rPr>
                      <w:rFonts w:hint="eastAsia"/>
                    </w:rPr>
                    <w:t>长春青年人才城</w:t>
                  </w:r>
                </w:p>
              </w:tc>
              <w:tc>
                <w:tcPr>
                  <w:tcW w:w="706" w:type="pct"/>
                  <w:vAlign w:val="center"/>
                </w:tcPr>
                <w:p>
                  <w:pPr>
                    <w:pStyle w:val="3"/>
                    <w:spacing w:line="240" w:lineRule="auto"/>
                    <w:ind w:firstLine="0" w:firstLineChars="0"/>
                    <w:jc w:val="center"/>
                  </w:pPr>
                  <w:r>
                    <w:rPr>
                      <w:rFonts w:hint="eastAsia"/>
                    </w:rPr>
                    <w:t>居民</w:t>
                  </w:r>
                </w:p>
              </w:tc>
              <w:tc>
                <w:tcPr>
                  <w:tcW w:w="1601" w:type="pct"/>
                  <w:vAlign w:val="center"/>
                </w:tcPr>
                <w:p>
                  <w:pPr>
                    <w:pStyle w:val="3"/>
                    <w:spacing w:line="240" w:lineRule="auto"/>
                    <w:ind w:firstLine="0" w:firstLineChars="0"/>
                    <w:jc w:val="center"/>
                  </w:pPr>
                  <w:r>
                    <w:rPr>
                      <w:rFonts w:hint="eastAsia"/>
                    </w:rPr>
                    <w:t>《环境空气质量标准》二级标准</w:t>
                  </w:r>
                </w:p>
              </w:tc>
            </w:tr>
          </w:tbl>
          <w:p>
            <w:pPr>
              <w:pStyle w:val="46"/>
              <w:widowControl w:val="0"/>
              <w:ind w:firstLine="420"/>
              <w:rPr>
                <w:color w:val="000000"/>
                <w:lang w:bidi="ar"/>
              </w:rPr>
            </w:pPr>
            <w:r>
              <w:t>2</w:t>
            </w:r>
            <w:r>
              <w:rPr>
                <w:rFonts w:hint="eastAsia"/>
              </w:rPr>
              <w:t>、声环境：本项目厂界外</w:t>
            </w:r>
            <w:r>
              <w:rPr>
                <w:color w:val="000000"/>
                <w:lang w:bidi="ar"/>
              </w:rPr>
              <w:t>50</w:t>
            </w:r>
            <w:r>
              <w:rPr>
                <w:rFonts w:hint="eastAsia"/>
                <w:color w:val="000000"/>
                <w:lang w:bidi="ar"/>
              </w:rPr>
              <w:t>m</w:t>
            </w:r>
            <w:r>
              <w:rPr>
                <w:color w:val="000000"/>
                <w:lang w:bidi="ar"/>
              </w:rPr>
              <w:t>范围内</w:t>
            </w:r>
            <w:r>
              <w:rPr>
                <w:rFonts w:hint="eastAsia"/>
                <w:color w:val="000000"/>
                <w:lang w:bidi="ar"/>
              </w:rPr>
              <w:t>不</w:t>
            </w:r>
            <w:r>
              <w:rPr>
                <w:color w:val="000000"/>
                <w:lang w:bidi="ar"/>
              </w:rPr>
              <w:t>存在</w:t>
            </w:r>
            <w:r>
              <w:rPr>
                <w:rFonts w:hint="eastAsia"/>
                <w:color w:val="000000"/>
                <w:lang w:bidi="ar"/>
              </w:rPr>
              <w:t>声环境</w:t>
            </w:r>
            <w:r>
              <w:rPr>
                <w:color w:val="000000"/>
                <w:lang w:bidi="ar"/>
              </w:rPr>
              <w:t>保护目标。</w:t>
            </w:r>
          </w:p>
          <w:p>
            <w:pPr>
              <w:pStyle w:val="46"/>
              <w:widowControl w:val="0"/>
              <w:ind w:firstLine="420"/>
            </w:pPr>
            <w:r>
              <w:t>3、地下水环境：</w:t>
            </w:r>
            <w:r>
              <w:rPr>
                <w:rFonts w:hint="eastAsia"/>
              </w:rPr>
              <w:t>本项目厂房外500m范围内无地下水集中式饮用水水源和热水、矿泉水、温泉等特殊地下水资源。</w:t>
            </w:r>
          </w:p>
          <w:p>
            <w:pPr>
              <w:pStyle w:val="46"/>
              <w:widowControl w:val="0"/>
              <w:ind w:firstLine="420"/>
              <w:rPr>
                <w:rFonts w:ascii="宋体" w:hAnsi="宋体"/>
              </w:rPr>
            </w:pPr>
            <w:r>
              <w:t>4、生态环境：</w:t>
            </w:r>
            <w:r>
              <w:rPr>
                <w:rFonts w:hint="eastAsia"/>
              </w:rPr>
              <w:t>本项目拟建区域不涉及生态环境保护目标，以及自然保护区、风景名胜区、世界文化和自然遗产地、饮用水自然 保护区等需要特殊保护区域。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43" w:type="pct"/>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4657" w:type="pct"/>
            <w:vAlign w:val="center"/>
          </w:tcPr>
          <w:p>
            <w:pPr>
              <w:pStyle w:val="46"/>
              <w:widowControl w:val="0"/>
              <w:ind w:firstLine="422"/>
              <w:rPr>
                <w:b/>
                <w:bCs/>
              </w:rPr>
            </w:pPr>
            <w:r>
              <w:rPr>
                <w:rFonts w:hint="eastAsia"/>
                <w:b/>
                <w:bCs/>
              </w:rPr>
              <w:t>1、</w:t>
            </w:r>
            <w:r>
              <w:rPr>
                <w:b/>
                <w:bCs/>
              </w:rPr>
              <w:t>废气</w:t>
            </w:r>
          </w:p>
          <w:p>
            <w:pPr>
              <w:pStyle w:val="46"/>
              <w:widowControl w:val="0"/>
              <w:ind w:firstLine="422"/>
              <w:rPr>
                <w:b/>
                <w:bCs/>
              </w:rPr>
            </w:pPr>
            <w:r>
              <w:rPr>
                <w:rFonts w:hint="eastAsia"/>
                <w:b/>
                <w:bCs/>
              </w:rPr>
              <w:t>1</w:t>
            </w:r>
            <w:r>
              <w:rPr>
                <w:b/>
                <w:bCs/>
              </w:rPr>
              <w:t xml:space="preserve">.1 </w:t>
            </w:r>
            <w:r>
              <w:rPr>
                <w:rFonts w:hint="eastAsia"/>
                <w:b/>
                <w:bCs/>
              </w:rPr>
              <w:t>锅炉烟气</w:t>
            </w:r>
          </w:p>
          <w:p>
            <w:pPr>
              <w:pStyle w:val="46"/>
              <w:widowControl w:val="0"/>
              <w:ind w:firstLine="420"/>
            </w:pPr>
            <w:r>
              <w:rPr>
                <w:rFonts w:hint="eastAsia"/>
              </w:rPr>
              <w:t>本项目燃气锅炉执行《锅炉大气污染物排放标准》（G</w:t>
            </w:r>
            <w:r>
              <w:t>B 13271-2014</w:t>
            </w:r>
            <w:r>
              <w:rPr>
                <w:rFonts w:hint="eastAsia"/>
              </w:rPr>
              <w:t>）中表3大气污染物特别排放限值。</w:t>
            </w:r>
          </w:p>
          <w:p>
            <w:pPr>
              <w:contextualSpacing/>
              <w:jc w:val="center"/>
              <w:rPr>
                <w:b/>
                <w:bCs/>
                <w:szCs w:val="21"/>
                <w:u w:val="single"/>
              </w:rPr>
            </w:pPr>
            <w:r>
              <w:rPr>
                <w:rFonts w:hint="eastAsia"/>
                <w:b/>
                <w:bCs/>
                <w:szCs w:val="21"/>
                <w:u w:val="single"/>
              </w:rPr>
              <w:t>表3</w:t>
            </w:r>
            <w:r>
              <w:rPr>
                <w:b/>
                <w:bCs/>
                <w:szCs w:val="21"/>
                <w:u w:val="single"/>
              </w:rPr>
              <w:t xml:space="preserve">-4  </w:t>
            </w:r>
            <w:r>
              <w:rPr>
                <w:rFonts w:hint="eastAsia"/>
                <w:b/>
                <w:bCs/>
                <w:szCs w:val="21"/>
                <w:u w:val="single"/>
              </w:rPr>
              <w:t xml:space="preserve">锅炉大气污染物排放标准 </w:t>
            </w:r>
            <w:r>
              <w:rPr>
                <w:b/>
                <w:bCs/>
                <w:szCs w:val="21"/>
                <w:u w:val="single"/>
              </w:rPr>
              <w:t xml:space="preserve"> </w:t>
            </w:r>
            <w:r>
              <w:rPr>
                <w:rFonts w:hint="eastAsia"/>
                <w:b/>
                <w:bCs/>
                <w:szCs w:val="21"/>
                <w:u w:val="single"/>
              </w:rPr>
              <w:t>单位：mg/m</w:t>
            </w:r>
            <w:r>
              <w:rPr>
                <w:b/>
                <w:bCs/>
                <w:szCs w:val="21"/>
                <w:u w:val="single"/>
                <w:vertAlign w:val="superscript"/>
              </w:rPr>
              <w:t>3</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2504"/>
              <w:gridCol w:w="29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pPr>
                    <w:pStyle w:val="46"/>
                    <w:widowControl w:val="0"/>
                    <w:spacing w:line="240" w:lineRule="auto"/>
                    <w:ind w:firstLine="0" w:firstLineChars="0"/>
                    <w:jc w:val="center"/>
                  </w:pPr>
                  <w:r>
                    <w:rPr>
                      <w:rFonts w:hint="eastAsia"/>
                    </w:rPr>
                    <w:t>污染物</w:t>
                  </w:r>
                </w:p>
              </w:tc>
              <w:tc>
                <w:tcPr>
                  <w:tcW w:w="2504" w:type="dxa"/>
                  <w:vAlign w:val="center"/>
                </w:tcPr>
                <w:p>
                  <w:pPr>
                    <w:pStyle w:val="46"/>
                    <w:widowControl w:val="0"/>
                    <w:spacing w:line="240" w:lineRule="auto"/>
                    <w:ind w:firstLine="0" w:firstLineChars="0"/>
                    <w:jc w:val="center"/>
                  </w:pPr>
                  <w:r>
                    <w:rPr>
                      <w:rFonts w:hint="eastAsia"/>
                    </w:rPr>
                    <w:t>限值</w:t>
                  </w:r>
                </w:p>
              </w:tc>
              <w:tc>
                <w:tcPr>
                  <w:tcW w:w="2912" w:type="dxa"/>
                  <w:vAlign w:val="center"/>
                </w:tcPr>
                <w:p>
                  <w:pPr>
                    <w:pStyle w:val="46"/>
                    <w:widowControl w:val="0"/>
                    <w:spacing w:line="240" w:lineRule="auto"/>
                    <w:ind w:firstLine="0" w:firstLineChars="0"/>
                    <w:jc w:val="center"/>
                  </w:pPr>
                  <w:r>
                    <w:rPr>
                      <w:rFonts w:hint="eastAsia"/>
                    </w:rPr>
                    <w:t>污染物排放位置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pPr>
                    <w:pStyle w:val="46"/>
                    <w:widowControl w:val="0"/>
                    <w:spacing w:line="240" w:lineRule="auto"/>
                    <w:ind w:firstLine="0" w:firstLineChars="0"/>
                    <w:jc w:val="center"/>
                  </w:pPr>
                  <w:r>
                    <w:rPr>
                      <w:rFonts w:hint="eastAsia"/>
                    </w:rPr>
                    <w:t>颗粒物</w:t>
                  </w:r>
                </w:p>
              </w:tc>
              <w:tc>
                <w:tcPr>
                  <w:tcW w:w="2504" w:type="dxa"/>
                  <w:vAlign w:val="center"/>
                </w:tcPr>
                <w:p>
                  <w:pPr>
                    <w:pStyle w:val="46"/>
                    <w:widowControl w:val="0"/>
                    <w:spacing w:line="240" w:lineRule="auto"/>
                    <w:ind w:firstLine="0" w:firstLineChars="0"/>
                    <w:jc w:val="center"/>
                  </w:pPr>
                  <w:r>
                    <w:rPr>
                      <w:rFonts w:hint="eastAsia"/>
                    </w:rPr>
                    <w:t>2</w:t>
                  </w:r>
                  <w:r>
                    <w:t>0</w:t>
                  </w:r>
                </w:p>
              </w:tc>
              <w:tc>
                <w:tcPr>
                  <w:tcW w:w="2912" w:type="dxa"/>
                  <w:vMerge w:val="restart"/>
                  <w:vAlign w:val="center"/>
                </w:tcPr>
                <w:p>
                  <w:pPr>
                    <w:pStyle w:val="46"/>
                    <w:widowControl w:val="0"/>
                    <w:spacing w:line="240" w:lineRule="auto"/>
                    <w:ind w:firstLine="0" w:firstLineChars="0"/>
                    <w:jc w:val="center"/>
                  </w:pPr>
                  <w:r>
                    <w:rPr>
                      <w:rFonts w:hint="eastAsia"/>
                    </w:rPr>
                    <w:t>烟囱或烟道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pPr>
                    <w:pStyle w:val="46"/>
                    <w:widowControl w:val="0"/>
                    <w:spacing w:line="240" w:lineRule="auto"/>
                    <w:ind w:firstLine="0" w:firstLineChars="0"/>
                    <w:jc w:val="center"/>
                  </w:pPr>
                  <w:r>
                    <w:rPr>
                      <w:rFonts w:hint="eastAsia"/>
                    </w:rPr>
                    <w:t>二氧化硫</w:t>
                  </w:r>
                </w:p>
              </w:tc>
              <w:tc>
                <w:tcPr>
                  <w:tcW w:w="2504" w:type="dxa"/>
                  <w:vAlign w:val="center"/>
                </w:tcPr>
                <w:p>
                  <w:pPr>
                    <w:pStyle w:val="46"/>
                    <w:widowControl w:val="0"/>
                    <w:spacing w:line="240" w:lineRule="auto"/>
                    <w:ind w:firstLine="0" w:firstLineChars="0"/>
                    <w:jc w:val="center"/>
                  </w:pPr>
                  <w:r>
                    <w:rPr>
                      <w:rFonts w:hint="eastAsia"/>
                    </w:rPr>
                    <w:t>5</w:t>
                  </w:r>
                  <w:r>
                    <w:t>0</w:t>
                  </w:r>
                </w:p>
              </w:tc>
              <w:tc>
                <w:tcPr>
                  <w:tcW w:w="2912" w:type="dxa"/>
                  <w:vMerge w:val="continue"/>
                  <w:vAlign w:val="center"/>
                </w:tcPr>
                <w:p>
                  <w:pPr>
                    <w:pStyle w:val="46"/>
                    <w:widowControl w:val="0"/>
                    <w:spacing w:line="240" w:lineRule="auto"/>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pPr>
                    <w:pStyle w:val="46"/>
                    <w:widowControl w:val="0"/>
                    <w:spacing w:line="240" w:lineRule="auto"/>
                    <w:ind w:firstLine="0" w:firstLineChars="0"/>
                    <w:jc w:val="center"/>
                  </w:pPr>
                  <w:r>
                    <w:rPr>
                      <w:rFonts w:hint="eastAsia"/>
                    </w:rPr>
                    <w:t>氮氧化物</w:t>
                  </w:r>
                </w:p>
              </w:tc>
              <w:tc>
                <w:tcPr>
                  <w:tcW w:w="2504" w:type="dxa"/>
                  <w:vAlign w:val="center"/>
                </w:tcPr>
                <w:p>
                  <w:pPr>
                    <w:pStyle w:val="46"/>
                    <w:widowControl w:val="0"/>
                    <w:spacing w:line="240" w:lineRule="auto"/>
                    <w:ind w:firstLine="0" w:firstLineChars="0"/>
                    <w:jc w:val="center"/>
                  </w:pPr>
                  <w:r>
                    <w:t>150</w:t>
                  </w:r>
                </w:p>
              </w:tc>
              <w:tc>
                <w:tcPr>
                  <w:tcW w:w="2912" w:type="dxa"/>
                  <w:vMerge w:val="continue"/>
                  <w:vAlign w:val="center"/>
                </w:tcPr>
                <w:p>
                  <w:pPr>
                    <w:pStyle w:val="46"/>
                    <w:widowControl w:val="0"/>
                    <w:spacing w:line="240" w:lineRule="auto"/>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pPr>
                    <w:pStyle w:val="46"/>
                    <w:widowControl w:val="0"/>
                    <w:spacing w:line="240" w:lineRule="auto"/>
                    <w:ind w:firstLine="0" w:firstLineChars="0"/>
                    <w:jc w:val="center"/>
                  </w:pPr>
                  <w:r>
                    <w:rPr>
                      <w:rFonts w:hint="eastAsia"/>
                    </w:rPr>
                    <w:t>烟气黑度（林格曼黑度，级）</w:t>
                  </w:r>
                </w:p>
              </w:tc>
              <w:tc>
                <w:tcPr>
                  <w:tcW w:w="2504" w:type="dxa"/>
                  <w:vAlign w:val="center"/>
                </w:tcPr>
                <w:p>
                  <w:pPr>
                    <w:pStyle w:val="46"/>
                    <w:widowControl w:val="0"/>
                    <w:spacing w:line="240" w:lineRule="auto"/>
                    <w:ind w:firstLine="0" w:firstLineChars="0"/>
                    <w:jc w:val="center"/>
                  </w:pPr>
                  <w:r>
                    <w:rPr>
                      <w:rFonts w:hint="eastAsia"/>
                    </w:rPr>
                    <w:t>≤</w:t>
                  </w:r>
                  <w:r>
                    <w:t>1</w:t>
                  </w:r>
                </w:p>
              </w:tc>
              <w:tc>
                <w:tcPr>
                  <w:tcW w:w="2912" w:type="dxa"/>
                  <w:vAlign w:val="center"/>
                </w:tcPr>
                <w:p>
                  <w:pPr>
                    <w:pStyle w:val="46"/>
                    <w:widowControl w:val="0"/>
                    <w:spacing w:line="240" w:lineRule="auto"/>
                    <w:ind w:firstLine="0" w:firstLineChars="0"/>
                    <w:jc w:val="center"/>
                  </w:pPr>
                  <w:r>
                    <w:rPr>
                      <w:rFonts w:hint="eastAsia"/>
                    </w:rPr>
                    <w:t>烟囱排放口</w:t>
                  </w:r>
                </w:p>
              </w:tc>
            </w:tr>
          </w:tbl>
          <w:p>
            <w:pPr>
              <w:pStyle w:val="46"/>
              <w:widowControl w:val="0"/>
              <w:ind w:firstLine="422"/>
              <w:rPr>
                <w:b/>
                <w:bCs/>
              </w:rPr>
            </w:pPr>
            <w:r>
              <w:rPr>
                <w:rFonts w:hint="eastAsia"/>
                <w:b/>
                <w:bCs/>
              </w:rPr>
              <w:t>1</w:t>
            </w:r>
            <w:r>
              <w:rPr>
                <w:b/>
                <w:bCs/>
              </w:rPr>
              <w:t xml:space="preserve">.5 </w:t>
            </w:r>
            <w:r>
              <w:rPr>
                <w:rFonts w:hint="eastAsia"/>
                <w:b/>
                <w:bCs/>
              </w:rPr>
              <w:t>排气筒高度设置要求（本次调整）</w:t>
            </w:r>
          </w:p>
          <w:p>
            <w:pPr>
              <w:pStyle w:val="46"/>
              <w:widowControl w:val="0"/>
              <w:ind w:firstLine="422"/>
              <w:rPr>
                <w:b/>
                <w:bCs/>
                <w:i/>
                <w:iCs/>
                <w:u w:val="single"/>
              </w:rPr>
            </w:pPr>
            <w:r>
              <w:rPr>
                <w:rFonts w:hint="eastAsia"/>
                <w:b/>
                <w:bCs/>
                <w:i/>
                <w:iCs/>
                <w:u w:val="single"/>
              </w:rPr>
              <w:t>根据《锅炉大气污染物排放标准》（G</w:t>
            </w:r>
            <w:r>
              <w:rPr>
                <w:b/>
                <w:bCs/>
                <w:i/>
                <w:iCs/>
                <w:u w:val="single"/>
              </w:rPr>
              <w:t>B 13271-2014</w:t>
            </w:r>
            <w:r>
              <w:rPr>
                <w:rFonts w:hint="eastAsia"/>
                <w:b/>
                <w:bCs/>
                <w:i/>
                <w:iCs/>
                <w:u w:val="single"/>
              </w:rPr>
              <w:t>）“新建锅炉房的烟囱周围半径200m距离内有建筑物时，其烟囱应高出最高建筑物3m以上”，因此本项目燃气热水锅炉排气筒和燃气蒸汽锅炉排气筒高度至少为2</w:t>
            </w:r>
            <w:r>
              <w:rPr>
                <w:b/>
                <w:bCs/>
                <w:i/>
                <w:iCs/>
                <w:u w:val="single"/>
              </w:rPr>
              <w:t>7</w:t>
            </w:r>
            <w:r>
              <w:rPr>
                <w:rFonts w:hint="eastAsia"/>
                <w:b/>
                <w:bCs/>
                <w:i/>
                <w:iCs/>
                <w:u w:val="single"/>
              </w:rPr>
              <w:t>m。</w:t>
            </w:r>
          </w:p>
          <w:p>
            <w:pPr>
              <w:pStyle w:val="46"/>
              <w:widowControl w:val="0"/>
              <w:ind w:firstLine="422"/>
              <w:rPr>
                <w:b/>
                <w:bCs/>
              </w:rPr>
            </w:pPr>
            <w:r>
              <w:rPr>
                <w:b/>
                <w:bCs/>
              </w:rPr>
              <w:t>2</w:t>
            </w:r>
            <w:r>
              <w:rPr>
                <w:rFonts w:hint="eastAsia"/>
                <w:b/>
                <w:bCs/>
              </w:rPr>
              <w:t>、废水</w:t>
            </w:r>
          </w:p>
          <w:p>
            <w:pPr>
              <w:pStyle w:val="46"/>
              <w:widowControl w:val="0"/>
              <w:ind w:firstLine="420"/>
            </w:pPr>
            <w:r>
              <w:rPr>
                <w:rFonts w:hint="eastAsia"/>
              </w:rPr>
              <w:t>本项目锅炉排水和软化水排水满足《污水综合排放标准》（G</w:t>
            </w:r>
            <w:r>
              <w:t>B 8978-1996</w:t>
            </w:r>
            <w:r>
              <w:rPr>
                <w:rFonts w:hint="eastAsia"/>
              </w:rPr>
              <w:t>）三级标准后经市政污水管网排入</w:t>
            </w:r>
            <w:r>
              <w:rPr>
                <w:rFonts w:hint="eastAsia"/>
                <w:bCs/>
              </w:rPr>
              <w:t>长春高新技术产业开发区北区污水处理厂</w:t>
            </w:r>
            <w:r>
              <w:rPr>
                <w:rFonts w:hint="eastAsia"/>
              </w:rPr>
              <w:t>，经其处理，达到《城镇污水处理厂污染物排放标准》（GB18918-2002）中一级A标准后外排。</w:t>
            </w:r>
          </w:p>
          <w:p>
            <w:pPr>
              <w:contextualSpacing/>
              <w:jc w:val="center"/>
              <w:rPr>
                <w:b/>
                <w:bCs/>
                <w:szCs w:val="21"/>
                <w:u w:val="single"/>
              </w:rPr>
            </w:pPr>
            <w:r>
              <w:rPr>
                <w:rFonts w:hint="eastAsia"/>
                <w:b/>
                <w:bCs/>
                <w:szCs w:val="21"/>
                <w:u w:val="single"/>
              </w:rPr>
              <w:t>表3</w:t>
            </w:r>
            <w:r>
              <w:rPr>
                <w:b/>
                <w:bCs/>
                <w:szCs w:val="21"/>
                <w:u w:val="single"/>
              </w:rPr>
              <w:t>-5</w:t>
            </w:r>
            <w:r>
              <w:rPr>
                <w:rFonts w:hint="eastAsia"/>
                <w:b/>
                <w:bCs/>
                <w:szCs w:val="21"/>
                <w:u w:val="single"/>
              </w:rPr>
              <w:t xml:space="preserve"> </w:t>
            </w:r>
            <w:r>
              <w:rPr>
                <w:b/>
                <w:bCs/>
                <w:szCs w:val="21"/>
                <w:u w:val="single"/>
              </w:rPr>
              <w:t xml:space="preserve"> </w:t>
            </w:r>
            <w:r>
              <w:rPr>
                <w:rFonts w:hint="eastAsia"/>
                <w:b/>
                <w:bCs/>
                <w:u w:val="single"/>
              </w:rPr>
              <w:t xml:space="preserve">污水综合排放标准 </w:t>
            </w:r>
            <w:r>
              <w:rPr>
                <w:b/>
                <w:bCs/>
                <w:u w:val="single"/>
              </w:rPr>
              <w:t xml:space="preserve"> </w:t>
            </w:r>
            <w:r>
              <w:rPr>
                <w:rFonts w:hint="eastAsia"/>
                <w:b/>
                <w:bCs/>
                <w:u w:val="single"/>
              </w:rPr>
              <w:t>单位：mg/L</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169"/>
              <w:gridCol w:w="53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pPr>
                    <w:pStyle w:val="46"/>
                    <w:widowControl w:val="0"/>
                    <w:spacing w:line="240" w:lineRule="auto"/>
                    <w:ind w:firstLine="0" w:firstLineChars="0"/>
                    <w:jc w:val="center"/>
                  </w:pPr>
                  <w:r>
                    <w:rPr>
                      <w:rFonts w:hint="eastAsia"/>
                    </w:rPr>
                    <w:t>污染物项目</w:t>
                  </w:r>
                </w:p>
              </w:tc>
              <w:tc>
                <w:tcPr>
                  <w:tcW w:w="1210" w:type="pct"/>
                  <w:vAlign w:val="center"/>
                </w:tcPr>
                <w:p>
                  <w:pPr>
                    <w:pStyle w:val="46"/>
                    <w:widowControl w:val="0"/>
                    <w:spacing w:line="240" w:lineRule="auto"/>
                    <w:ind w:firstLine="0" w:firstLineChars="0"/>
                    <w:jc w:val="center"/>
                  </w:pPr>
                  <w:r>
                    <w:rPr>
                      <w:rFonts w:hint="eastAsia"/>
                    </w:rPr>
                    <w:t>限值（间接排放）</w:t>
                  </w:r>
                </w:p>
              </w:tc>
              <w:tc>
                <w:tcPr>
                  <w:tcW w:w="2982" w:type="pct"/>
                  <w:vAlign w:val="center"/>
                </w:tcPr>
                <w:p>
                  <w:pPr>
                    <w:pStyle w:val="46"/>
                    <w:widowControl w:val="0"/>
                    <w:spacing w:line="240" w:lineRule="auto"/>
                    <w:ind w:firstLine="0" w:firstLineChars="0"/>
                    <w:jc w:val="center"/>
                  </w:pPr>
                  <w:r>
                    <w:rPr>
                      <w:rFonts w:hint="eastAsia"/>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pPr>
                    <w:pStyle w:val="46"/>
                    <w:widowControl w:val="0"/>
                    <w:spacing w:line="240" w:lineRule="auto"/>
                    <w:ind w:firstLine="0" w:firstLineChars="0"/>
                    <w:jc w:val="center"/>
                  </w:pPr>
                  <w:r>
                    <w:rPr>
                      <w:rFonts w:hint="eastAsia"/>
                    </w:rPr>
                    <w:t>pH</w:t>
                  </w:r>
                </w:p>
              </w:tc>
              <w:tc>
                <w:tcPr>
                  <w:tcW w:w="1210" w:type="pct"/>
                  <w:vAlign w:val="center"/>
                </w:tcPr>
                <w:p>
                  <w:pPr>
                    <w:pStyle w:val="46"/>
                    <w:widowControl w:val="0"/>
                    <w:spacing w:line="240" w:lineRule="auto"/>
                    <w:ind w:firstLine="0" w:firstLineChars="0"/>
                    <w:jc w:val="center"/>
                  </w:pPr>
                  <w:r>
                    <w:rPr>
                      <w:rFonts w:hint="eastAsia"/>
                    </w:rPr>
                    <w:t>6</w:t>
                  </w:r>
                  <w:r>
                    <w:t>-9</w:t>
                  </w:r>
                </w:p>
              </w:tc>
              <w:tc>
                <w:tcPr>
                  <w:tcW w:w="2982" w:type="pct"/>
                  <w:vMerge w:val="restart"/>
                  <w:vAlign w:val="center"/>
                </w:tcPr>
                <w:p>
                  <w:pPr>
                    <w:pStyle w:val="46"/>
                    <w:widowControl w:val="0"/>
                    <w:spacing w:line="240" w:lineRule="auto"/>
                    <w:ind w:firstLine="0" w:firstLineChars="0"/>
                    <w:jc w:val="center"/>
                  </w:pPr>
                  <w:r>
                    <w:rPr>
                      <w:rFonts w:hint="eastAsia"/>
                    </w:rPr>
                    <w:t>《污水综合排放标准》（G</w:t>
                  </w:r>
                  <w:r>
                    <w:t>B 8978-1996</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pPr>
                    <w:pStyle w:val="46"/>
                    <w:widowControl w:val="0"/>
                    <w:spacing w:line="240" w:lineRule="auto"/>
                    <w:ind w:firstLine="0" w:firstLineChars="0"/>
                    <w:jc w:val="center"/>
                  </w:pPr>
                  <w:r>
                    <w:rPr>
                      <w:rFonts w:hint="eastAsia"/>
                    </w:rPr>
                    <w:t>C</w:t>
                  </w:r>
                  <w:r>
                    <w:t>OD</w:t>
                  </w:r>
                </w:p>
              </w:tc>
              <w:tc>
                <w:tcPr>
                  <w:tcW w:w="1210" w:type="pct"/>
                  <w:vAlign w:val="center"/>
                </w:tcPr>
                <w:p>
                  <w:pPr>
                    <w:pStyle w:val="46"/>
                    <w:widowControl w:val="0"/>
                    <w:spacing w:line="240" w:lineRule="auto"/>
                    <w:ind w:firstLine="0" w:firstLineChars="0"/>
                    <w:jc w:val="center"/>
                  </w:pPr>
                  <w:r>
                    <w:rPr>
                      <w:rFonts w:hint="eastAsia"/>
                    </w:rPr>
                    <w:t>5</w:t>
                  </w:r>
                  <w:r>
                    <w:t>00</w:t>
                  </w:r>
                </w:p>
              </w:tc>
              <w:tc>
                <w:tcPr>
                  <w:tcW w:w="2982" w:type="pct"/>
                  <w:vMerge w:val="continue"/>
                  <w:vAlign w:val="center"/>
                </w:tcPr>
                <w:p>
                  <w:pPr>
                    <w:pStyle w:val="46"/>
                    <w:widowControl w:val="0"/>
                    <w:spacing w:line="240" w:lineRule="auto"/>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pPr>
                    <w:pStyle w:val="46"/>
                    <w:widowControl w:val="0"/>
                    <w:spacing w:line="240" w:lineRule="auto"/>
                    <w:ind w:firstLine="0" w:firstLineChars="0"/>
                    <w:jc w:val="center"/>
                  </w:pPr>
                  <w:r>
                    <w:rPr>
                      <w:rFonts w:hint="eastAsia"/>
                    </w:rPr>
                    <w:t>B</w:t>
                  </w:r>
                  <w:r>
                    <w:t>OD</w:t>
                  </w:r>
                  <w:r>
                    <w:rPr>
                      <w:vertAlign w:val="subscript"/>
                    </w:rPr>
                    <w:t>5</w:t>
                  </w:r>
                </w:p>
              </w:tc>
              <w:tc>
                <w:tcPr>
                  <w:tcW w:w="1210" w:type="pct"/>
                  <w:vAlign w:val="center"/>
                </w:tcPr>
                <w:p>
                  <w:pPr>
                    <w:pStyle w:val="46"/>
                    <w:widowControl w:val="0"/>
                    <w:spacing w:line="240" w:lineRule="auto"/>
                    <w:ind w:firstLine="0" w:firstLineChars="0"/>
                    <w:jc w:val="center"/>
                  </w:pPr>
                  <w:r>
                    <w:rPr>
                      <w:rFonts w:hint="eastAsia"/>
                    </w:rPr>
                    <w:t>3</w:t>
                  </w:r>
                  <w:r>
                    <w:t>00</w:t>
                  </w:r>
                </w:p>
              </w:tc>
              <w:tc>
                <w:tcPr>
                  <w:tcW w:w="2982" w:type="pct"/>
                  <w:vMerge w:val="continue"/>
                  <w:vAlign w:val="center"/>
                </w:tcPr>
                <w:p>
                  <w:pPr>
                    <w:pStyle w:val="46"/>
                    <w:widowControl w:val="0"/>
                    <w:spacing w:line="240" w:lineRule="auto"/>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pPr>
                    <w:pStyle w:val="46"/>
                    <w:widowControl w:val="0"/>
                    <w:spacing w:line="240" w:lineRule="auto"/>
                    <w:ind w:firstLine="0" w:firstLineChars="0"/>
                    <w:jc w:val="center"/>
                  </w:pPr>
                  <w:r>
                    <w:rPr>
                      <w:rFonts w:hint="eastAsia"/>
                    </w:rPr>
                    <w:t>S</w:t>
                  </w:r>
                  <w:r>
                    <w:t>S</w:t>
                  </w:r>
                </w:p>
              </w:tc>
              <w:tc>
                <w:tcPr>
                  <w:tcW w:w="1210" w:type="pct"/>
                  <w:vAlign w:val="center"/>
                </w:tcPr>
                <w:p>
                  <w:pPr>
                    <w:pStyle w:val="46"/>
                    <w:widowControl w:val="0"/>
                    <w:spacing w:line="240" w:lineRule="auto"/>
                    <w:ind w:firstLine="0" w:firstLineChars="0"/>
                    <w:jc w:val="center"/>
                  </w:pPr>
                  <w:r>
                    <w:rPr>
                      <w:rFonts w:hint="eastAsia"/>
                    </w:rPr>
                    <w:t>4</w:t>
                  </w:r>
                  <w:r>
                    <w:t>00</w:t>
                  </w:r>
                </w:p>
              </w:tc>
              <w:tc>
                <w:tcPr>
                  <w:tcW w:w="2982" w:type="pct"/>
                  <w:vMerge w:val="continue"/>
                  <w:vAlign w:val="center"/>
                </w:tcPr>
                <w:p>
                  <w:pPr>
                    <w:pStyle w:val="46"/>
                    <w:widowControl w:val="0"/>
                    <w:spacing w:line="240" w:lineRule="auto"/>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8" w:type="pct"/>
                  <w:vAlign w:val="center"/>
                </w:tcPr>
                <w:p>
                  <w:pPr>
                    <w:pStyle w:val="46"/>
                    <w:widowControl w:val="0"/>
                    <w:spacing w:line="240" w:lineRule="auto"/>
                    <w:ind w:firstLine="0" w:firstLineChars="0"/>
                    <w:jc w:val="center"/>
                  </w:pPr>
                  <w:r>
                    <w:rPr>
                      <w:rFonts w:hint="eastAsia"/>
                    </w:rPr>
                    <w:t>N</w:t>
                  </w:r>
                  <w:r>
                    <w:t>H</w:t>
                  </w:r>
                  <w:r>
                    <w:rPr>
                      <w:vertAlign w:val="subscript"/>
                    </w:rPr>
                    <w:t>3</w:t>
                  </w:r>
                  <w:r>
                    <w:t>-N</w:t>
                  </w:r>
                </w:p>
              </w:tc>
              <w:tc>
                <w:tcPr>
                  <w:tcW w:w="1210" w:type="pct"/>
                  <w:vAlign w:val="center"/>
                </w:tcPr>
                <w:p>
                  <w:pPr>
                    <w:pStyle w:val="46"/>
                    <w:widowControl w:val="0"/>
                    <w:spacing w:line="240" w:lineRule="auto"/>
                    <w:ind w:firstLine="0" w:firstLineChars="0"/>
                    <w:jc w:val="center"/>
                  </w:pPr>
                  <w:r>
                    <w:rPr>
                      <w:rFonts w:hint="eastAsia"/>
                    </w:rPr>
                    <w:t>-</w:t>
                  </w:r>
                </w:p>
              </w:tc>
              <w:tc>
                <w:tcPr>
                  <w:tcW w:w="2982" w:type="pct"/>
                  <w:vMerge w:val="continue"/>
                  <w:vAlign w:val="center"/>
                </w:tcPr>
                <w:p>
                  <w:pPr>
                    <w:pStyle w:val="46"/>
                    <w:widowControl w:val="0"/>
                    <w:spacing w:line="240" w:lineRule="auto"/>
                    <w:ind w:firstLine="0" w:firstLineChars="0"/>
                    <w:jc w:val="center"/>
                  </w:pPr>
                </w:p>
              </w:tc>
            </w:tr>
          </w:tbl>
          <w:p>
            <w:pPr>
              <w:pStyle w:val="46"/>
              <w:widowControl w:val="0"/>
              <w:ind w:firstLine="422"/>
              <w:rPr>
                <w:b/>
                <w:bCs/>
              </w:rPr>
            </w:pPr>
            <w:r>
              <w:rPr>
                <w:rFonts w:hint="eastAsia"/>
                <w:b/>
                <w:bCs/>
              </w:rPr>
              <w:t>3、</w:t>
            </w:r>
            <w:r>
              <w:rPr>
                <w:b/>
                <w:bCs/>
              </w:rPr>
              <w:t>噪声</w:t>
            </w:r>
          </w:p>
          <w:p>
            <w:pPr>
              <w:pStyle w:val="46"/>
              <w:widowControl w:val="0"/>
              <w:ind w:firstLine="420"/>
            </w:pPr>
            <w:r>
              <w:rPr>
                <w:rFonts w:hint="eastAsia"/>
              </w:rPr>
              <w:t>项目施工期噪声采用《建筑施工场界环境噪声排放标准》（GB 12523-2011）中标准限值；</w:t>
            </w:r>
            <w:r>
              <w:t>运营期厂区边界执行《工业企业厂界环境噪声排放标准》（GB12348-2008）中3类标准，标准限值</w:t>
            </w:r>
            <w:r>
              <w:rPr>
                <w:rFonts w:hint="eastAsia"/>
              </w:rPr>
              <w:t>见下表。</w:t>
            </w:r>
          </w:p>
          <w:p>
            <w:pPr>
              <w:pStyle w:val="50"/>
              <w:rPr>
                <w:sz w:val="21"/>
                <w:szCs w:val="21"/>
                <w:u w:val="single"/>
              </w:rPr>
            </w:pPr>
            <w:r>
              <w:rPr>
                <w:sz w:val="21"/>
                <w:szCs w:val="21"/>
                <w:u w:val="single"/>
              </w:rPr>
              <w:t>表3-6  建筑施工场界环境噪声排放标准</w:t>
            </w:r>
          </w:p>
          <w:tbl>
            <w:tblPr>
              <w:tblStyle w:val="19"/>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086"/>
              <w:gridCol w:w="67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2" w:type="pct"/>
                  <w:gridSpan w:val="2"/>
                  <w:vAlign w:val="center"/>
                </w:tcPr>
                <w:p>
                  <w:pPr>
                    <w:pStyle w:val="33"/>
                    <w:spacing w:before="24" w:after="24"/>
                    <w:rPr>
                      <w:rFonts w:ascii="Times New Roman"/>
                      <w:szCs w:val="21"/>
                    </w:rPr>
                  </w:pPr>
                  <w:r>
                    <w:rPr>
                      <w:rFonts w:ascii="Times New Roman"/>
                      <w:szCs w:val="21"/>
                    </w:rPr>
                    <w:t>标准值</w:t>
                  </w:r>
                  <w:r>
                    <w:rPr>
                      <w:rFonts w:ascii="Times New Roman"/>
                      <w:szCs w:val="21"/>
                      <w:lang w:val="zh-CN"/>
                    </w:rPr>
                    <w:t>dB（A）</w:t>
                  </w:r>
                </w:p>
              </w:tc>
              <w:tc>
                <w:tcPr>
                  <w:tcW w:w="3787" w:type="pct"/>
                  <w:vMerge w:val="restart"/>
                  <w:vAlign w:val="center"/>
                </w:tcPr>
                <w:p>
                  <w:pPr>
                    <w:pStyle w:val="33"/>
                    <w:spacing w:before="24" w:after="24"/>
                    <w:rPr>
                      <w:rFonts w:ascii="Times New Roman"/>
                      <w:szCs w:val="21"/>
                    </w:rPr>
                  </w:pPr>
                  <w:r>
                    <w:rPr>
                      <w:rFonts w:ascii="Times New Roman"/>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Align w:val="center"/>
                </w:tcPr>
                <w:p>
                  <w:pPr>
                    <w:pStyle w:val="33"/>
                    <w:spacing w:before="24" w:after="24"/>
                    <w:rPr>
                      <w:rFonts w:ascii="Times New Roman"/>
                      <w:szCs w:val="21"/>
                    </w:rPr>
                  </w:pPr>
                  <w:r>
                    <w:rPr>
                      <w:rFonts w:ascii="Times New Roman"/>
                      <w:szCs w:val="21"/>
                    </w:rPr>
                    <w:t>昼间</w:t>
                  </w:r>
                </w:p>
              </w:tc>
              <w:tc>
                <w:tcPr>
                  <w:tcW w:w="606" w:type="pct"/>
                  <w:vAlign w:val="center"/>
                </w:tcPr>
                <w:p>
                  <w:pPr>
                    <w:pStyle w:val="33"/>
                    <w:spacing w:before="24" w:after="24"/>
                    <w:rPr>
                      <w:rFonts w:ascii="Times New Roman"/>
                      <w:szCs w:val="21"/>
                    </w:rPr>
                  </w:pPr>
                  <w:r>
                    <w:rPr>
                      <w:rFonts w:ascii="Times New Roman"/>
                      <w:szCs w:val="21"/>
                    </w:rPr>
                    <w:t>夜间</w:t>
                  </w:r>
                </w:p>
              </w:tc>
              <w:tc>
                <w:tcPr>
                  <w:tcW w:w="3787" w:type="pct"/>
                  <w:vMerge w:val="continue"/>
                  <w:vAlign w:val="center"/>
                </w:tcPr>
                <w:p>
                  <w:pPr>
                    <w:pStyle w:val="33"/>
                    <w:spacing w:before="24" w:after="24"/>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Align w:val="center"/>
                </w:tcPr>
                <w:p>
                  <w:pPr>
                    <w:pStyle w:val="33"/>
                    <w:spacing w:before="24" w:after="24"/>
                    <w:rPr>
                      <w:rFonts w:ascii="Times New Roman"/>
                      <w:szCs w:val="21"/>
                    </w:rPr>
                  </w:pPr>
                  <w:r>
                    <w:rPr>
                      <w:rFonts w:ascii="Times New Roman"/>
                      <w:szCs w:val="21"/>
                    </w:rPr>
                    <w:t>70</w:t>
                  </w:r>
                </w:p>
              </w:tc>
              <w:tc>
                <w:tcPr>
                  <w:tcW w:w="606" w:type="pct"/>
                  <w:vAlign w:val="center"/>
                </w:tcPr>
                <w:p>
                  <w:pPr>
                    <w:pStyle w:val="33"/>
                    <w:spacing w:before="24" w:after="24"/>
                    <w:rPr>
                      <w:rFonts w:ascii="Times New Roman"/>
                      <w:szCs w:val="21"/>
                    </w:rPr>
                  </w:pPr>
                  <w:r>
                    <w:rPr>
                      <w:rFonts w:ascii="Times New Roman"/>
                      <w:szCs w:val="21"/>
                    </w:rPr>
                    <w:t>55</w:t>
                  </w:r>
                </w:p>
              </w:tc>
              <w:tc>
                <w:tcPr>
                  <w:tcW w:w="3787" w:type="pct"/>
                  <w:vAlign w:val="center"/>
                </w:tcPr>
                <w:p>
                  <w:pPr>
                    <w:pStyle w:val="33"/>
                    <w:spacing w:before="24" w:after="24"/>
                    <w:rPr>
                      <w:rFonts w:ascii="Times New Roman"/>
                      <w:szCs w:val="21"/>
                    </w:rPr>
                  </w:pPr>
                  <w:r>
                    <w:rPr>
                      <w:rFonts w:ascii="Times New Roman"/>
                      <w:szCs w:val="21"/>
                    </w:rPr>
                    <w:t>《建筑施工场界环境噪声排放标准》（GB 12523-2011）</w:t>
                  </w:r>
                </w:p>
              </w:tc>
            </w:tr>
          </w:tbl>
          <w:p>
            <w:pPr>
              <w:spacing w:line="300" w:lineRule="exact"/>
              <w:jc w:val="center"/>
              <w:rPr>
                <w:b/>
                <w:szCs w:val="21"/>
                <w:u w:val="single"/>
              </w:rPr>
            </w:pPr>
            <w:r>
              <w:rPr>
                <w:b/>
                <w:szCs w:val="21"/>
                <w:u w:val="single"/>
              </w:rPr>
              <w:t>表</w:t>
            </w:r>
            <w:r>
              <w:rPr>
                <w:rFonts w:hint="eastAsia"/>
                <w:b/>
                <w:szCs w:val="21"/>
                <w:u w:val="single"/>
              </w:rPr>
              <w:t>3-</w:t>
            </w:r>
            <w:r>
              <w:rPr>
                <w:b/>
                <w:szCs w:val="21"/>
                <w:u w:val="single"/>
              </w:rPr>
              <w:t>7</w:t>
            </w:r>
            <w:r>
              <w:rPr>
                <w:rFonts w:hint="eastAsia"/>
                <w:b/>
                <w:szCs w:val="21"/>
                <w:u w:val="single"/>
              </w:rPr>
              <w:t xml:space="preserve"> </w:t>
            </w:r>
            <w:r>
              <w:rPr>
                <w:b/>
                <w:szCs w:val="21"/>
                <w:u w:val="single"/>
              </w:rPr>
              <w:t xml:space="preserve"> 噪声排放标准一览表</w:t>
            </w:r>
            <w:r>
              <w:rPr>
                <w:rFonts w:hint="eastAsia"/>
                <w:b/>
                <w:szCs w:val="21"/>
                <w:u w:val="single"/>
              </w:rPr>
              <w:t xml:space="preserve">  </w:t>
            </w:r>
            <w:r>
              <w:rPr>
                <w:b/>
                <w:szCs w:val="21"/>
                <w:u w:val="single"/>
              </w:rPr>
              <w:t>单位：dB（A）</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80"/>
              <w:gridCol w:w="4731"/>
              <w:gridCol w:w="964"/>
              <w:gridCol w:w="1047"/>
              <w:gridCol w:w="103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exact"/>
                <w:tblHeader/>
              </w:trPr>
              <w:tc>
                <w:tcPr>
                  <w:tcW w:w="659" w:type="pct"/>
                  <w:vAlign w:val="center"/>
                </w:tcPr>
                <w:p>
                  <w:pPr>
                    <w:pStyle w:val="47"/>
                    <w:spacing w:line="300" w:lineRule="exact"/>
                    <w:ind w:hanging="7"/>
                    <w:jc w:val="center"/>
                    <w:rPr>
                      <w:szCs w:val="21"/>
                    </w:rPr>
                  </w:pPr>
                  <w:r>
                    <w:rPr>
                      <w:szCs w:val="21"/>
                    </w:rPr>
                    <w:t>污染类别</w:t>
                  </w:r>
                </w:p>
              </w:tc>
              <w:tc>
                <w:tcPr>
                  <w:tcW w:w="2640" w:type="pct"/>
                  <w:vAlign w:val="center"/>
                </w:tcPr>
                <w:p>
                  <w:pPr>
                    <w:pStyle w:val="47"/>
                    <w:spacing w:line="300" w:lineRule="exact"/>
                    <w:ind w:hanging="7"/>
                    <w:jc w:val="center"/>
                    <w:rPr>
                      <w:szCs w:val="21"/>
                    </w:rPr>
                  </w:pPr>
                  <w:r>
                    <w:rPr>
                      <w:szCs w:val="21"/>
                    </w:rPr>
                    <w:t>执行标准</w:t>
                  </w:r>
                </w:p>
              </w:tc>
              <w:tc>
                <w:tcPr>
                  <w:tcW w:w="538" w:type="pct"/>
                  <w:vAlign w:val="center"/>
                </w:tcPr>
                <w:p>
                  <w:pPr>
                    <w:pStyle w:val="47"/>
                    <w:spacing w:line="300" w:lineRule="exact"/>
                    <w:ind w:hanging="7"/>
                    <w:jc w:val="center"/>
                    <w:rPr>
                      <w:szCs w:val="21"/>
                    </w:rPr>
                  </w:pPr>
                  <w:r>
                    <w:rPr>
                      <w:szCs w:val="21"/>
                    </w:rPr>
                    <w:t>污染物</w:t>
                  </w:r>
                </w:p>
              </w:tc>
              <w:tc>
                <w:tcPr>
                  <w:tcW w:w="1162" w:type="pct"/>
                  <w:gridSpan w:val="2"/>
                  <w:vAlign w:val="center"/>
                </w:tcPr>
                <w:p>
                  <w:pPr>
                    <w:pStyle w:val="47"/>
                    <w:spacing w:line="300" w:lineRule="exact"/>
                    <w:ind w:hanging="7"/>
                    <w:jc w:val="center"/>
                    <w:rPr>
                      <w:szCs w:val="21"/>
                    </w:rPr>
                  </w:pPr>
                  <w:r>
                    <w:rPr>
                      <w:szCs w:val="21"/>
                    </w:rPr>
                    <w:t>标准限值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659" w:type="pct"/>
                  <w:vMerge w:val="restart"/>
                  <w:vAlign w:val="center"/>
                </w:tcPr>
                <w:p>
                  <w:pPr>
                    <w:pStyle w:val="47"/>
                    <w:spacing w:line="300" w:lineRule="exact"/>
                    <w:ind w:hanging="7"/>
                    <w:jc w:val="center"/>
                    <w:rPr>
                      <w:szCs w:val="21"/>
                    </w:rPr>
                  </w:pPr>
                  <w:r>
                    <w:rPr>
                      <w:rFonts w:hint="eastAsia"/>
                      <w:szCs w:val="21"/>
                    </w:rPr>
                    <w:t>厂界</w:t>
                  </w:r>
                </w:p>
              </w:tc>
              <w:tc>
                <w:tcPr>
                  <w:tcW w:w="2640" w:type="pct"/>
                  <w:vMerge w:val="restart"/>
                  <w:vAlign w:val="center"/>
                </w:tcPr>
                <w:p>
                  <w:pPr>
                    <w:pStyle w:val="47"/>
                    <w:spacing w:line="300" w:lineRule="exact"/>
                    <w:ind w:hanging="7"/>
                    <w:jc w:val="center"/>
                    <w:rPr>
                      <w:szCs w:val="21"/>
                    </w:rPr>
                  </w:pPr>
                  <w:r>
                    <w:rPr>
                      <w:szCs w:val="21"/>
                    </w:rPr>
                    <w:t>《工业企业厂界环境噪声排放标准》</w:t>
                  </w:r>
                </w:p>
                <w:p>
                  <w:pPr>
                    <w:pStyle w:val="47"/>
                    <w:spacing w:line="300" w:lineRule="exact"/>
                    <w:ind w:hanging="7"/>
                    <w:jc w:val="center"/>
                    <w:rPr>
                      <w:szCs w:val="21"/>
                    </w:rPr>
                  </w:pPr>
                  <w:r>
                    <w:rPr>
                      <w:szCs w:val="21"/>
                    </w:rPr>
                    <w:t>（</w:t>
                  </w:r>
                  <w:r>
                    <w:rPr>
                      <w:rFonts w:eastAsia="Times New Roman"/>
                      <w:szCs w:val="21"/>
                    </w:rPr>
                    <w:t>GB12348-2008</w:t>
                  </w:r>
                  <w:r>
                    <w:rPr>
                      <w:szCs w:val="21"/>
                    </w:rPr>
                    <w:t>）中3类标准</w:t>
                  </w:r>
                </w:p>
              </w:tc>
              <w:tc>
                <w:tcPr>
                  <w:tcW w:w="538" w:type="pct"/>
                  <w:vMerge w:val="restart"/>
                  <w:vAlign w:val="center"/>
                </w:tcPr>
                <w:p>
                  <w:pPr>
                    <w:pStyle w:val="47"/>
                    <w:spacing w:line="300" w:lineRule="exact"/>
                    <w:ind w:hanging="7"/>
                    <w:jc w:val="center"/>
                    <w:rPr>
                      <w:rFonts w:eastAsia="Times New Roman"/>
                      <w:szCs w:val="21"/>
                    </w:rPr>
                  </w:pPr>
                  <w:r>
                    <w:t>LAeq</w:t>
                  </w:r>
                </w:p>
              </w:tc>
              <w:tc>
                <w:tcPr>
                  <w:tcW w:w="584" w:type="pct"/>
                  <w:vAlign w:val="center"/>
                </w:tcPr>
                <w:p>
                  <w:pPr>
                    <w:pStyle w:val="47"/>
                    <w:spacing w:line="300" w:lineRule="exact"/>
                    <w:ind w:hanging="7"/>
                    <w:jc w:val="center"/>
                    <w:rPr>
                      <w:szCs w:val="21"/>
                    </w:rPr>
                  </w:pPr>
                  <w:r>
                    <w:rPr>
                      <w:szCs w:val="21"/>
                    </w:rPr>
                    <w:t>昼间</w:t>
                  </w:r>
                </w:p>
              </w:tc>
              <w:tc>
                <w:tcPr>
                  <w:tcW w:w="578" w:type="pct"/>
                  <w:vAlign w:val="center"/>
                </w:tcPr>
                <w:p>
                  <w:pPr>
                    <w:pStyle w:val="47"/>
                    <w:spacing w:line="300" w:lineRule="exact"/>
                    <w:ind w:right="1" w:hanging="7"/>
                    <w:jc w:val="center"/>
                    <w:rPr>
                      <w:szCs w:val="21"/>
                    </w:rPr>
                  </w:pPr>
                  <w:r>
                    <w:t>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659" w:type="pct"/>
                  <w:vMerge w:val="continue"/>
                  <w:vAlign w:val="center"/>
                </w:tcPr>
                <w:p>
                  <w:pPr>
                    <w:spacing w:line="300" w:lineRule="exact"/>
                    <w:ind w:hanging="7"/>
                    <w:jc w:val="center"/>
                  </w:pPr>
                </w:p>
              </w:tc>
              <w:tc>
                <w:tcPr>
                  <w:tcW w:w="2640" w:type="pct"/>
                  <w:vMerge w:val="continue"/>
                  <w:vAlign w:val="center"/>
                </w:tcPr>
                <w:p>
                  <w:pPr>
                    <w:spacing w:line="300" w:lineRule="exact"/>
                    <w:ind w:hanging="7"/>
                    <w:jc w:val="center"/>
                  </w:pPr>
                </w:p>
              </w:tc>
              <w:tc>
                <w:tcPr>
                  <w:tcW w:w="538" w:type="pct"/>
                  <w:vMerge w:val="continue"/>
                  <w:vAlign w:val="center"/>
                </w:tcPr>
                <w:p>
                  <w:pPr>
                    <w:spacing w:line="300" w:lineRule="exact"/>
                    <w:ind w:hanging="7"/>
                    <w:jc w:val="center"/>
                  </w:pPr>
                </w:p>
              </w:tc>
              <w:tc>
                <w:tcPr>
                  <w:tcW w:w="584" w:type="pct"/>
                  <w:vAlign w:val="center"/>
                </w:tcPr>
                <w:p>
                  <w:pPr>
                    <w:pStyle w:val="47"/>
                    <w:spacing w:line="300" w:lineRule="exact"/>
                    <w:ind w:hanging="7"/>
                    <w:jc w:val="center"/>
                    <w:rPr>
                      <w:szCs w:val="21"/>
                    </w:rPr>
                  </w:pPr>
                  <w:r>
                    <w:rPr>
                      <w:szCs w:val="21"/>
                    </w:rPr>
                    <w:t>夜间</w:t>
                  </w:r>
                </w:p>
              </w:tc>
              <w:tc>
                <w:tcPr>
                  <w:tcW w:w="578" w:type="pct"/>
                  <w:vAlign w:val="center"/>
                </w:tcPr>
                <w:p>
                  <w:pPr>
                    <w:pStyle w:val="47"/>
                    <w:spacing w:line="300" w:lineRule="exact"/>
                    <w:ind w:right="1" w:hanging="7"/>
                    <w:jc w:val="center"/>
                    <w:rPr>
                      <w:rFonts w:eastAsiaTheme="minorEastAsia"/>
                      <w:szCs w:val="21"/>
                    </w:rPr>
                  </w:pPr>
                  <w:r>
                    <w:rPr>
                      <w:rFonts w:hint="eastAsia" w:eastAsiaTheme="minorEastAsia"/>
                    </w:rPr>
                    <w:t>5</w:t>
                  </w:r>
                  <w:r>
                    <w:rPr>
                      <w:rFonts w:eastAsiaTheme="minorEastAsia"/>
                    </w:rPr>
                    <w:t>5</w:t>
                  </w:r>
                </w:p>
              </w:tc>
            </w:tr>
          </w:tbl>
          <w:p>
            <w:pPr>
              <w:spacing w:line="360" w:lineRule="auto"/>
              <w:ind w:firstLine="422" w:firstLineChars="200"/>
              <w:rPr>
                <w:b/>
                <w:bCs/>
                <w:szCs w:val="21"/>
              </w:rPr>
            </w:pPr>
            <w:r>
              <w:rPr>
                <w:rFonts w:hint="eastAsia"/>
                <w:b/>
                <w:bCs/>
                <w:szCs w:val="21"/>
              </w:rPr>
              <w:t>4、</w:t>
            </w:r>
            <w:r>
              <w:rPr>
                <w:b/>
                <w:bCs/>
                <w:szCs w:val="21"/>
              </w:rPr>
              <w:t>固体废物</w:t>
            </w:r>
          </w:p>
          <w:p>
            <w:pPr>
              <w:pStyle w:val="46"/>
              <w:widowControl w:val="0"/>
              <w:ind w:firstLine="420"/>
              <w:rPr>
                <w:rFonts w:ascii="宋体" w:hAnsi="宋体"/>
              </w:rPr>
            </w:pPr>
            <w:r>
              <w:t>一般工业固体废物的储存、运输、处理</w:t>
            </w:r>
            <w:r>
              <w:rPr>
                <w:rFonts w:hint="eastAsia"/>
              </w:rPr>
              <w:t>、</w:t>
            </w:r>
            <w:r>
              <w:t>处置均执行《一般工业固体废物</w:t>
            </w:r>
            <w:r>
              <w:rPr>
                <w:rFonts w:hint="eastAsia"/>
              </w:rPr>
              <w:t>贮存和填埋</w:t>
            </w:r>
            <w:r>
              <w:t>污染控制标准》（GB</w:t>
            </w:r>
            <w:r>
              <w:rPr>
                <w:rFonts w:hint="eastAsia"/>
              </w:rPr>
              <w:t xml:space="preserve"> </w:t>
            </w:r>
            <w:r>
              <w:t>18599-2020）的要求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4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4657" w:type="pct"/>
            <w:vAlign w:val="center"/>
          </w:tcPr>
          <w:p>
            <w:pPr>
              <w:pStyle w:val="46"/>
              <w:widowControl w:val="0"/>
              <w:ind w:firstLine="420"/>
            </w:pPr>
            <w:r>
              <w:rPr>
                <w:rFonts w:hint="eastAsia"/>
              </w:rPr>
              <w:t>依据吉林省生态环境厅《关于进一步明确建设项目主要污染物排放总量审核有关事宜的复函》按照行业排污绩效，将建设项目污染物排放总量分为重点行业排放管理、一般行业排放管理和其他行业排放管理三类管理方式，根据《固定污染源排污许可分类管理名录》（2019年版），本项目排污许可为登记管理，废水排污口为一般排污口，废气排放口为一般排放口，属于《复函》中其他行业排放管理类，豁免主要污染物总量审核，仅纳入环境管理。</w:t>
            </w:r>
          </w:p>
          <w:p>
            <w:pPr>
              <w:pStyle w:val="46"/>
              <w:widowControl w:val="0"/>
              <w:ind w:firstLine="420"/>
            </w:pPr>
            <w:r>
              <w:rPr>
                <w:rFonts w:hint="eastAsia"/>
              </w:rPr>
              <w:t>本项目废水中COD排放量</w:t>
            </w:r>
            <w:r>
              <w:t>0.0099</w:t>
            </w:r>
            <w:r>
              <w:rPr>
                <w:rFonts w:hint="eastAsia"/>
              </w:rPr>
              <w:t>t/a，废气中颗粒物排放量</w:t>
            </w:r>
            <w:r>
              <w:t>0.0017</w:t>
            </w:r>
            <w:r>
              <w:rPr>
                <w:rFonts w:hint="eastAsia"/>
              </w:rPr>
              <w:t>t/a，S</w:t>
            </w:r>
            <w:r>
              <w:t>O</w:t>
            </w:r>
            <w:r>
              <w:rPr>
                <w:vertAlign w:val="subscript"/>
              </w:rPr>
              <w:t>2</w:t>
            </w:r>
            <w:r>
              <w:rPr>
                <w:rFonts w:hint="eastAsia"/>
              </w:rPr>
              <w:t>排放量为：0</w:t>
            </w:r>
            <w:r>
              <w:t>.00003</w:t>
            </w:r>
            <w:r>
              <w:rPr>
                <w:rFonts w:hint="eastAsia"/>
              </w:rPr>
              <w:t>t/a，N</w:t>
            </w:r>
            <w:r>
              <w:t>O</w:t>
            </w:r>
            <w:r>
              <w:rPr>
                <w:rFonts w:hint="eastAsia"/>
              </w:rPr>
              <w:t>x排放量为：0</w:t>
            </w:r>
            <w:r>
              <w:t>.2142</w:t>
            </w:r>
            <w:r>
              <w:rPr>
                <w:rFonts w:hint="eastAsia"/>
              </w:rPr>
              <w:t>t/a。</w:t>
            </w: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p>
            <w:pPr>
              <w:pStyle w:val="46"/>
              <w:widowControl w:val="0"/>
              <w:ind w:firstLine="420"/>
              <w:rPr>
                <w:rFonts w:ascii="宋体" w:hAnsi="宋体"/>
              </w:rPr>
            </w:pPr>
          </w:p>
        </w:tc>
      </w:tr>
    </w:tbl>
    <w:p>
      <w:pPr>
        <w:pStyle w:val="17"/>
        <w:pageBreakBefore/>
        <w:adjustRightInd w:val="0"/>
        <w:snapToGrid w:val="0"/>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91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325" w:type="pct"/>
            <w:tcMar>
              <w:left w:w="28" w:type="dxa"/>
              <w:right w:w="28" w:type="dxa"/>
            </w:tcMar>
            <w:vAlign w:val="center"/>
          </w:tcPr>
          <w:p>
            <w:pPr>
              <w:pStyle w:val="17"/>
              <w:adjustRightInd w:val="0"/>
              <w:snapToGrid w:val="0"/>
              <w:spacing w:before="0" w:beforeAutospacing="0" w:after="0" w:afterAutospacing="0"/>
              <w:jc w:val="center"/>
              <w:rPr>
                <w:rFonts w:cs="宋体"/>
                <w:kern w:val="2"/>
                <w:sz w:val="21"/>
                <w:szCs w:val="21"/>
              </w:rPr>
            </w:pPr>
            <w:r>
              <w:rPr>
                <w:rFonts w:hint="eastAsia" w:cs="宋体"/>
                <w:kern w:val="2"/>
                <w:sz w:val="21"/>
                <w:szCs w:val="21"/>
              </w:rPr>
              <w:t>施工</w:t>
            </w:r>
          </w:p>
          <w:p>
            <w:pPr>
              <w:pStyle w:val="17"/>
              <w:adjustRightInd w:val="0"/>
              <w:snapToGrid w:val="0"/>
              <w:spacing w:before="0" w:beforeAutospacing="0" w:after="0" w:afterAutospacing="0"/>
              <w:jc w:val="center"/>
              <w:rPr>
                <w:rFonts w:cs="宋体"/>
                <w:kern w:val="2"/>
                <w:sz w:val="21"/>
                <w:szCs w:val="21"/>
              </w:rPr>
            </w:pPr>
            <w:r>
              <w:rPr>
                <w:rFonts w:hint="eastAsia" w:cs="宋体"/>
                <w:kern w:val="2"/>
                <w:sz w:val="21"/>
                <w:szCs w:val="21"/>
              </w:rPr>
              <w:t>期环</w:t>
            </w:r>
          </w:p>
          <w:p>
            <w:pPr>
              <w:pStyle w:val="17"/>
              <w:adjustRightInd w:val="0"/>
              <w:snapToGrid w:val="0"/>
              <w:spacing w:before="0" w:beforeAutospacing="0" w:after="0" w:afterAutospacing="0"/>
              <w:jc w:val="center"/>
              <w:rPr>
                <w:rFonts w:cs="宋体"/>
                <w:kern w:val="2"/>
                <w:sz w:val="21"/>
                <w:szCs w:val="21"/>
              </w:rPr>
            </w:pPr>
            <w:r>
              <w:rPr>
                <w:rFonts w:hint="eastAsia" w:cs="宋体"/>
                <w:kern w:val="2"/>
                <w:sz w:val="21"/>
                <w:szCs w:val="21"/>
              </w:rPr>
              <w:t>境保</w:t>
            </w:r>
          </w:p>
          <w:p>
            <w:pPr>
              <w:pStyle w:val="17"/>
              <w:adjustRightInd w:val="0"/>
              <w:snapToGrid w:val="0"/>
              <w:spacing w:before="0" w:beforeAutospacing="0" w:after="0" w:afterAutospacing="0"/>
              <w:jc w:val="center"/>
              <w:rPr>
                <w:rFonts w:cs="宋体"/>
                <w:kern w:val="2"/>
                <w:sz w:val="21"/>
                <w:szCs w:val="21"/>
              </w:rPr>
            </w:pPr>
            <w:r>
              <w:rPr>
                <w:rFonts w:hint="eastAsia" w:cs="宋体"/>
                <w:kern w:val="2"/>
                <w:sz w:val="21"/>
                <w:szCs w:val="21"/>
              </w:rPr>
              <w:t>护措</w:t>
            </w:r>
          </w:p>
          <w:p>
            <w:pPr>
              <w:pStyle w:val="17"/>
              <w:adjustRightInd w:val="0"/>
              <w:snapToGrid w:val="0"/>
              <w:spacing w:before="0" w:beforeAutospacing="0" w:after="0" w:afterAutospacing="0"/>
              <w:jc w:val="center"/>
              <w:rPr>
                <w:rFonts w:cs="宋体"/>
                <w:bCs/>
                <w:kern w:val="2"/>
                <w:sz w:val="21"/>
                <w:szCs w:val="21"/>
              </w:rPr>
            </w:pPr>
            <w:r>
              <w:rPr>
                <w:rFonts w:hint="eastAsia" w:cs="宋体"/>
                <w:kern w:val="2"/>
                <w:sz w:val="21"/>
                <w:szCs w:val="21"/>
              </w:rPr>
              <w:t>施</w:t>
            </w:r>
          </w:p>
        </w:tc>
        <w:tc>
          <w:tcPr>
            <w:tcW w:w="4675" w:type="pct"/>
            <w:vAlign w:val="center"/>
          </w:tcPr>
          <w:p>
            <w:pPr>
              <w:pStyle w:val="46"/>
              <w:ind w:firstLine="420"/>
            </w:pPr>
            <w:r>
              <w:rPr>
                <w:rFonts w:hint="eastAsia"/>
              </w:rPr>
              <w:t>本项目变更前后施工期的环保措施不发生变化，目前已建设完成，根据原环评内容，施工期环境保护措施情况如下。</w:t>
            </w:r>
          </w:p>
          <w:p>
            <w:pPr>
              <w:pStyle w:val="5"/>
              <w:widowControl w:val="0"/>
              <w:adjustRightInd w:val="0"/>
              <w:spacing w:before="0" w:after="0" w:line="360" w:lineRule="auto"/>
              <w:ind w:right="0" w:firstLine="422" w:firstLineChars="200"/>
              <w:rPr>
                <w:b/>
                <w:bCs/>
                <w:szCs w:val="21"/>
              </w:rPr>
            </w:pPr>
            <w:r>
              <w:rPr>
                <w:b/>
                <w:bCs/>
                <w:sz w:val="21"/>
                <w:szCs w:val="21"/>
              </w:rPr>
              <w:t>1</w:t>
            </w:r>
            <w:r>
              <w:rPr>
                <w:rFonts w:hint="eastAsia"/>
                <w:b/>
                <w:bCs/>
                <w:sz w:val="21"/>
                <w:szCs w:val="21"/>
              </w:rPr>
              <w:t>、</w:t>
            </w:r>
            <w:r>
              <w:rPr>
                <w:b/>
                <w:bCs/>
                <w:sz w:val="21"/>
                <w:szCs w:val="21"/>
              </w:rPr>
              <w:t>废气</w:t>
            </w:r>
          </w:p>
          <w:p>
            <w:pPr>
              <w:pStyle w:val="5"/>
              <w:widowControl w:val="0"/>
              <w:adjustRightInd w:val="0"/>
              <w:spacing w:before="0" w:after="0" w:line="360" w:lineRule="auto"/>
              <w:ind w:right="0" w:firstLine="420" w:firstLineChars="200"/>
              <w:rPr>
                <w:szCs w:val="21"/>
              </w:rPr>
            </w:pPr>
            <w:r>
              <w:rPr>
                <w:sz w:val="21"/>
                <w:szCs w:val="21"/>
              </w:rPr>
              <w:t>建设单位在施工作业期间对厂区及锅炉房进行洒水降尘。施工期扬尘给周边造成影响是不可避免的，但随着施工期结束，施工扬尘的影响也随即消失。</w:t>
            </w:r>
          </w:p>
          <w:p>
            <w:pPr>
              <w:pStyle w:val="5"/>
              <w:widowControl w:val="0"/>
              <w:adjustRightInd w:val="0"/>
              <w:spacing w:before="0" w:after="0" w:line="360" w:lineRule="auto"/>
              <w:ind w:right="0" w:firstLine="422" w:firstLineChars="200"/>
              <w:rPr>
                <w:b/>
                <w:bCs/>
                <w:szCs w:val="21"/>
              </w:rPr>
            </w:pPr>
            <w:r>
              <w:rPr>
                <w:b/>
                <w:bCs/>
                <w:sz w:val="21"/>
                <w:szCs w:val="21"/>
              </w:rPr>
              <w:t>2</w:t>
            </w:r>
            <w:r>
              <w:rPr>
                <w:rFonts w:hint="eastAsia"/>
                <w:b/>
                <w:bCs/>
                <w:sz w:val="21"/>
                <w:szCs w:val="21"/>
              </w:rPr>
              <w:t>、</w:t>
            </w:r>
            <w:r>
              <w:rPr>
                <w:b/>
                <w:bCs/>
                <w:sz w:val="21"/>
                <w:szCs w:val="21"/>
              </w:rPr>
              <w:t>废水</w:t>
            </w:r>
          </w:p>
          <w:p>
            <w:pPr>
              <w:pStyle w:val="5"/>
              <w:widowControl w:val="0"/>
              <w:adjustRightInd w:val="0"/>
              <w:spacing w:before="0" w:after="0" w:line="360" w:lineRule="auto"/>
              <w:ind w:right="0" w:firstLine="420" w:firstLineChars="200"/>
            </w:pPr>
            <w:r>
              <w:rPr>
                <w:sz w:val="21"/>
                <w:szCs w:val="21"/>
              </w:rPr>
              <w:t>施工期施工人员产生的</w:t>
            </w:r>
            <w:r>
              <w:rPr>
                <w:rFonts w:hint="eastAsia"/>
                <w:sz w:val="21"/>
                <w:szCs w:val="21"/>
              </w:rPr>
              <w:t>生活污水排入厂区现有生活设施</w:t>
            </w:r>
            <w:r>
              <w:rPr>
                <w:sz w:val="21"/>
                <w:szCs w:val="21"/>
              </w:rPr>
              <w:t>，对地表水体基本无影响。</w:t>
            </w:r>
          </w:p>
          <w:p>
            <w:pPr>
              <w:pStyle w:val="5"/>
              <w:widowControl w:val="0"/>
              <w:adjustRightInd w:val="0"/>
              <w:spacing w:before="0" w:after="0" w:line="360" w:lineRule="auto"/>
              <w:ind w:right="0" w:firstLine="422" w:firstLineChars="200"/>
              <w:rPr>
                <w:b/>
                <w:bCs/>
                <w:szCs w:val="21"/>
              </w:rPr>
            </w:pPr>
            <w:r>
              <w:rPr>
                <w:b/>
                <w:bCs/>
                <w:sz w:val="21"/>
                <w:szCs w:val="21"/>
              </w:rPr>
              <w:t>3</w:t>
            </w:r>
            <w:r>
              <w:rPr>
                <w:rFonts w:hint="eastAsia"/>
                <w:b/>
                <w:bCs/>
                <w:sz w:val="21"/>
                <w:szCs w:val="21"/>
              </w:rPr>
              <w:t>、</w:t>
            </w:r>
            <w:r>
              <w:rPr>
                <w:b/>
                <w:bCs/>
                <w:sz w:val="21"/>
                <w:szCs w:val="21"/>
              </w:rPr>
              <w:t>噪声</w:t>
            </w:r>
          </w:p>
          <w:p>
            <w:pPr>
              <w:pStyle w:val="5"/>
              <w:widowControl w:val="0"/>
              <w:adjustRightInd w:val="0"/>
              <w:spacing w:before="0" w:after="0" w:line="360" w:lineRule="auto"/>
              <w:ind w:right="0" w:firstLine="420" w:firstLineChars="200"/>
              <w:rPr>
                <w:szCs w:val="21"/>
              </w:rPr>
            </w:pPr>
            <w:r>
              <w:rPr>
                <w:sz w:val="21"/>
                <w:szCs w:val="21"/>
              </w:rPr>
              <w:t>为了进一步降低施工噪声对周围声环境的影响，建议合理安排施工时间，使其影响降至最低，除此之外，施工企业应当采用低噪音机械设备和施工方法，加强设备维修养护，从源头控制噪声的产生。</w:t>
            </w:r>
          </w:p>
          <w:p>
            <w:pPr>
              <w:pStyle w:val="5"/>
              <w:widowControl w:val="0"/>
              <w:adjustRightInd w:val="0"/>
              <w:spacing w:before="0" w:after="0" w:line="360" w:lineRule="auto"/>
              <w:ind w:right="0" w:firstLine="422" w:firstLineChars="200"/>
              <w:rPr>
                <w:b/>
                <w:bCs/>
                <w:szCs w:val="21"/>
              </w:rPr>
            </w:pPr>
            <w:r>
              <w:rPr>
                <w:b/>
                <w:bCs/>
                <w:sz w:val="21"/>
                <w:szCs w:val="21"/>
              </w:rPr>
              <w:t>4</w:t>
            </w:r>
            <w:r>
              <w:rPr>
                <w:rFonts w:hint="eastAsia"/>
                <w:b/>
                <w:bCs/>
                <w:sz w:val="21"/>
                <w:szCs w:val="21"/>
              </w:rPr>
              <w:t>、</w:t>
            </w:r>
            <w:r>
              <w:rPr>
                <w:b/>
                <w:bCs/>
                <w:sz w:val="21"/>
                <w:szCs w:val="21"/>
              </w:rPr>
              <w:t>固体废物</w:t>
            </w:r>
          </w:p>
          <w:p>
            <w:pPr>
              <w:pStyle w:val="46"/>
              <w:widowControl w:val="0"/>
              <w:ind w:firstLine="420"/>
              <w:rPr>
                <w:rFonts w:ascii="宋体" w:hAnsi="宋体"/>
                <w:bCs/>
                <w:spacing w:val="-10"/>
              </w:rPr>
            </w:pPr>
            <w:r>
              <w:t>施工期生活垃圾集中收集，由环卫部门定期清运</w:t>
            </w:r>
            <w:r>
              <w:rPr>
                <w:rFonts w:hint="eastAsia"/>
              </w:rPr>
              <w:t>；建筑垃圾、施工建设过程中产生的废弃装饰建筑材料，集中收集，尽量回用，不能回用的送至建筑垃圾填埋场</w:t>
            </w:r>
            <w:r>
              <w:t>通过上述措施，项目固体废物可得到妥善处置，不会造成二次污染。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25" w:type="pct"/>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4675" w:type="pct"/>
            <w:vAlign w:val="center"/>
          </w:tcPr>
          <w:p>
            <w:pPr>
              <w:pStyle w:val="46"/>
              <w:widowControl w:val="0"/>
              <w:ind w:firstLine="422"/>
              <w:rPr>
                <w:rFonts w:cs="Times New Roman"/>
                <w:b/>
                <w:bCs/>
              </w:rPr>
            </w:pPr>
            <w:r>
              <w:rPr>
                <w:rFonts w:cs="Times New Roman"/>
                <w:b/>
                <w:bCs/>
              </w:rPr>
              <w:t>1、废气</w:t>
            </w:r>
          </w:p>
          <w:p>
            <w:pPr>
              <w:pStyle w:val="46"/>
              <w:widowControl w:val="0"/>
              <w:ind w:firstLine="420"/>
              <w:rPr>
                <w:rFonts w:cs="Times New Roman"/>
                <w:bCs/>
              </w:rPr>
            </w:pPr>
            <w:r>
              <w:rPr>
                <w:rFonts w:cs="Times New Roman"/>
                <w:bCs/>
              </w:rPr>
              <w:t>本项目废气主要为锅炉烟气。</w:t>
            </w:r>
          </w:p>
          <w:p>
            <w:pPr>
              <w:pStyle w:val="46"/>
              <w:widowControl w:val="0"/>
              <w:ind w:firstLine="422"/>
              <w:rPr>
                <w:rFonts w:cs="Times New Roman"/>
                <w:b/>
              </w:rPr>
            </w:pPr>
            <w:r>
              <w:rPr>
                <w:rFonts w:cs="Times New Roman"/>
                <w:b/>
              </w:rPr>
              <w:t>1.1 锅炉烟气</w:t>
            </w:r>
          </w:p>
          <w:p>
            <w:pPr>
              <w:pStyle w:val="61"/>
              <w:ind w:firstLine="422"/>
              <w:rPr>
                <w:b/>
                <w:bCs/>
                <w:i/>
                <w:iCs/>
                <w:sz w:val="21"/>
                <w:szCs w:val="21"/>
                <w:u w:val="single"/>
              </w:rPr>
            </w:pPr>
            <w:r>
              <w:rPr>
                <w:b/>
                <w:bCs/>
                <w:i/>
                <w:iCs/>
                <w:sz w:val="21"/>
                <w:szCs w:val="21"/>
                <w:u w:val="single"/>
              </w:rPr>
              <w:t>根据《污染源源强核算技术指南锅炉》（HJ 991—2018），本项目颗粒物排放量计算如下：</w:t>
            </w:r>
          </w:p>
          <w:p>
            <w:pPr>
              <w:pStyle w:val="61"/>
              <w:ind w:firstLine="422"/>
              <w:jc w:val="center"/>
              <w:rPr>
                <w:b/>
                <w:bCs/>
                <w:i/>
                <w:iCs/>
                <w:color w:val="0000FF"/>
                <w:sz w:val="21"/>
                <w:szCs w:val="21"/>
                <w:u w:val="single"/>
              </w:rPr>
            </w:pPr>
            <w:r>
              <w:rPr>
                <w:b/>
                <w:bCs/>
                <w:i/>
                <w:iCs/>
                <w:color w:val="0000FF"/>
                <w:sz w:val="21"/>
                <w:szCs w:val="21"/>
                <w:u w:val="single"/>
              </w:rPr>
              <w:drawing>
                <wp:inline distT="0" distB="0" distL="0" distR="0">
                  <wp:extent cx="2095500" cy="361950"/>
                  <wp:effectExtent l="0" t="0" r="0" b="0"/>
                  <wp:docPr id="17381732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73241"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95500" cy="361950"/>
                          </a:xfrm>
                          <a:prstGeom prst="rect">
                            <a:avLst/>
                          </a:prstGeom>
                          <a:noFill/>
                          <a:ln>
                            <a:noFill/>
                          </a:ln>
                          <a:effectLst/>
                        </pic:spPr>
                      </pic:pic>
                    </a:graphicData>
                  </a:graphic>
                </wp:inline>
              </w:drawing>
            </w:r>
          </w:p>
          <w:p>
            <w:pPr>
              <w:pStyle w:val="61"/>
              <w:ind w:firstLine="422"/>
              <w:rPr>
                <w:b/>
                <w:bCs/>
                <w:i/>
                <w:iCs/>
                <w:sz w:val="21"/>
                <w:szCs w:val="21"/>
                <w:u w:val="single"/>
              </w:rPr>
            </w:pPr>
            <w:r>
              <w:rPr>
                <w:b/>
                <w:bCs/>
                <w:i/>
                <w:iCs/>
                <w:sz w:val="21"/>
                <w:szCs w:val="21"/>
                <w:u w:val="single"/>
              </w:rPr>
              <w:t>式中：Ej—核算时段内第j种污染物的排放量，吨；</w:t>
            </w:r>
          </w:p>
          <w:p>
            <w:pPr>
              <w:pStyle w:val="61"/>
              <w:ind w:firstLine="1054" w:firstLineChars="500"/>
              <w:rPr>
                <w:b/>
                <w:bCs/>
                <w:i/>
                <w:iCs/>
                <w:sz w:val="21"/>
                <w:szCs w:val="21"/>
                <w:u w:val="single"/>
              </w:rPr>
            </w:pPr>
            <w:r>
              <w:rPr>
                <w:b/>
                <w:bCs/>
                <w:i/>
                <w:iCs/>
                <w:sz w:val="21"/>
                <w:szCs w:val="21"/>
                <w:u w:val="single"/>
              </w:rPr>
              <w:t>R—核算时段内锅炉燃料耗量，t或万m</w:t>
            </w:r>
            <w:r>
              <w:rPr>
                <w:b/>
                <w:bCs/>
                <w:i/>
                <w:iCs/>
                <w:sz w:val="21"/>
                <w:szCs w:val="21"/>
                <w:u w:val="single"/>
                <w:vertAlign w:val="superscript"/>
              </w:rPr>
              <w:t>3</w:t>
            </w:r>
            <w:r>
              <w:rPr>
                <w:b/>
                <w:bCs/>
                <w:i/>
                <w:iCs/>
                <w:sz w:val="21"/>
                <w:szCs w:val="21"/>
                <w:u w:val="single"/>
              </w:rPr>
              <w:t>；</w:t>
            </w:r>
          </w:p>
          <w:p>
            <w:pPr>
              <w:pStyle w:val="61"/>
              <w:ind w:firstLine="1054" w:firstLineChars="500"/>
              <w:rPr>
                <w:b/>
                <w:bCs/>
                <w:i/>
                <w:iCs/>
                <w:sz w:val="21"/>
                <w:szCs w:val="21"/>
                <w:u w:val="single"/>
              </w:rPr>
            </w:pPr>
            <w:r>
              <w:rPr>
                <w:b/>
                <w:bCs/>
                <w:i/>
                <w:iCs/>
                <w:sz w:val="21"/>
                <w:szCs w:val="21"/>
                <w:u w:val="single"/>
              </w:rPr>
              <w:t>β</w:t>
            </w:r>
            <w:r>
              <w:rPr>
                <w:b/>
                <w:bCs/>
                <w:i/>
                <w:iCs/>
                <w:sz w:val="21"/>
                <w:szCs w:val="21"/>
                <w:u w:val="single"/>
                <w:vertAlign w:val="subscript"/>
              </w:rPr>
              <w:t>j</w:t>
            </w:r>
            <w:r>
              <w:rPr>
                <w:b/>
                <w:bCs/>
                <w:i/>
                <w:iCs/>
                <w:sz w:val="21"/>
                <w:szCs w:val="21"/>
                <w:u w:val="single"/>
              </w:rPr>
              <w:t>—第j种污染物产排污系数，kg/t或kg/万m</w:t>
            </w:r>
            <w:r>
              <w:rPr>
                <w:b/>
                <w:bCs/>
                <w:i/>
                <w:iCs/>
                <w:sz w:val="21"/>
                <w:szCs w:val="21"/>
                <w:u w:val="single"/>
                <w:vertAlign w:val="superscript"/>
              </w:rPr>
              <w:t>3</w:t>
            </w:r>
            <w:r>
              <w:rPr>
                <w:b/>
                <w:bCs/>
                <w:i/>
                <w:iCs/>
                <w:sz w:val="21"/>
                <w:szCs w:val="21"/>
                <w:u w:val="single"/>
              </w:rPr>
              <w:t>，参见全国污染源普查工业污染源普查数据（以最新版本为准）和HJ 953。采用罕见、特殊原料或工艺的，或手册中未涉及的，可类比国外同类工艺对应的产排污系数文件或咨询行业专业技术人员选取近似品、原料、炉型的产污系数代替。</w:t>
            </w:r>
          </w:p>
          <w:p>
            <w:pPr>
              <w:pStyle w:val="61"/>
              <w:ind w:firstLine="1054" w:firstLineChars="500"/>
              <w:rPr>
                <w:b/>
                <w:bCs/>
                <w:i/>
                <w:iCs/>
                <w:sz w:val="21"/>
                <w:szCs w:val="21"/>
                <w:u w:val="single"/>
              </w:rPr>
            </w:pPr>
            <w:r>
              <w:rPr>
                <w:b/>
                <w:bCs/>
                <w:i/>
                <w:iCs/>
                <w:sz w:val="21"/>
                <w:szCs w:val="21"/>
                <w:u w:val="single"/>
              </w:rPr>
              <w:t>η—污染物的脱除效率，%，取0。</w:t>
            </w:r>
          </w:p>
          <w:p>
            <w:pPr>
              <w:pStyle w:val="61"/>
              <w:ind w:firstLine="422"/>
              <w:rPr>
                <w:b/>
                <w:bCs/>
                <w:i/>
                <w:iCs/>
                <w:sz w:val="21"/>
                <w:szCs w:val="21"/>
                <w:u w:val="single"/>
              </w:rPr>
            </w:pPr>
            <w:r>
              <w:rPr>
                <w:b/>
                <w:bCs/>
                <w:i/>
                <w:iCs/>
                <w:sz w:val="21"/>
                <w:szCs w:val="21"/>
                <w:u w:val="single"/>
              </w:rPr>
              <w:t>本项目类比《净月高新技术产业开发区浩森健身俱乐部燃气锅炉建设项目竣工环境保护验收监测报告表》对0.7MW燃气锅炉的监测数据，颗粒物平均排放浓度为12.9mg/m</w:t>
            </w:r>
            <w:r>
              <w:rPr>
                <w:b/>
                <w:bCs/>
                <w:i/>
                <w:iCs/>
                <w:sz w:val="21"/>
                <w:szCs w:val="21"/>
                <w:u w:val="single"/>
                <w:vertAlign w:val="superscript"/>
              </w:rPr>
              <w:t>3</w:t>
            </w:r>
            <w:r>
              <w:rPr>
                <w:b/>
                <w:bCs/>
                <w:i/>
                <w:iCs/>
                <w:sz w:val="21"/>
                <w:szCs w:val="21"/>
                <w:u w:val="single"/>
              </w:rPr>
              <w:t>（取0.129kg/万m</w:t>
            </w:r>
            <w:r>
              <w:rPr>
                <w:b/>
                <w:bCs/>
                <w:i/>
                <w:iCs/>
                <w:sz w:val="21"/>
                <w:szCs w:val="21"/>
                <w:u w:val="single"/>
                <w:vertAlign w:val="superscript"/>
              </w:rPr>
              <w:t>3</w:t>
            </w:r>
            <w:r>
              <w:rPr>
                <w:b/>
                <w:bCs/>
                <w:i/>
                <w:iCs/>
                <w:sz w:val="21"/>
                <w:szCs w:val="21"/>
                <w:u w:val="single"/>
              </w:rPr>
              <w:t>）。该项目使用天然气锅炉，与本项目属于同类项目、燃料种类相同，吨位相近，均无除尘措施，故该类比可行。</w:t>
            </w:r>
          </w:p>
          <w:p>
            <w:pPr>
              <w:pStyle w:val="61"/>
              <w:ind w:firstLine="422"/>
              <w:rPr>
                <w:b/>
                <w:bCs/>
                <w:i/>
                <w:iCs/>
                <w:sz w:val="21"/>
                <w:szCs w:val="21"/>
                <w:u w:val="single"/>
              </w:rPr>
            </w:pPr>
            <w:r>
              <w:rPr>
                <w:rFonts w:hint="eastAsia"/>
                <w:b/>
                <w:bCs/>
                <w:i/>
                <w:iCs/>
                <w:sz w:val="21"/>
                <w:szCs w:val="21"/>
                <w:u w:val="single"/>
              </w:rPr>
              <w:t>依据《长春市燃气锅炉低氮燃烧改造实施方案》相关要求，本项目锅炉须采用低氮燃烧技术，因此，</w:t>
            </w:r>
            <w:r>
              <w:rPr>
                <w:b/>
                <w:bCs/>
                <w:i/>
                <w:iCs/>
                <w:sz w:val="21"/>
                <w:szCs w:val="21"/>
                <w:u w:val="single"/>
              </w:rPr>
              <w:t>天然气锅炉烟气中工业废气量、氮氧化物、二氧化硫产污系数参照《第二次全国污染源普查工业污染源产排污系数手册》</w:t>
            </w:r>
            <w:r>
              <w:rPr>
                <w:rFonts w:hint="eastAsia"/>
                <w:b/>
                <w:bCs/>
                <w:i/>
                <w:iCs/>
                <w:sz w:val="21"/>
                <w:szCs w:val="21"/>
                <w:u w:val="single"/>
              </w:rPr>
              <w:t>低氮燃烧系数进行核算</w:t>
            </w:r>
            <w:r>
              <w:rPr>
                <w:b/>
                <w:bCs/>
                <w:i/>
                <w:iCs/>
                <w:u w:val="single"/>
              </w:rPr>
              <w:t>；颗粒物参照《污染源源强核算技术指南锅炉》（HJ 991—2018）</w:t>
            </w:r>
            <w:r>
              <w:rPr>
                <w:b/>
                <w:bCs/>
                <w:i/>
                <w:iCs/>
                <w:sz w:val="21"/>
                <w:szCs w:val="21"/>
                <w:u w:val="single"/>
              </w:rPr>
              <w:t>，产污系数详见下表：</w:t>
            </w:r>
          </w:p>
          <w:p>
            <w:pPr>
              <w:pStyle w:val="50"/>
              <w:rPr>
                <w:bCs/>
                <w:i/>
                <w:iCs/>
                <w:u w:val="single"/>
              </w:rPr>
            </w:pPr>
            <w:r>
              <w:rPr>
                <w:bCs/>
                <w:i/>
                <w:iCs/>
                <w:u w:val="single"/>
              </w:rPr>
              <w:t>表4-5  各污染物产排污系数</w:t>
            </w:r>
          </w:p>
          <w:tbl>
            <w:tblPr>
              <w:tblStyle w:val="19"/>
              <w:tblW w:w="5000" w:type="pct"/>
              <w:tblInd w:w="0" w:type="dxa"/>
              <w:tblLayout w:type="autofit"/>
              <w:tblCellMar>
                <w:top w:w="0" w:type="dxa"/>
                <w:left w:w="0" w:type="dxa"/>
                <w:bottom w:w="0" w:type="dxa"/>
                <w:right w:w="0" w:type="dxa"/>
              </w:tblCellMar>
            </w:tblPr>
            <w:tblGrid>
              <w:gridCol w:w="653"/>
              <w:gridCol w:w="1465"/>
              <w:gridCol w:w="3749"/>
              <w:gridCol w:w="3056"/>
            </w:tblGrid>
            <w:tr>
              <w:tblPrEx>
                <w:tblCellMar>
                  <w:top w:w="0" w:type="dxa"/>
                  <w:left w:w="0" w:type="dxa"/>
                  <w:bottom w:w="0" w:type="dxa"/>
                  <w:right w:w="0" w:type="dxa"/>
                </w:tblCellMar>
              </w:tblPrEx>
              <w:trPr>
                <w:trHeight w:val="246" w:hRule="atLeast"/>
              </w:trPr>
              <w:tc>
                <w:tcPr>
                  <w:tcW w:w="366" w:type="pct"/>
                  <w:tcBorders>
                    <w:top w:val="single" w:color="000000" w:sz="12"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序号</w:t>
                  </w:r>
                </w:p>
              </w:tc>
              <w:tc>
                <w:tcPr>
                  <w:tcW w:w="821"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污染物指标</w:t>
                  </w:r>
                </w:p>
              </w:tc>
              <w:tc>
                <w:tcPr>
                  <w:tcW w:w="2100" w:type="pct"/>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产污系数</w:t>
                  </w:r>
                </w:p>
              </w:tc>
              <w:tc>
                <w:tcPr>
                  <w:tcW w:w="1712" w:type="pct"/>
                  <w:tcBorders>
                    <w:top w:val="single" w:color="000000" w:sz="12" w:space="0"/>
                    <w:left w:val="single" w:color="000000" w:sz="4" w:space="0"/>
                    <w:bottom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来源</w:t>
                  </w:r>
                </w:p>
              </w:tc>
            </w:tr>
            <w:tr>
              <w:tblPrEx>
                <w:tblCellMar>
                  <w:top w:w="0" w:type="dxa"/>
                  <w:left w:w="0" w:type="dxa"/>
                  <w:bottom w:w="0" w:type="dxa"/>
                  <w:right w:w="0" w:type="dxa"/>
                </w:tblCellMar>
              </w:tblPrEx>
              <w:trPr>
                <w:trHeight w:val="236" w:hRule="atLeast"/>
              </w:trPr>
              <w:tc>
                <w:tcPr>
                  <w:tcW w:w="366"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1</w:t>
                  </w:r>
                </w:p>
              </w:tc>
              <w:tc>
                <w:tcPr>
                  <w:tcW w:w="82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工业废气量</w:t>
                  </w:r>
                </w:p>
              </w:tc>
              <w:tc>
                <w:tcPr>
                  <w:tcW w:w="210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107753（标m</w:t>
                  </w:r>
                  <w:r>
                    <w:rPr>
                      <w:rFonts w:ascii="Times New Roman"/>
                      <w:b/>
                      <w:bCs/>
                      <w:i/>
                      <w:iCs/>
                      <w:u w:val="single"/>
                      <w:vertAlign w:val="superscript"/>
                    </w:rPr>
                    <w:t>3</w:t>
                  </w:r>
                  <w:r>
                    <w:rPr>
                      <w:rFonts w:ascii="Times New Roman"/>
                      <w:b/>
                      <w:bCs/>
                      <w:i/>
                      <w:iCs/>
                      <w:u w:val="single"/>
                    </w:rPr>
                    <w:t>/万m</w:t>
                  </w:r>
                  <w:r>
                    <w:rPr>
                      <w:rFonts w:ascii="Times New Roman"/>
                      <w:b/>
                      <w:bCs/>
                      <w:i/>
                      <w:iCs/>
                      <w:u w:val="single"/>
                      <w:vertAlign w:val="superscript"/>
                    </w:rPr>
                    <w:t>3</w:t>
                  </w:r>
                  <w:r>
                    <w:rPr>
                      <w:rFonts w:ascii="Times New Roman"/>
                      <w:b/>
                      <w:bCs/>
                      <w:i/>
                      <w:iCs/>
                      <w:u w:val="single"/>
                    </w:rPr>
                    <w:t>-原料）</w:t>
                  </w:r>
                </w:p>
              </w:tc>
              <w:tc>
                <w:tcPr>
                  <w:tcW w:w="1712" w:type="pct"/>
                  <w:vMerge w:val="restart"/>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《第二次全国污染源普查工业污染源产排污系数手册》</w:t>
                  </w:r>
                </w:p>
              </w:tc>
            </w:tr>
            <w:tr>
              <w:tblPrEx>
                <w:tblCellMar>
                  <w:top w:w="0" w:type="dxa"/>
                  <w:left w:w="0" w:type="dxa"/>
                  <w:bottom w:w="0" w:type="dxa"/>
                  <w:right w:w="0" w:type="dxa"/>
                </w:tblCellMar>
              </w:tblPrEx>
              <w:trPr>
                <w:trHeight w:val="236" w:hRule="atLeast"/>
              </w:trPr>
              <w:tc>
                <w:tcPr>
                  <w:tcW w:w="366"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2</w:t>
                  </w:r>
                </w:p>
              </w:tc>
              <w:tc>
                <w:tcPr>
                  <w:tcW w:w="82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SO</w:t>
                  </w:r>
                  <w:r>
                    <w:rPr>
                      <w:rFonts w:ascii="Times New Roman"/>
                      <w:b/>
                      <w:bCs/>
                      <w:i/>
                      <w:iCs/>
                      <w:u w:val="single"/>
                      <w:vertAlign w:val="subscript"/>
                    </w:rPr>
                    <w:t>2</w:t>
                  </w:r>
                </w:p>
              </w:tc>
              <w:tc>
                <w:tcPr>
                  <w:tcW w:w="210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0.02S（kg/万m</w:t>
                  </w:r>
                  <w:r>
                    <w:rPr>
                      <w:rFonts w:ascii="Times New Roman"/>
                      <w:b/>
                      <w:bCs/>
                      <w:i/>
                      <w:iCs/>
                      <w:u w:val="single"/>
                      <w:vertAlign w:val="superscript"/>
                    </w:rPr>
                    <w:t>3</w:t>
                  </w:r>
                  <w:r>
                    <w:rPr>
                      <w:rFonts w:ascii="Times New Roman"/>
                      <w:b/>
                      <w:bCs/>
                      <w:i/>
                      <w:iCs/>
                      <w:u w:val="single"/>
                    </w:rPr>
                    <w:t>-原料）（S取0.1）</w:t>
                  </w:r>
                </w:p>
              </w:tc>
              <w:tc>
                <w:tcPr>
                  <w:tcW w:w="1712" w:type="pct"/>
                  <w:vMerge w:val="continue"/>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p>
              </w:tc>
            </w:tr>
            <w:tr>
              <w:tblPrEx>
                <w:tblCellMar>
                  <w:top w:w="0" w:type="dxa"/>
                  <w:left w:w="0" w:type="dxa"/>
                  <w:bottom w:w="0" w:type="dxa"/>
                  <w:right w:w="0" w:type="dxa"/>
                </w:tblCellMar>
              </w:tblPrEx>
              <w:trPr>
                <w:trHeight w:val="236" w:hRule="atLeast"/>
              </w:trPr>
              <w:tc>
                <w:tcPr>
                  <w:tcW w:w="366"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3</w:t>
                  </w:r>
                </w:p>
              </w:tc>
              <w:tc>
                <w:tcPr>
                  <w:tcW w:w="82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NO</w:t>
                  </w:r>
                  <w:r>
                    <w:rPr>
                      <w:rFonts w:ascii="Times New Roman"/>
                      <w:b/>
                      <w:bCs/>
                      <w:i/>
                      <w:iCs/>
                      <w:u w:val="single"/>
                      <w:vertAlign w:val="subscript"/>
                    </w:rPr>
                    <w:t>x</w:t>
                  </w:r>
                </w:p>
              </w:tc>
              <w:tc>
                <w:tcPr>
                  <w:tcW w:w="210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15.87（kg/万m</w:t>
                  </w:r>
                  <w:r>
                    <w:rPr>
                      <w:rFonts w:ascii="Times New Roman"/>
                      <w:b/>
                      <w:bCs/>
                      <w:i/>
                      <w:iCs/>
                      <w:u w:val="single"/>
                      <w:vertAlign w:val="superscript"/>
                    </w:rPr>
                    <w:t>3</w:t>
                  </w:r>
                  <w:r>
                    <w:rPr>
                      <w:rFonts w:ascii="Times New Roman"/>
                      <w:b/>
                      <w:bCs/>
                      <w:i/>
                      <w:iCs/>
                      <w:u w:val="single"/>
                    </w:rPr>
                    <w:t>-原料）</w:t>
                  </w:r>
                </w:p>
              </w:tc>
              <w:tc>
                <w:tcPr>
                  <w:tcW w:w="1712" w:type="pct"/>
                  <w:vMerge w:val="continue"/>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p>
              </w:tc>
            </w:tr>
            <w:tr>
              <w:tblPrEx>
                <w:tblCellMar>
                  <w:top w:w="0" w:type="dxa"/>
                  <w:left w:w="0" w:type="dxa"/>
                  <w:bottom w:w="0" w:type="dxa"/>
                  <w:right w:w="0" w:type="dxa"/>
                </w:tblCellMar>
              </w:tblPrEx>
              <w:trPr>
                <w:trHeight w:val="236" w:hRule="atLeast"/>
              </w:trPr>
              <w:tc>
                <w:tcPr>
                  <w:tcW w:w="366"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4</w:t>
                  </w:r>
                </w:p>
              </w:tc>
              <w:tc>
                <w:tcPr>
                  <w:tcW w:w="82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颗粒物</w:t>
                  </w:r>
                </w:p>
              </w:tc>
              <w:tc>
                <w:tcPr>
                  <w:tcW w:w="210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0.129（kg/万m</w:t>
                  </w:r>
                  <w:r>
                    <w:rPr>
                      <w:rFonts w:ascii="Times New Roman"/>
                      <w:b/>
                      <w:bCs/>
                      <w:i/>
                      <w:iCs/>
                      <w:u w:val="single"/>
                      <w:vertAlign w:val="superscript"/>
                    </w:rPr>
                    <w:t>3</w:t>
                  </w:r>
                  <w:r>
                    <w:rPr>
                      <w:rFonts w:ascii="Times New Roman"/>
                      <w:b/>
                      <w:bCs/>
                      <w:i/>
                      <w:iCs/>
                      <w:u w:val="single"/>
                    </w:rPr>
                    <w:t>-原料）</w:t>
                  </w:r>
                </w:p>
              </w:tc>
              <w:tc>
                <w:tcPr>
                  <w:tcW w:w="1712" w:type="pct"/>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pStyle w:val="33"/>
                    <w:spacing w:before="24" w:after="24"/>
                    <w:rPr>
                      <w:rFonts w:ascii="Times New Roman"/>
                      <w:b/>
                      <w:bCs/>
                      <w:i/>
                      <w:iCs/>
                      <w:u w:val="single"/>
                    </w:rPr>
                  </w:pPr>
                  <w:r>
                    <w:rPr>
                      <w:rFonts w:ascii="Times New Roman"/>
                      <w:b/>
                      <w:bCs/>
                      <w:i/>
                      <w:iCs/>
                      <w:u w:val="single"/>
                    </w:rPr>
                    <w:t>《污染源源强核算技术指南锅炉》（HJ 991—2018）</w:t>
                  </w:r>
                </w:p>
              </w:tc>
            </w:tr>
          </w:tbl>
          <w:p>
            <w:pPr>
              <w:pStyle w:val="46"/>
              <w:widowControl w:val="0"/>
              <w:ind w:firstLine="422"/>
              <w:rPr>
                <w:rFonts w:cs="Times New Roman"/>
                <w:b/>
              </w:rPr>
            </w:pPr>
            <w:r>
              <w:rPr>
                <w:rFonts w:cs="Times New Roman"/>
                <w:b/>
              </w:rPr>
              <w:t>1.1.1 燃气热水锅炉</w:t>
            </w:r>
          </w:p>
          <w:p>
            <w:pPr>
              <w:pStyle w:val="46"/>
              <w:widowControl w:val="0"/>
              <w:ind w:firstLine="420"/>
              <w:rPr>
                <w:rFonts w:cs="Times New Roman"/>
                <w:b/>
                <w:sz w:val="18"/>
                <w:szCs w:val="18"/>
                <w:u w:val="single"/>
              </w:rPr>
            </w:pPr>
            <w:r>
              <w:rPr>
                <w:rFonts w:cs="Times New Roman"/>
                <w:bCs/>
              </w:rPr>
              <w:t>根据企业提供，本项目燃气热水锅炉每年天然气使用量为11万m</w:t>
            </w:r>
            <w:r>
              <w:rPr>
                <w:rFonts w:cs="Times New Roman"/>
                <w:bCs/>
                <w:vertAlign w:val="superscript"/>
              </w:rPr>
              <w:t>3</w:t>
            </w:r>
            <w:r>
              <w:rPr>
                <w:rFonts w:cs="Times New Roman"/>
                <w:bCs/>
              </w:rPr>
              <w:t>，锅炉烟气通过1根密闭收集后直接通过2根27m高排气筒（DA001、DA002）排放，</w:t>
            </w:r>
            <w:r>
              <w:rPr>
                <w:rFonts w:cs="Times New Roman"/>
              </w:rPr>
              <w:t>锅炉大气污染物产生及排放情况详见下表。</w:t>
            </w:r>
          </w:p>
          <w:p>
            <w:pPr>
              <w:pStyle w:val="42"/>
              <w:widowControl w:val="0"/>
              <w:spacing w:before="0" w:beforeLines="0"/>
              <w:rPr>
                <w:rFonts w:ascii="Times New Roman" w:hAnsi="Times New Roman"/>
                <w:color w:val="auto"/>
                <w:u w:val="none"/>
              </w:rPr>
            </w:pPr>
            <w:r>
              <w:rPr>
                <w:rFonts w:ascii="Times New Roman" w:hAnsi="Times New Roman"/>
                <w:color w:val="auto"/>
                <w:u w:val="none"/>
              </w:rPr>
              <w:t>表4-6  燃气热水锅炉大气污染物产、排情况</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901"/>
              <w:gridCol w:w="2171"/>
              <w:gridCol w:w="1333"/>
              <w:gridCol w:w="2171"/>
              <w:gridCol w:w="13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8" w:type="pc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烟气量</w:t>
                  </w:r>
                </w:p>
                <w:p>
                  <w:pPr>
                    <w:pStyle w:val="62"/>
                    <w:widowControl w:val="0"/>
                    <w:rPr>
                      <w:rFonts w:ascii="Times New Roman" w:hAnsi="Times New Roman" w:cs="Times New Roman"/>
                      <w:sz w:val="21"/>
                      <w:szCs w:val="21"/>
                    </w:rPr>
                  </w:pPr>
                  <w:r>
                    <w:rPr>
                      <w:rFonts w:ascii="Times New Roman" w:hAnsi="Times New Roman" w:cs="Times New Roman"/>
                      <w:sz w:val="21"/>
                      <w:szCs w:val="21"/>
                    </w:rPr>
                    <w:t>Nm</w:t>
                  </w:r>
                  <w:r>
                    <w:rPr>
                      <w:rFonts w:ascii="Times New Roman" w:hAnsi="Times New Roman" w:cs="Times New Roman"/>
                      <w:sz w:val="21"/>
                      <w:szCs w:val="21"/>
                      <w:vertAlign w:val="superscript"/>
                    </w:rPr>
                    <w:t>3</w:t>
                  </w:r>
                  <w:r>
                    <w:rPr>
                      <w:rFonts w:ascii="Times New Roman" w:hAnsi="Times New Roman" w:cs="Times New Roman"/>
                      <w:sz w:val="21"/>
                      <w:szCs w:val="21"/>
                    </w:rPr>
                    <w:t>/a</w:t>
                  </w:r>
                </w:p>
              </w:tc>
              <w:tc>
                <w:tcPr>
                  <w:tcW w:w="505" w:type="pc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污染物</w:t>
                  </w:r>
                </w:p>
              </w:tc>
              <w:tc>
                <w:tcPr>
                  <w:tcW w:w="1963" w:type="pct"/>
                  <w:gridSpan w:val="2"/>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产生情况</w:t>
                  </w:r>
                </w:p>
              </w:tc>
              <w:tc>
                <w:tcPr>
                  <w:tcW w:w="1963" w:type="pct"/>
                  <w:gridSpan w:val="2"/>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8"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5281889</w:t>
                  </w:r>
                </w:p>
              </w:tc>
              <w:tc>
                <w:tcPr>
                  <w:tcW w:w="505"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颗粒物</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产生量（t/a）</w:t>
                  </w:r>
                </w:p>
              </w:tc>
              <w:tc>
                <w:tcPr>
                  <w:tcW w:w="747" w:type="pct"/>
                  <w:vAlign w:val="center"/>
                </w:tcPr>
                <w:p>
                  <w:pPr>
                    <w:jc w:val="center"/>
                    <w:textAlignment w:val="center"/>
                    <w:rPr>
                      <w:szCs w:val="21"/>
                    </w:rPr>
                  </w:pPr>
                  <w:r>
                    <w:rPr>
                      <w:rFonts w:eastAsia="等线"/>
                      <w:color w:val="000000"/>
                      <w:szCs w:val="21"/>
                    </w:rPr>
                    <w:t>1.4190E-03</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排放量（t/a）</w:t>
                  </w:r>
                </w:p>
              </w:tc>
              <w:tc>
                <w:tcPr>
                  <w:tcW w:w="747" w:type="pct"/>
                  <w:vAlign w:val="center"/>
                </w:tcPr>
                <w:p>
                  <w:pPr>
                    <w:jc w:val="center"/>
                    <w:textAlignment w:val="center"/>
                    <w:rPr>
                      <w:szCs w:val="21"/>
                    </w:rPr>
                  </w:pPr>
                  <w:r>
                    <w:rPr>
                      <w:rFonts w:eastAsia="等线"/>
                      <w:color w:val="000000"/>
                      <w:szCs w:val="21"/>
                    </w:rPr>
                    <w:t>1.4190E-03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pPr>
                    <w:pStyle w:val="62"/>
                    <w:widowControl w:val="0"/>
                    <w:rPr>
                      <w:rFonts w:ascii="Times New Roman" w:hAnsi="Times New Roman" w:cs="Times New Roman"/>
                      <w:sz w:val="21"/>
                      <w:szCs w:val="21"/>
                    </w:rPr>
                  </w:pPr>
                </w:p>
              </w:tc>
              <w:tc>
                <w:tcPr>
                  <w:tcW w:w="505" w:type="pct"/>
                  <w:vMerge w:val="continue"/>
                  <w:vAlign w:val="center"/>
                </w:tcPr>
                <w:p>
                  <w:pPr>
                    <w:pStyle w:val="62"/>
                    <w:widowControl w:val="0"/>
                    <w:rPr>
                      <w:rFonts w:ascii="Times New Roman" w:hAnsi="Times New Roman" w:cs="Times New Roman"/>
                      <w:sz w:val="21"/>
                      <w:szCs w:val="21"/>
                    </w:rPr>
                  </w:pP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7" w:type="pct"/>
                  <w:vAlign w:val="center"/>
                </w:tcPr>
                <w:p>
                  <w:pPr>
                    <w:jc w:val="center"/>
                    <w:textAlignment w:val="center"/>
                    <w:rPr>
                      <w:szCs w:val="21"/>
                    </w:rPr>
                  </w:pPr>
                  <w:r>
                    <w:rPr>
                      <w:rFonts w:eastAsia="等线"/>
                      <w:color w:val="000000"/>
                      <w:szCs w:val="21"/>
                    </w:rPr>
                    <w:t>1.1972E+00</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7" w:type="pct"/>
                  <w:vAlign w:val="center"/>
                </w:tcPr>
                <w:p>
                  <w:pPr>
                    <w:jc w:val="center"/>
                    <w:textAlignment w:val="center"/>
                    <w:rPr>
                      <w:szCs w:val="21"/>
                    </w:rPr>
                  </w:pPr>
                  <w:r>
                    <w:rPr>
                      <w:rFonts w:eastAsia="等线"/>
                      <w:color w:val="000000"/>
                      <w:szCs w:val="21"/>
                    </w:rPr>
                    <w:t>1.1972E+00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pPr>
                    <w:pStyle w:val="62"/>
                    <w:widowControl w:val="0"/>
                    <w:rPr>
                      <w:rFonts w:ascii="Times New Roman" w:hAnsi="Times New Roman" w:cs="Times New Roman"/>
                      <w:sz w:val="21"/>
                      <w:szCs w:val="21"/>
                    </w:rPr>
                  </w:pPr>
                </w:p>
              </w:tc>
              <w:tc>
                <w:tcPr>
                  <w:tcW w:w="505" w:type="pct"/>
                  <w:vMerge w:val="continue"/>
                  <w:vAlign w:val="center"/>
                </w:tcPr>
                <w:p>
                  <w:pPr>
                    <w:pStyle w:val="62"/>
                    <w:widowControl w:val="0"/>
                    <w:rPr>
                      <w:rFonts w:ascii="Times New Roman" w:hAnsi="Times New Roman" w:cs="Times New Roman"/>
                      <w:sz w:val="21"/>
                      <w:szCs w:val="21"/>
                    </w:rPr>
                  </w:pPr>
                </w:p>
              </w:tc>
              <w:tc>
                <w:tcPr>
                  <w:tcW w:w="1216" w:type="pct"/>
                  <w:vAlign w:val="center"/>
                </w:tcPr>
                <w:p>
                  <w:pPr>
                    <w:jc w:val="center"/>
                    <w:textAlignment w:val="center"/>
                    <w:rPr>
                      <w:szCs w:val="21"/>
                    </w:rPr>
                  </w:pPr>
                  <w:r>
                    <w:rPr>
                      <w:szCs w:val="21"/>
                    </w:rPr>
                    <w:t>产生速率（kg/h）</w:t>
                  </w:r>
                </w:p>
              </w:tc>
              <w:tc>
                <w:tcPr>
                  <w:tcW w:w="747" w:type="pct"/>
                  <w:vAlign w:val="center"/>
                </w:tcPr>
                <w:p>
                  <w:pPr>
                    <w:jc w:val="center"/>
                    <w:textAlignment w:val="center"/>
                    <w:rPr>
                      <w:szCs w:val="21"/>
                    </w:rPr>
                  </w:pPr>
                  <w:r>
                    <w:rPr>
                      <w:rFonts w:eastAsia="等线"/>
                      <w:color w:val="000000"/>
                      <w:szCs w:val="21"/>
                    </w:rPr>
                    <w:t>6.5694E-04</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排放速率（kg/h）</w:t>
                  </w:r>
                </w:p>
              </w:tc>
              <w:tc>
                <w:tcPr>
                  <w:tcW w:w="747" w:type="pct"/>
                  <w:vAlign w:val="center"/>
                </w:tcPr>
                <w:p>
                  <w:pPr>
                    <w:jc w:val="center"/>
                    <w:textAlignment w:val="center"/>
                    <w:rPr>
                      <w:szCs w:val="21"/>
                    </w:rPr>
                  </w:pPr>
                  <w:r>
                    <w:rPr>
                      <w:rFonts w:eastAsia="等线"/>
                      <w:color w:val="000000"/>
                      <w:szCs w:val="21"/>
                    </w:rPr>
                    <w:t>6.5694E-04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pPr>
                    <w:pStyle w:val="62"/>
                    <w:widowControl w:val="0"/>
                    <w:rPr>
                      <w:rFonts w:ascii="Times New Roman" w:hAnsi="Times New Roman" w:cs="Times New Roman"/>
                      <w:sz w:val="21"/>
                      <w:szCs w:val="21"/>
                    </w:rPr>
                  </w:pPr>
                </w:p>
              </w:tc>
              <w:tc>
                <w:tcPr>
                  <w:tcW w:w="505"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产生量（t/a）</w:t>
                  </w:r>
                </w:p>
              </w:tc>
              <w:tc>
                <w:tcPr>
                  <w:tcW w:w="747" w:type="pct"/>
                  <w:vAlign w:val="center"/>
                </w:tcPr>
                <w:p>
                  <w:pPr>
                    <w:jc w:val="center"/>
                    <w:textAlignment w:val="center"/>
                    <w:rPr>
                      <w:szCs w:val="21"/>
                    </w:rPr>
                  </w:pPr>
                  <w:r>
                    <w:rPr>
                      <w:rFonts w:eastAsia="等线"/>
                      <w:color w:val="000000"/>
                      <w:szCs w:val="21"/>
                    </w:rPr>
                    <w:t>2.2000E-05</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排放量（t/a）</w:t>
                  </w:r>
                </w:p>
              </w:tc>
              <w:tc>
                <w:tcPr>
                  <w:tcW w:w="747" w:type="pct"/>
                  <w:vAlign w:val="center"/>
                </w:tcPr>
                <w:p>
                  <w:pPr>
                    <w:jc w:val="center"/>
                    <w:textAlignment w:val="center"/>
                    <w:rPr>
                      <w:szCs w:val="21"/>
                    </w:rPr>
                  </w:pPr>
                  <w:r>
                    <w:rPr>
                      <w:rFonts w:eastAsia="等线"/>
                      <w:color w:val="000000"/>
                      <w:szCs w:val="21"/>
                    </w:rPr>
                    <w:t>2.2000E-05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pPr>
                    <w:pStyle w:val="62"/>
                    <w:widowControl w:val="0"/>
                    <w:rPr>
                      <w:rFonts w:ascii="Times New Roman" w:hAnsi="Times New Roman" w:cs="Times New Roman"/>
                      <w:sz w:val="21"/>
                      <w:szCs w:val="21"/>
                    </w:rPr>
                  </w:pPr>
                </w:p>
              </w:tc>
              <w:tc>
                <w:tcPr>
                  <w:tcW w:w="505" w:type="pct"/>
                  <w:vMerge w:val="continue"/>
                  <w:vAlign w:val="center"/>
                </w:tcPr>
                <w:p>
                  <w:pPr>
                    <w:pStyle w:val="62"/>
                    <w:widowControl w:val="0"/>
                    <w:rPr>
                      <w:rFonts w:ascii="Times New Roman" w:hAnsi="Times New Roman" w:cs="Times New Roman"/>
                      <w:sz w:val="21"/>
                      <w:szCs w:val="21"/>
                    </w:rPr>
                  </w:pP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7" w:type="pct"/>
                  <w:vAlign w:val="center"/>
                </w:tcPr>
                <w:p>
                  <w:pPr>
                    <w:jc w:val="center"/>
                    <w:textAlignment w:val="center"/>
                    <w:rPr>
                      <w:szCs w:val="21"/>
                    </w:rPr>
                  </w:pPr>
                  <w:r>
                    <w:rPr>
                      <w:rFonts w:eastAsia="等线"/>
                      <w:color w:val="000000"/>
                      <w:szCs w:val="21"/>
                    </w:rPr>
                    <w:t>1.8561E-02</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7" w:type="pct"/>
                  <w:vAlign w:val="center"/>
                </w:tcPr>
                <w:p>
                  <w:pPr>
                    <w:jc w:val="center"/>
                    <w:textAlignment w:val="center"/>
                    <w:rPr>
                      <w:szCs w:val="21"/>
                    </w:rPr>
                  </w:pPr>
                  <w:r>
                    <w:rPr>
                      <w:rFonts w:eastAsia="等线"/>
                      <w:color w:val="000000"/>
                      <w:szCs w:val="21"/>
                    </w:rPr>
                    <w:t>1.8561E-02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pPr>
                    <w:pStyle w:val="62"/>
                    <w:widowControl w:val="0"/>
                    <w:rPr>
                      <w:rFonts w:ascii="Times New Roman" w:hAnsi="Times New Roman" w:cs="Times New Roman"/>
                      <w:sz w:val="21"/>
                      <w:szCs w:val="21"/>
                    </w:rPr>
                  </w:pPr>
                </w:p>
              </w:tc>
              <w:tc>
                <w:tcPr>
                  <w:tcW w:w="505" w:type="pct"/>
                  <w:vMerge w:val="continue"/>
                  <w:vAlign w:val="center"/>
                </w:tcPr>
                <w:p>
                  <w:pPr>
                    <w:pStyle w:val="62"/>
                    <w:widowControl w:val="0"/>
                    <w:rPr>
                      <w:rFonts w:ascii="Times New Roman" w:hAnsi="Times New Roman" w:cs="Times New Roman"/>
                      <w:sz w:val="21"/>
                      <w:szCs w:val="21"/>
                    </w:rPr>
                  </w:pPr>
                </w:p>
              </w:tc>
              <w:tc>
                <w:tcPr>
                  <w:tcW w:w="1216" w:type="pct"/>
                  <w:vAlign w:val="center"/>
                </w:tcPr>
                <w:p>
                  <w:pPr>
                    <w:jc w:val="center"/>
                    <w:textAlignment w:val="center"/>
                    <w:rPr>
                      <w:szCs w:val="21"/>
                    </w:rPr>
                  </w:pPr>
                  <w:r>
                    <w:rPr>
                      <w:szCs w:val="21"/>
                    </w:rPr>
                    <w:t>产生速率（kg/h）</w:t>
                  </w:r>
                </w:p>
              </w:tc>
              <w:tc>
                <w:tcPr>
                  <w:tcW w:w="747" w:type="pct"/>
                  <w:vAlign w:val="center"/>
                </w:tcPr>
                <w:p>
                  <w:pPr>
                    <w:jc w:val="center"/>
                    <w:textAlignment w:val="center"/>
                    <w:rPr>
                      <w:szCs w:val="21"/>
                    </w:rPr>
                  </w:pPr>
                  <w:r>
                    <w:rPr>
                      <w:rFonts w:eastAsia="等线"/>
                      <w:color w:val="000000"/>
                      <w:szCs w:val="21"/>
                    </w:rPr>
                    <w:t>1.0185E-05</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排放速率（kg/h）</w:t>
                  </w:r>
                </w:p>
              </w:tc>
              <w:tc>
                <w:tcPr>
                  <w:tcW w:w="747" w:type="pct"/>
                  <w:vAlign w:val="center"/>
                </w:tcPr>
                <w:p>
                  <w:pPr>
                    <w:jc w:val="center"/>
                    <w:textAlignment w:val="center"/>
                    <w:rPr>
                      <w:szCs w:val="21"/>
                    </w:rPr>
                  </w:pPr>
                  <w:r>
                    <w:rPr>
                      <w:rFonts w:eastAsia="等线"/>
                      <w:color w:val="000000"/>
                      <w:szCs w:val="21"/>
                    </w:rPr>
                    <w:t>1.0185E-05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68" w:type="pct"/>
                  <w:vMerge w:val="continue"/>
                  <w:vAlign w:val="center"/>
                </w:tcPr>
                <w:p>
                  <w:pPr>
                    <w:pStyle w:val="62"/>
                    <w:widowControl w:val="0"/>
                    <w:rPr>
                      <w:rFonts w:ascii="Times New Roman" w:hAnsi="Times New Roman" w:cs="Times New Roman"/>
                      <w:sz w:val="21"/>
                      <w:szCs w:val="21"/>
                    </w:rPr>
                  </w:pPr>
                </w:p>
              </w:tc>
              <w:tc>
                <w:tcPr>
                  <w:tcW w:w="505"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NO</w:t>
                  </w:r>
                  <w:r>
                    <w:rPr>
                      <w:rFonts w:ascii="Times New Roman" w:hAnsi="Times New Roman" w:cs="Times New Roman"/>
                      <w:sz w:val="21"/>
                      <w:szCs w:val="21"/>
                      <w:vertAlign w:val="subscript"/>
                    </w:rPr>
                    <w:t>X</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产生量（t/a）</w:t>
                  </w:r>
                </w:p>
              </w:tc>
              <w:tc>
                <w:tcPr>
                  <w:tcW w:w="747" w:type="pct"/>
                  <w:vAlign w:val="center"/>
                </w:tcPr>
                <w:p>
                  <w:pPr>
                    <w:jc w:val="center"/>
                    <w:textAlignment w:val="center"/>
                    <w:rPr>
                      <w:szCs w:val="21"/>
                    </w:rPr>
                  </w:pPr>
                  <w:r>
                    <w:rPr>
                      <w:rFonts w:eastAsia="等线"/>
                      <w:color w:val="000000"/>
                      <w:szCs w:val="21"/>
                    </w:rPr>
                    <w:t>1.7457E-01</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排放量（t/a）</w:t>
                  </w:r>
                </w:p>
              </w:tc>
              <w:tc>
                <w:tcPr>
                  <w:tcW w:w="747" w:type="pct"/>
                  <w:vAlign w:val="center"/>
                </w:tcPr>
                <w:p>
                  <w:pPr>
                    <w:jc w:val="center"/>
                    <w:textAlignment w:val="center"/>
                    <w:rPr>
                      <w:szCs w:val="21"/>
                    </w:rPr>
                  </w:pPr>
                  <w:r>
                    <w:rPr>
                      <w:rFonts w:eastAsia="等线"/>
                      <w:color w:val="000000"/>
                      <w:szCs w:val="21"/>
                    </w:rPr>
                    <w:t>1.7457E-01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68" w:type="pct"/>
                  <w:vMerge w:val="continue"/>
                  <w:vAlign w:val="center"/>
                </w:tcPr>
                <w:p>
                  <w:pPr>
                    <w:pStyle w:val="62"/>
                    <w:widowControl w:val="0"/>
                    <w:rPr>
                      <w:rFonts w:ascii="Times New Roman" w:hAnsi="Times New Roman" w:cs="Times New Roman"/>
                      <w:sz w:val="21"/>
                      <w:szCs w:val="21"/>
                    </w:rPr>
                  </w:pPr>
                </w:p>
              </w:tc>
              <w:tc>
                <w:tcPr>
                  <w:tcW w:w="505" w:type="pct"/>
                  <w:vMerge w:val="continue"/>
                  <w:vAlign w:val="center"/>
                </w:tcPr>
                <w:p>
                  <w:pPr>
                    <w:pStyle w:val="62"/>
                    <w:widowControl w:val="0"/>
                    <w:rPr>
                      <w:rFonts w:ascii="Times New Roman" w:hAnsi="Times New Roman" w:cs="Times New Roman"/>
                      <w:sz w:val="21"/>
                      <w:szCs w:val="21"/>
                    </w:rPr>
                  </w:pP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7" w:type="pct"/>
                  <w:vAlign w:val="center"/>
                </w:tcPr>
                <w:p>
                  <w:pPr>
                    <w:jc w:val="center"/>
                    <w:textAlignment w:val="center"/>
                    <w:rPr>
                      <w:szCs w:val="21"/>
                    </w:rPr>
                  </w:pPr>
                  <w:r>
                    <w:rPr>
                      <w:rFonts w:eastAsia="等线"/>
                      <w:color w:val="000000"/>
                      <w:szCs w:val="21"/>
                    </w:rPr>
                    <w:t>1.4728E+02</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7" w:type="pct"/>
                  <w:vAlign w:val="center"/>
                </w:tcPr>
                <w:p>
                  <w:pPr>
                    <w:jc w:val="center"/>
                    <w:textAlignment w:val="center"/>
                    <w:rPr>
                      <w:szCs w:val="21"/>
                    </w:rPr>
                  </w:pPr>
                  <w:r>
                    <w:rPr>
                      <w:rFonts w:eastAsia="等线"/>
                      <w:color w:val="000000"/>
                      <w:szCs w:val="21"/>
                    </w:rPr>
                    <w:t>1.4728E+02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68" w:type="pct"/>
                  <w:vMerge w:val="continue"/>
                  <w:vAlign w:val="center"/>
                </w:tcPr>
                <w:p>
                  <w:pPr>
                    <w:pStyle w:val="62"/>
                    <w:widowControl w:val="0"/>
                    <w:rPr>
                      <w:rFonts w:ascii="Times New Roman" w:hAnsi="Times New Roman" w:cs="Times New Roman"/>
                      <w:sz w:val="21"/>
                      <w:szCs w:val="21"/>
                    </w:rPr>
                  </w:pPr>
                </w:p>
              </w:tc>
              <w:tc>
                <w:tcPr>
                  <w:tcW w:w="505" w:type="pct"/>
                  <w:vMerge w:val="continue"/>
                  <w:vAlign w:val="center"/>
                </w:tcPr>
                <w:p>
                  <w:pPr>
                    <w:pStyle w:val="62"/>
                    <w:widowControl w:val="0"/>
                    <w:rPr>
                      <w:rFonts w:ascii="Times New Roman" w:hAnsi="Times New Roman" w:cs="Times New Roman"/>
                      <w:sz w:val="21"/>
                      <w:szCs w:val="21"/>
                    </w:rPr>
                  </w:pPr>
                </w:p>
              </w:tc>
              <w:tc>
                <w:tcPr>
                  <w:tcW w:w="1216" w:type="pct"/>
                  <w:vAlign w:val="center"/>
                </w:tcPr>
                <w:p>
                  <w:pPr>
                    <w:jc w:val="center"/>
                    <w:textAlignment w:val="center"/>
                    <w:rPr>
                      <w:szCs w:val="21"/>
                    </w:rPr>
                  </w:pPr>
                  <w:r>
                    <w:rPr>
                      <w:szCs w:val="21"/>
                    </w:rPr>
                    <w:t>产生速率（kg/h）</w:t>
                  </w:r>
                </w:p>
              </w:tc>
              <w:tc>
                <w:tcPr>
                  <w:tcW w:w="747" w:type="pct"/>
                  <w:vAlign w:val="center"/>
                </w:tcPr>
                <w:p>
                  <w:pPr>
                    <w:jc w:val="center"/>
                    <w:textAlignment w:val="center"/>
                    <w:rPr>
                      <w:szCs w:val="21"/>
                    </w:rPr>
                  </w:pPr>
                  <w:r>
                    <w:rPr>
                      <w:rFonts w:eastAsia="等线"/>
                      <w:color w:val="000000"/>
                      <w:szCs w:val="21"/>
                    </w:rPr>
                    <w:t>8.0819E-02</w:t>
                  </w:r>
                </w:p>
              </w:tc>
              <w:tc>
                <w:tcPr>
                  <w:tcW w:w="1216"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排放速率（kg/h）</w:t>
                  </w:r>
                </w:p>
              </w:tc>
              <w:tc>
                <w:tcPr>
                  <w:tcW w:w="747" w:type="pct"/>
                  <w:vAlign w:val="center"/>
                </w:tcPr>
                <w:p>
                  <w:pPr>
                    <w:jc w:val="center"/>
                    <w:textAlignment w:val="center"/>
                    <w:rPr>
                      <w:szCs w:val="21"/>
                    </w:rPr>
                  </w:pPr>
                  <w:r>
                    <w:rPr>
                      <w:rFonts w:eastAsia="等线"/>
                      <w:color w:val="000000"/>
                      <w:szCs w:val="21"/>
                    </w:rPr>
                    <w:t>8.0819E-02</w:t>
                  </w:r>
                </w:p>
              </w:tc>
            </w:tr>
          </w:tbl>
          <w:p>
            <w:pPr>
              <w:pStyle w:val="46"/>
              <w:widowControl w:val="0"/>
              <w:ind w:firstLine="422"/>
              <w:rPr>
                <w:rFonts w:cs="Times New Roman"/>
                <w:b/>
              </w:rPr>
            </w:pPr>
            <w:r>
              <w:rPr>
                <w:rFonts w:cs="Times New Roman"/>
                <w:b/>
              </w:rPr>
              <w:t>1.1.2 燃气蒸汽锅炉</w:t>
            </w:r>
          </w:p>
          <w:p>
            <w:pPr>
              <w:pStyle w:val="46"/>
              <w:widowControl w:val="0"/>
              <w:ind w:firstLine="420"/>
              <w:rPr>
                <w:rFonts w:cs="Times New Roman"/>
                <w:b/>
                <w:sz w:val="18"/>
                <w:szCs w:val="18"/>
                <w:u w:val="single"/>
              </w:rPr>
            </w:pPr>
            <w:r>
              <w:rPr>
                <w:rFonts w:cs="Times New Roman"/>
                <w:bCs/>
              </w:rPr>
              <w:t>根据企业提供，本项目燃气蒸汽锅炉每年天然气使用量为2.5万m</w:t>
            </w:r>
            <w:r>
              <w:rPr>
                <w:rFonts w:cs="Times New Roman"/>
                <w:bCs/>
                <w:vertAlign w:val="superscript"/>
              </w:rPr>
              <w:t>3</w:t>
            </w:r>
            <w:r>
              <w:rPr>
                <w:rFonts w:cs="Times New Roman"/>
                <w:bCs/>
              </w:rPr>
              <w:t>，锅炉烟气通过1根密闭收集后直接通</w:t>
            </w:r>
            <w:r>
              <w:rPr>
                <w:rFonts w:cs="Times New Roman"/>
                <w:bCs/>
                <w:highlight w:val="yellow"/>
              </w:rPr>
              <w:t>过2根27m高排气筒（DA003、DA004）排</w:t>
            </w:r>
            <w:r>
              <w:rPr>
                <w:rFonts w:cs="Times New Roman"/>
                <w:bCs/>
              </w:rPr>
              <w:t>放，</w:t>
            </w:r>
            <w:r>
              <w:rPr>
                <w:rFonts w:cs="Times New Roman"/>
              </w:rPr>
              <w:t>锅炉大气污染物产生及排放情况详见下表。</w:t>
            </w:r>
          </w:p>
          <w:p>
            <w:pPr>
              <w:pStyle w:val="42"/>
              <w:widowControl w:val="0"/>
              <w:spacing w:before="0" w:beforeLines="0"/>
              <w:rPr>
                <w:rFonts w:ascii="Times New Roman" w:hAnsi="Times New Roman"/>
                <w:color w:val="auto"/>
                <w:u w:val="none"/>
              </w:rPr>
            </w:pPr>
            <w:r>
              <w:rPr>
                <w:rFonts w:ascii="Times New Roman" w:hAnsi="Times New Roman"/>
                <w:color w:val="auto"/>
                <w:u w:val="none"/>
              </w:rPr>
              <w:t>表4-7  燃气热水锅炉大气污染物产、排情况</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896"/>
              <w:gridCol w:w="2158"/>
              <w:gridCol w:w="1324"/>
              <w:gridCol w:w="2158"/>
              <w:gridCol w:w="13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96" w:type="pc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烟气量</w:t>
                  </w:r>
                </w:p>
                <w:p>
                  <w:pPr>
                    <w:pStyle w:val="62"/>
                    <w:widowControl w:val="0"/>
                    <w:rPr>
                      <w:rFonts w:ascii="Times New Roman" w:hAnsi="Times New Roman" w:cs="Times New Roman"/>
                      <w:sz w:val="21"/>
                      <w:szCs w:val="21"/>
                    </w:rPr>
                  </w:pPr>
                  <w:r>
                    <w:rPr>
                      <w:rFonts w:ascii="Times New Roman" w:hAnsi="Times New Roman" w:cs="Times New Roman"/>
                      <w:sz w:val="21"/>
                      <w:szCs w:val="21"/>
                    </w:rPr>
                    <w:t>Nm</w:t>
                  </w:r>
                  <w:r>
                    <w:rPr>
                      <w:rFonts w:ascii="Times New Roman" w:hAnsi="Times New Roman" w:cs="Times New Roman"/>
                      <w:sz w:val="21"/>
                      <w:szCs w:val="21"/>
                      <w:vertAlign w:val="superscript"/>
                    </w:rPr>
                    <w:t>3</w:t>
                  </w:r>
                  <w:r>
                    <w:rPr>
                      <w:rFonts w:ascii="Times New Roman" w:hAnsi="Times New Roman" w:cs="Times New Roman"/>
                      <w:sz w:val="21"/>
                      <w:szCs w:val="21"/>
                    </w:rPr>
                    <w:t>/a</w:t>
                  </w:r>
                </w:p>
              </w:tc>
              <w:tc>
                <w:tcPr>
                  <w:tcW w:w="502" w:type="pc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污染物</w:t>
                  </w:r>
                </w:p>
              </w:tc>
              <w:tc>
                <w:tcPr>
                  <w:tcW w:w="1951" w:type="pct"/>
                  <w:gridSpan w:val="2"/>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产生情况</w:t>
                  </w:r>
                </w:p>
              </w:tc>
              <w:tc>
                <w:tcPr>
                  <w:tcW w:w="1951" w:type="pct"/>
                  <w:gridSpan w:val="2"/>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6"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269382.5</w:t>
                  </w:r>
                </w:p>
              </w:tc>
              <w:tc>
                <w:tcPr>
                  <w:tcW w:w="502"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颗粒物</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产生量（t/a）</w:t>
                  </w:r>
                </w:p>
              </w:tc>
              <w:tc>
                <w:tcPr>
                  <w:tcW w:w="742" w:type="pct"/>
                  <w:vAlign w:val="center"/>
                </w:tcPr>
                <w:p>
                  <w:pPr>
                    <w:jc w:val="center"/>
                    <w:textAlignment w:val="center"/>
                    <w:rPr>
                      <w:szCs w:val="21"/>
                    </w:rPr>
                  </w:pPr>
                  <w:r>
                    <w:rPr>
                      <w:rFonts w:eastAsia="等线"/>
                      <w:color w:val="000000"/>
                      <w:szCs w:val="21"/>
                    </w:rPr>
                    <w:t>3.2250E-04</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排放量（t/a）</w:t>
                  </w:r>
                </w:p>
              </w:tc>
              <w:tc>
                <w:tcPr>
                  <w:tcW w:w="742" w:type="pct"/>
                  <w:vAlign w:val="center"/>
                </w:tcPr>
                <w:p>
                  <w:pPr>
                    <w:jc w:val="center"/>
                    <w:textAlignment w:val="center"/>
                    <w:rPr>
                      <w:szCs w:val="21"/>
                    </w:rPr>
                  </w:pPr>
                  <w:r>
                    <w:rPr>
                      <w:rFonts w:eastAsia="等线"/>
                      <w:color w:val="000000"/>
                      <w:szCs w:val="21"/>
                    </w:rPr>
                    <w:t>3.2250E-04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center"/>
                </w:tcPr>
                <w:p>
                  <w:pPr>
                    <w:pStyle w:val="62"/>
                    <w:widowControl w:val="0"/>
                    <w:rPr>
                      <w:rFonts w:ascii="Times New Roman" w:hAnsi="Times New Roman" w:cs="Times New Roman"/>
                      <w:sz w:val="21"/>
                      <w:szCs w:val="21"/>
                    </w:rPr>
                  </w:pPr>
                </w:p>
              </w:tc>
              <w:tc>
                <w:tcPr>
                  <w:tcW w:w="502" w:type="pct"/>
                  <w:vMerge w:val="continue"/>
                  <w:vAlign w:val="center"/>
                </w:tcPr>
                <w:p>
                  <w:pPr>
                    <w:pStyle w:val="62"/>
                    <w:widowControl w:val="0"/>
                    <w:rPr>
                      <w:rFonts w:ascii="Times New Roman" w:hAnsi="Times New Roman" w:cs="Times New Roman"/>
                      <w:sz w:val="21"/>
                      <w:szCs w:val="21"/>
                    </w:rPr>
                  </w:pP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2" w:type="pct"/>
                  <w:vAlign w:val="center"/>
                </w:tcPr>
                <w:p>
                  <w:pPr>
                    <w:jc w:val="center"/>
                    <w:textAlignment w:val="center"/>
                    <w:rPr>
                      <w:szCs w:val="21"/>
                    </w:rPr>
                  </w:pPr>
                  <w:r>
                    <w:rPr>
                      <w:rFonts w:eastAsia="等线"/>
                      <w:color w:val="000000"/>
                      <w:szCs w:val="21"/>
                    </w:rPr>
                    <w:t>1.1972E+00</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2" w:type="pct"/>
                  <w:vAlign w:val="center"/>
                </w:tcPr>
                <w:p>
                  <w:pPr>
                    <w:jc w:val="center"/>
                    <w:textAlignment w:val="center"/>
                    <w:rPr>
                      <w:szCs w:val="21"/>
                    </w:rPr>
                  </w:pPr>
                  <w:r>
                    <w:rPr>
                      <w:rFonts w:eastAsia="等线"/>
                      <w:color w:val="000000"/>
                      <w:szCs w:val="21"/>
                    </w:rPr>
                    <w:t>1.1972E+00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center"/>
                </w:tcPr>
                <w:p>
                  <w:pPr>
                    <w:pStyle w:val="62"/>
                    <w:widowControl w:val="0"/>
                    <w:rPr>
                      <w:rFonts w:ascii="Times New Roman" w:hAnsi="Times New Roman" w:cs="Times New Roman"/>
                      <w:sz w:val="21"/>
                      <w:szCs w:val="21"/>
                    </w:rPr>
                  </w:pPr>
                </w:p>
              </w:tc>
              <w:tc>
                <w:tcPr>
                  <w:tcW w:w="502" w:type="pct"/>
                  <w:vMerge w:val="continue"/>
                  <w:vAlign w:val="center"/>
                </w:tcPr>
                <w:p>
                  <w:pPr>
                    <w:pStyle w:val="62"/>
                    <w:widowControl w:val="0"/>
                    <w:rPr>
                      <w:rFonts w:ascii="Times New Roman" w:hAnsi="Times New Roman" w:cs="Times New Roman"/>
                      <w:sz w:val="21"/>
                      <w:szCs w:val="21"/>
                    </w:rPr>
                  </w:pPr>
                </w:p>
              </w:tc>
              <w:tc>
                <w:tcPr>
                  <w:tcW w:w="1209" w:type="pct"/>
                  <w:vAlign w:val="center"/>
                </w:tcPr>
                <w:p>
                  <w:pPr>
                    <w:jc w:val="center"/>
                    <w:textAlignment w:val="center"/>
                    <w:rPr>
                      <w:szCs w:val="21"/>
                    </w:rPr>
                  </w:pPr>
                  <w:r>
                    <w:rPr>
                      <w:szCs w:val="21"/>
                    </w:rPr>
                    <w:t>产生速率（kg/h）</w:t>
                  </w:r>
                </w:p>
              </w:tc>
              <w:tc>
                <w:tcPr>
                  <w:tcW w:w="742" w:type="pct"/>
                  <w:vAlign w:val="center"/>
                </w:tcPr>
                <w:p>
                  <w:pPr>
                    <w:jc w:val="center"/>
                    <w:textAlignment w:val="center"/>
                    <w:rPr>
                      <w:szCs w:val="21"/>
                    </w:rPr>
                  </w:pPr>
                  <w:r>
                    <w:rPr>
                      <w:rFonts w:eastAsia="等线"/>
                      <w:color w:val="000000"/>
                      <w:szCs w:val="21"/>
                    </w:rPr>
                    <w:t>4.4792E-05</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排放速率（kg/h）</w:t>
                  </w:r>
                </w:p>
              </w:tc>
              <w:tc>
                <w:tcPr>
                  <w:tcW w:w="742" w:type="pct"/>
                  <w:vAlign w:val="center"/>
                </w:tcPr>
                <w:p>
                  <w:pPr>
                    <w:jc w:val="center"/>
                    <w:textAlignment w:val="center"/>
                    <w:rPr>
                      <w:szCs w:val="21"/>
                    </w:rPr>
                  </w:pPr>
                  <w:r>
                    <w:rPr>
                      <w:rFonts w:eastAsia="等线"/>
                      <w:color w:val="000000"/>
                      <w:szCs w:val="21"/>
                    </w:rPr>
                    <w:t>4.4792E-05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center"/>
                </w:tcPr>
                <w:p>
                  <w:pPr>
                    <w:pStyle w:val="62"/>
                    <w:widowControl w:val="0"/>
                    <w:rPr>
                      <w:rFonts w:ascii="Times New Roman" w:hAnsi="Times New Roman" w:cs="Times New Roman"/>
                      <w:sz w:val="21"/>
                      <w:szCs w:val="21"/>
                    </w:rPr>
                  </w:pPr>
                </w:p>
              </w:tc>
              <w:tc>
                <w:tcPr>
                  <w:tcW w:w="502"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产生量（t/a）</w:t>
                  </w:r>
                </w:p>
              </w:tc>
              <w:tc>
                <w:tcPr>
                  <w:tcW w:w="742" w:type="pct"/>
                  <w:vAlign w:val="center"/>
                </w:tcPr>
                <w:p>
                  <w:pPr>
                    <w:jc w:val="center"/>
                    <w:textAlignment w:val="center"/>
                    <w:rPr>
                      <w:szCs w:val="21"/>
                    </w:rPr>
                  </w:pPr>
                  <w:r>
                    <w:rPr>
                      <w:rFonts w:eastAsia="等线"/>
                      <w:color w:val="000000"/>
                      <w:szCs w:val="21"/>
                    </w:rPr>
                    <w:t>5.0000E-06</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排放量（t/a）</w:t>
                  </w:r>
                </w:p>
              </w:tc>
              <w:tc>
                <w:tcPr>
                  <w:tcW w:w="742" w:type="pct"/>
                  <w:vAlign w:val="center"/>
                </w:tcPr>
                <w:p>
                  <w:pPr>
                    <w:jc w:val="center"/>
                    <w:textAlignment w:val="center"/>
                    <w:rPr>
                      <w:szCs w:val="21"/>
                    </w:rPr>
                  </w:pPr>
                  <w:r>
                    <w:rPr>
                      <w:rFonts w:eastAsia="等线"/>
                      <w:color w:val="000000"/>
                      <w:szCs w:val="21"/>
                    </w:rPr>
                    <w:t>5.0000E-06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center"/>
                </w:tcPr>
                <w:p>
                  <w:pPr>
                    <w:pStyle w:val="62"/>
                    <w:widowControl w:val="0"/>
                    <w:rPr>
                      <w:rFonts w:ascii="Times New Roman" w:hAnsi="Times New Roman" w:cs="Times New Roman"/>
                      <w:sz w:val="21"/>
                      <w:szCs w:val="21"/>
                    </w:rPr>
                  </w:pPr>
                </w:p>
              </w:tc>
              <w:tc>
                <w:tcPr>
                  <w:tcW w:w="502" w:type="pct"/>
                  <w:vMerge w:val="continue"/>
                  <w:vAlign w:val="center"/>
                </w:tcPr>
                <w:p>
                  <w:pPr>
                    <w:pStyle w:val="62"/>
                    <w:widowControl w:val="0"/>
                    <w:rPr>
                      <w:rFonts w:ascii="Times New Roman" w:hAnsi="Times New Roman" w:cs="Times New Roman"/>
                      <w:sz w:val="21"/>
                      <w:szCs w:val="21"/>
                    </w:rPr>
                  </w:pP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2" w:type="pct"/>
                  <w:vAlign w:val="center"/>
                </w:tcPr>
                <w:p>
                  <w:pPr>
                    <w:jc w:val="center"/>
                    <w:textAlignment w:val="center"/>
                    <w:rPr>
                      <w:szCs w:val="21"/>
                    </w:rPr>
                  </w:pPr>
                  <w:r>
                    <w:rPr>
                      <w:rFonts w:eastAsia="等线"/>
                      <w:color w:val="000000"/>
                      <w:szCs w:val="21"/>
                    </w:rPr>
                    <w:t>1.8561E-02</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2" w:type="pct"/>
                  <w:vAlign w:val="center"/>
                </w:tcPr>
                <w:p>
                  <w:pPr>
                    <w:jc w:val="center"/>
                    <w:textAlignment w:val="center"/>
                    <w:rPr>
                      <w:szCs w:val="21"/>
                    </w:rPr>
                  </w:pPr>
                  <w:r>
                    <w:rPr>
                      <w:rFonts w:eastAsia="等线"/>
                      <w:color w:val="000000"/>
                      <w:szCs w:val="21"/>
                    </w:rPr>
                    <w:t>1.8561E-02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center"/>
                </w:tcPr>
                <w:p>
                  <w:pPr>
                    <w:pStyle w:val="62"/>
                    <w:widowControl w:val="0"/>
                    <w:rPr>
                      <w:rFonts w:ascii="Times New Roman" w:hAnsi="Times New Roman" w:cs="Times New Roman"/>
                      <w:sz w:val="21"/>
                      <w:szCs w:val="21"/>
                    </w:rPr>
                  </w:pPr>
                </w:p>
              </w:tc>
              <w:tc>
                <w:tcPr>
                  <w:tcW w:w="502" w:type="pct"/>
                  <w:vMerge w:val="continue"/>
                  <w:vAlign w:val="center"/>
                </w:tcPr>
                <w:p>
                  <w:pPr>
                    <w:pStyle w:val="62"/>
                    <w:widowControl w:val="0"/>
                    <w:rPr>
                      <w:rFonts w:ascii="Times New Roman" w:hAnsi="Times New Roman" w:cs="Times New Roman"/>
                      <w:sz w:val="21"/>
                      <w:szCs w:val="21"/>
                    </w:rPr>
                  </w:pPr>
                </w:p>
              </w:tc>
              <w:tc>
                <w:tcPr>
                  <w:tcW w:w="1209" w:type="pct"/>
                  <w:vAlign w:val="center"/>
                </w:tcPr>
                <w:p>
                  <w:pPr>
                    <w:jc w:val="center"/>
                    <w:textAlignment w:val="center"/>
                    <w:rPr>
                      <w:szCs w:val="21"/>
                    </w:rPr>
                  </w:pPr>
                  <w:r>
                    <w:rPr>
                      <w:szCs w:val="21"/>
                    </w:rPr>
                    <w:t>产生速率（kg/h）</w:t>
                  </w:r>
                </w:p>
              </w:tc>
              <w:tc>
                <w:tcPr>
                  <w:tcW w:w="742" w:type="pct"/>
                  <w:vAlign w:val="center"/>
                </w:tcPr>
                <w:p>
                  <w:pPr>
                    <w:jc w:val="center"/>
                    <w:textAlignment w:val="center"/>
                    <w:rPr>
                      <w:szCs w:val="21"/>
                    </w:rPr>
                  </w:pPr>
                  <w:r>
                    <w:rPr>
                      <w:rFonts w:eastAsia="等线"/>
                      <w:color w:val="000000"/>
                      <w:szCs w:val="21"/>
                    </w:rPr>
                    <w:t>6.9444E-07</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排放速率（kg/h）</w:t>
                  </w:r>
                </w:p>
              </w:tc>
              <w:tc>
                <w:tcPr>
                  <w:tcW w:w="742" w:type="pct"/>
                  <w:vAlign w:val="center"/>
                </w:tcPr>
                <w:p>
                  <w:pPr>
                    <w:jc w:val="center"/>
                    <w:textAlignment w:val="center"/>
                    <w:rPr>
                      <w:szCs w:val="21"/>
                    </w:rPr>
                  </w:pPr>
                  <w:r>
                    <w:rPr>
                      <w:rFonts w:eastAsia="等线"/>
                      <w:color w:val="000000"/>
                      <w:szCs w:val="21"/>
                    </w:rPr>
                    <w:t>6.9444E-07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96" w:type="pct"/>
                  <w:vMerge w:val="continue"/>
                  <w:vAlign w:val="center"/>
                </w:tcPr>
                <w:p>
                  <w:pPr>
                    <w:pStyle w:val="62"/>
                    <w:widowControl w:val="0"/>
                    <w:rPr>
                      <w:rFonts w:ascii="Times New Roman" w:hAnsi="Times New Roman" w:cs="Times New Roman"/>
                      <w:sz w:val="21"/>
                      <w:szCs w:val="21"/>
                    </w:rPr>
                  </w:pPr>
                </w:p>
              </w:tc>
              <w:tc>
                <w:tcPr>
                  <w:tcW w:w="502" w:type="pct"/>
                  <w:vMerge w:val="restart"/>
                  <w:vAlign w:val="center"/>
                </w:tcPr>
                <w:p>
                  <w:pPr>
                    <w:pStyle w:val="62"/>
                    <w:widowControl w:val="0"/>
                    <w:rPr>
                      <w:rFonts w:ascii="Times New Roman" w:hAnsi="Times New Roman" w:cs="Times New Roman"/>
                      <w:sz w:val="21"/>
                      <w:szCs w:val="21"/>
                    </w:rPr>
                  </w:pPr>
                  <w:r>
                    <w:rPr>
                      <w:rFonts w:ascii="Times New Roman" w:hAnsi="Times New Roman" w:cs="Times New Roman"/>
                      <w:sz w:val="21"/>
                      <w:szCs w:val="21"/>
                    </w:rPr>
                    <w:t>NO</w:t>
                  </w:r>
                  <w:r>
                    <w:rPr>
                      <w:rFonts w:ascii="Times New Roman" w:hAnsi="Times New Roman" w:cs="Times New Roman"/>
                      <w:sz w:val="21"/>
                      <w:szCs w:val="21"/>
                      <w:vertAlign w:val="subscript"/>
                    </w:rPr>
                    <w:t>X</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产生量（t/a）</w:t>
                  </w:r>
                </w:p>
              </w:tc>
              <w:tc>
                <w:tcPr>
                  <w:tcW w:w="742" w:type="pct"/>
                  <w:vAlign w:val="center"/>
                </w:tcPr>
                <w:p>
                  <w:pPr>
                    <w:jc w:val="center"/>
                    <w:textAlignment w:val="center"/>
                    <w:rPr>
                      <w:szCs w:val="21"/>
                    </w:rPr>
                  </w:pPr>
                  <w:r>
                    <w:rPr>
                      <w:rFonts w:eastAsia="等线"/>
                      <w:color w:val="000000"/>
                      <w:szCs w:val="21"/>
                    </w:rPr>
                    <w:t>3.9675E-02</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排放量（t/a）</w:t>
                  </w:r>
                </w:p>
              </w:tc>
              <w:tc>
                <w:tcPr>
                  <w:tcW w:w="742" w:type="pct"/>
                  <w:vAlign w:val="center"/>
                </w:tcPr>
                <w:p>
                  <w:pPr>
                    <w:jc w:val="center"/>
                    <w:textAlignment w:val="center"/>
                    <w:rPr>
                      <w:szCs w:val="21"/>
                    </w:rPr>
                  </w:pPr>
                  <w:r>
                    <w:rPr>
                      <w:rFonts w:eastAsia="等线"/>
                      <w:color w:val="000000"/>
                      <w:szCs w:val="21"/>
                    </w:rPr>
                    <w:t>3.9675E-02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96" w:type="pct"/>
                  <w:vMerge w:val="continue"/>
                  <w:vAlign w:val="center"/>
                </w:tcPr>
                <w:p>
                  <w:pPr>
                    <w:pStyle w:val="62"/>
                    <w:widowControl w:val="0"/>
                    <w:rPr>
                      <w:rFonts w:ascii="Times New Roman" w:hAnsi="Times New Roman" w:cs="Times New Roman"/>
                      <w:sz w:val="21"/>
                      <w:szCs w:val="21"/>
                    </w:rPr>
                  </w:pPr>
                </w:p>
              </w:tc>
              <w:tc>
                <w:tcPr>
                  <w:tcW w:w="502" w:type="pct"/>
                  <w:vMerge w:val="continue"/>
                  <w:vAlign w:val="center"/>
                </w:tcPr>
                <w:p>
                  <w:pPr>
                    <w:pStyle w:val="62"/>
                    <w:widowControl w:val="0"/>
                    <w:rPr>
                      <w:rFonts w:ascii="Times New Roman" w:hAnsi="Times New Roman" w:cs="Times New Roman"/>
                      <w:sz w:val="21"/>
                      <w:szCs w:val="21"/>
                    </w:rPr>
                  </w:pP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产生浓度（mg/m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2" w:type="pct"/>
                  <w:vAlign w:val="center"/>
                </w:tcPr>
                <w:p>
                  <w:pPr>
                    <w:jc w:val="center"/>
                    <w:textAlignment w:val="center"/>
                    <w:rPr>
                      <w:szCs w:val="21"/>
                    </w:rPr>
                  </w:pPr>
                  <w:r>
                    <w:rPr>
                      <w:rFonts w:eastAsia="等线"/>
                      <w:color w:val="000000"/>
                      <w:szCs w:val="21"/>
                    </w:rPr>
                    <w:t>1.4728E+02</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排放浓度（mg/m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42" w:type="pct"/>
                  <w:vAlign w:val="center"/>
                </w:tcPr>
                <w:p>
                  <w:pPr>
                    <w:jc w:val="center"/>
                    <w:textAlignment w:val="center"/>
                    <w:rPr>
                      <w:szCs w:val="21"/>
                    </w:rPr>
                  </w:pPr>
                  <w:r>
                    <w:rPr>
                      <w:rFonts w:eastAsia="等线"/>
                      <w:color w:val="000000"/>
                      <w:szCs w:val="21"/>
                    </w:rPr>
                    <w:t>1.4728E+02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96" w:type="pct"/>
                  <w:vMerge w:val="continue"/>
                  <w:vAlign w:val="center"/>
                </w:tcPr>
                <w:p>
                  <w:pPr>
                    <w:pStyle w:val="62"/>
                    <w:widowControl w:val="0"/>
                    <w:rPr>
                      <w:rFonts w:ascii="Times New Roman" w:hAnsi="Times New Roman" w:cs="Times New Roman"/>
                      <w:sz w:val="21"/>
                      <w:szCs w:val="21"/>
                    </w:rPr>
                  </w:pPr>
                </w:p>
              </w:tc>
              <w:tc>
                <w:tcPr>
                  <w:tcW w:w="502" w:type="pct"/>
                  <w:vMerge w:val="continue"/>
                  <w:vAlign w:val="center"/>
                </w:tcPr>
                <w:p>
                  <w:pPr>
                    <w:pStyle w:val="62"/>
                    <w:widowControl w:val="0"/>
                    <w:rPr>
                      <w:rFonts w:ascii="Times New Roman" w:hAnsi="Times New Roman" w:cs="Times New Roman"/>
                      <w:sz w:val="21"/>
                      <w:szCs w:val="21"/>
                    </w:rPr>
                  </w:pPr>
                </w:p>
              </w:tc>
              <w:tc>
                <w:tcPr>
                  <w:tcW w:w="1209" w:type="pct"/>
                  <w:vAlign w:val="center"/>
                </w:tcPr>
                <w:p>
                  <w:pPr>
                    <w:jc w:val="center"/>
                    <w:textAlignment w:val="center"/>
                    <w:rPr>
                      <w:szCs w:val="21"/>
                    </w:rPr>
                  </w:pPr>
                  <w:r>
                    <w:rPr>
                      <w:szCs w:val="21"/>
                    </w:rPr>
                    <w:t>产生速率（kg/h）</w:t>
                  </w:r>
                </w:p>
              </w:tc>
              <w:tc>
                <w:tcPr>
                  <w:tcW w:w="742" w:type="pct"/>
                  <w:vAlign w:val="center"/>
                </w:tcPr>
                <w:p>
                  <w:pPr>
                    <w:jc w:val="center"/>
                    <w:textAlignment w:val="center"/>
                    <w:rPr>
                      <w:szCs w:val="21"/>
                    </w:rPr>
                  </w:pPr>
                  <w:r>
                    <w:rPr>
                      <w:rFonts w:eastAsia="等线"/>
                      <w:color w:val="000000"/>
                      <w:szCs w:val="21"/>
                    </w:rPr>
                    <w:t>5.5104E-03</w:t>
                  </w:r>
                </w:p>
              </w:tc>
              <w:tc>
                <w:tcPr>
                  <w:tcW w:w="1209" w:type="pct"/>
                  <w:vAlign w:val="center"/>
                </w:tcPr>
                <w:p>
                  <w:pPr>
                    <w:pStyle w:val="62"/>
                    <w:widowControl w:val="0"/>
                    <w:rPr>
                      <w:rFonts w:ascii="Times New Roman" w:hAnsi="Times New Roman" w:cs="Times New Roman"/>
                      <w:szCs w:val="21"/>
                    </w:rPr>
                  </w:pPr>
                  <w:r>
                    <w:rPr>
                      <w:rFonts w:ascii="Times New Roman" w:hAnsi="Times New Roman" w:cs="Times New Roman"/>
                      <w:sz w:val="21"/>
                      <w:szCs w:val="21"/>
                    </w:rPr>
                    <w:t>排放速率（kg/h）</w:t>
                  </w:r>
                </w:p>
              </w:tc>
              <w:tc>
                <w:tcPr>
                  <w:tcW w:w="742" w:type="pct"/>
                  <w:vAlign w:val="center"/>
                </w:tcPr>
                <w:p>
                  <w:pPr>
                    <w:jc w:val="center"/>
                    <w:textAlignment w:val="center"/>
                    <w:rPr>
                      <w:szCs w:val="21"/>
                    </w:rPr>
                  </w:pPr>
                  <w:r>
                    <w:rPr>
                      <w:rFonts w:eastAsia="等线"/>
                      <w:color w:val="000000"/>
                      <w:szCs w:val="21"/>
                    </w:rPr>
                    <w:t>5.5104E-03</w:t>
                  </w:r>
                </w:p>
              </w:tc>
            </w:tr>
          </w:tbl>
          <w:p>
            <w:pPr>
              <w:pStyle w:val="46"/>
              <w:widowControl w:val="0"/>
              <w:ind w:firstLine="400"/>
              <w:rPr>
                <w:rFonts w:cs="Times New Roman"/>
                <w:bCs/>
                <w:spacing w:val="-10"/>
              </w:rPr>
            </w:pPr>
          </w:p>
        </w:tc>
      </w:tr>
    </w:tbl>
    <w:p>
      <w:pPr>
        <w:pStyle w:val="17"/>
        <w:adjustRightInd w:val="0"/>
        <w:snapToGrid w:val="0"/>
        <w:spacing w:before="0" w:beforeAutospacing="0" w:after="0" w:afterAutospacing="0"/>
        <w:jc w:val="center"/>
        <w:outlineLvl w:val="0"/>
        <w:rPr>
          <w:rFonts w:ascii="黑体" w:hAnsi="黑体" w:eastAsia="黑体"/>
          <w:snapToGrid w:val="0"/>
          <w:sz w:val="30"/>
          <w:szCs w:val="30"/>
        </w:rPr>
        <w:sectPr>
          <w:footerReference r:id="rId6" w:type="default"/>
          <w:type w:val="continuous"/>
          <w:pgSz w:w="11906" w:h="16838"/>
          <w:pgMar w:top="1134" w:right="1134" w:bottom="1134" w:left="1134" w:header="851" w:footer="851" w:gutter="0"/>
          <w:pgNumType w:start="1"/>
          <w:cols w:space="720" w:num="1"/>
          <w:docGrid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0"/>
        <w:gridCol w:w="14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77" w:hRule="atLeast"/>
          <w:jc w:val="center"/>
        </w:trPr>
        <w:tc>
          <w:tcPr>
            <w:tcW w:w="0" w:type="auto"/>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0" w:type="auto"/>
            <w:vAlign w:val="center"/>
          </w:tcPr>
          <w:p>
            <w:pPr>
              <w:pStyle w:val="42"/>
              <w:widowControl w:val="0"/>
              <w:spacing w:before="0" w:beforeLines="0"/>
              <w:rPr>
                <w:rFonts w:ascii="Times New Roman" w:hAnsi="Times New Roman"/>
                <w:szCs w:val="21"/>
                <w:lang w:val="zh-CN"/>
              </w:rPr>
            </w:pPr>
            <w:r>
              <w:rPr>
                <w:rFonts w:hint="eastAsia" w:ascii="Times New Roman" w:hAnsi="Times New Roman"/>
                <w:szCs w:val="21"/>
                <w:lang w:val="zh-CN"/>
              </w:rPr>
              <w:t>表4</w:t>
            </w:r>
            <w:r>
              <w:rPr>
                <w:rFonts w:ascii="Times New Roman" w:hAnsi="Times New Roman"/>
                <w:szCs w:val="21"/>
                <w:lang w:val="zh-CN"/>
              </w:rPr>
              <w:t>-8  本</w:t>
            </w:r>
            <w:r>
              <w:rPr>
                <w:rFonts w:hint="eastAsia"/>
                <w:szCs w:val="21"/>
              </w:rPr>
              <w:t>项目</w:t>
            </w:r>
            <w:r>
              <w:rPr>
                <w:rFonts w:ascii="Times New Roman" w:hAnsi="Times New Roman"/>
                <w:szCs w:val="21"/>
                <w:lang w:val="zh-CN"/>
              </w:rPr>
              <w:t>废气污染源源强核算结果及相关参数一览表</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42"/>
              <w:gridCol w:w="712"/>
              <w:gridCol w:w="805"/>
              <w:gridCol w:w="584"/>
              <w:gridCol w:w="1024"/>
              <w:gridCol w:w="1202"/>
              <w:gridCol w:w="3196"/>
              <w:gridCol w:w="868"/>
              <w:gridCol w:w="1123"/>
              <w:gridCol w:w="1024"/>
              <w:gridCol w:w="1302"/>
              <w:gridCol w:w="491"/>
              <w:gridCol w:w="803"/>
              <w:gridCol w:w="6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trPr>
              <w:tc>
                <w:tcPr>
                  <w:tcW w:w="156" w:type="pct"/>
                  <w:vMerge w:val="restart"/>
                  <w:tcBorders>
                    <w:top w:val="single" w:color="auto" w:sz="12" w:space="0"/>
                  </w:tcBorders>
                  <w:tcMar>
                    <w:left w:w="28" w:type="dxa"/>
                    <w:right w:w="28" w:type="dxa"/>
                  </w:tcMar>
                  <w:vAlign w:val="center"/>
                </w:tcPr>
                <w:p>
                  <w:pPr>
                    <w:pStyle w:val="46"/>
                    <w:adjustRightInd w:val="0"/>
                    <w:snapToGrid w:val="0"/>
                    <w:spacing w:line="240" w:lineRule="auto"/>
                    <w:ind w:firstLine="0" w:firstLineChars="0"/>
                    <w:jc w:val="center"/>
                  </w:pPr>
                  <w:r>
                    <w:rPr>
                      <w:rFonts w:hint="eastAsia"/>
                    </w:rPr>
                    <w:t>产排污环节</w:t>
                  </w:r>
                </w:p>
              </w:tc>
              <w:tc>
                <w:tcPr>
                  <w:tcW w:w="251" w:type="pct"/>
                  <w:vMerge w:val="restart"/>
                  <w:tcBorders>
                    <w:top w:val="single" w:color="auto" w:sz="12" w:space="0"/>
                  </w:tcBorders>
                  <w:vAlign w:val="center"/>
                </w:tcPr>
                <w:p>
                  <w:pPr>
                    <w:pStyle w:val="46"/>
                    <w:adjustRightInd w:val="0"/>
                    <w:snapToGrid w:val="0"/>
                    <w:spacing w:line="240" w:lineRule="auto"/>
                    <w:ind w:firstLine="0" w:firstLineChars="0"/>
                    <w:jc w:val="center"/>
                  </w:pPr>
                  <w:r>
                    <w:t>污染物</w:t>
                  </w:r>
                  <w:r>
                    <w:rPr>
                      <w:rFonts w:hint="eastAsia"/>
                    </w:rPr>
                    <w:t>种类</w:t>
                  </w:r>
                </w:p>
              </w:tc>
              <w:tc>
                <w:tcPr>
                  <w:tcW w:w="284" w:type="pct"/>
                  <w:vMerge w:val="restart"/>
                  <w:tcBorders>
                    <w:top w:val="single" w:color="auto" w:sz="12" w:space="0"/>
                  </w:tcBorders>
                  <w:tcMar>
                    <w:left w:w="28" w:type="dxa"/>
                    <w:right w:w="28" w:type="dxa"/>
                  </w:tcMar>
                  <w:vAlign w:val="center"/>
                </w:tcPr>
                <w:p>
                  <w:pPr>
                    <w:pStyle w:val="46"/>
                    <w:adjustRightInd w:val="0"/>
                    <w:snapToGrid w:val="0"/>
                    <w:spacing w:line="240" w:lineRule="auto"/>
                    <w:ind w:firstLine="0" w:firstLineChars="0"/>
                    <w:jc w:val="center"/>
                  </w:pPr>
                  <w:r>
                    <w:rPr>
                      <w:rFonts w:hint="eastAsia"/>
                    </w:rPr>
                    <w:t>排放方式</w:t>
                  </w:r>
                </w:p>
              </w:tc>
              <w:tc>
                <w:tcPr>
                  <w:tcW w:w="206" w:type="pct"/>
                  <w:vMerge w:val="restart"/>
                  <w:tcBorders>
                    <w:top w:val="single" w:color="auto" w:sz="12" w:space="0"/>
                  </w:tcBorders>
                  <w:vAlign w:val="center"/>
                </w:tcPr>
                <w:p>
                  <w:pPr>
                    <w:pStyle w:val="46"/>
                    <w:adjustRightInd w:val="0"/>
                    <w:snapToGrid w:val="0"/>
                    <w:spacing w:line="240" w:lineRule="auto"/>
                    <w:ind w:firstLine="0" w:firstLineChars="0"/>
                    <w:jc w:val="center"/>
                  </w:pPr>
                  <w:r>
                    <w:t>核算方法</w:t>
                  </w:r>
                </w:p>
              </w:tc>
              <w:tc>
                <w:tcPr>
                  <w:tcW w:w="785" w:type="pct"/>
                  <w:gridSpan w:val="2"/>
                  <w:tcBorders>
                    <w:top w:val="single" w:color="auto" w:sz="12" w:space="0"/>
                    <w:bottom w:val="single" w:color="auto" w:sz="6" w:space="0"/>
                  </w:tcBorders>
                  <w:vAlign w:val="center"/>
                </w:tcPr>
                <w:p>
                  <w:pPr>
                    <w:pStyle w:val="46"/>
                    <w:adjustRightInd w:val="0"/>
                    <w:snapToGrid w:val="0"/>
                    <w:spacing w:line="240" w:lineRule="auto"/>
                    <w:ind w:firstLine="0" w:firstLineChars="0"/>
                    <w:jc w:val="center"/>
                  </w:pPr>
                  <w:r>
                    <w:t>污染物产生</w:t>
                  </w:r>
                </w:p>
              </w:tc>
              <w:tc>
                <w:tcPr>
                  <w:tcW w:w="1127" w:type="pct"/>
                  <w:vMerge w:val="restart"/>
                  <w:tcBorders>
                    <w:top w:val="single" w:color="auto" w:sz="12" w:space="0"/>
                  </w:tcBorders>
                  <w:tcMar>
                    <w:left w:w="28" w:type="dxa"/>
                    <w:right w:w="28" w:type="dxa"/>
                  </w:tcMar>
                  <w:vAlign w:val="center"/>
                </w:tcPr>
                <w:p>
                  <w:pPr>
                    <w:pStyle w:val="46"/>
                    <w:adjustRightInd w:val="0"/>
                    <w:snapToGrid w:val="0"/>
                    <w:spacing w:line="240" w:lineRule="auto"/>
                    <w:ind w:firstLine="0" w:firstLineChars="0"/>
                    <w:jc w:val="center"/>
                  </w:pPr>
                  <w:r>
                    <w:t>治理措施</w:t>
                  </w:r>
                </w:p>
              </w:tc>
              <w:tc>
                <w:tcPr>
                  <w:tcW w:w="1522" w:type="pct"/>
                  <w:gridSpan w:val="4"/>
                  <w:tcBorders>
                    <w:top w:val="single" w:color="auto" w:sz="12" w:space="0"/>
                  </w:tcBorders>
                  <w:vAlign w:val="center"/>
                </w:tcPr>
                <w:p>
                  <w:pPr>
                    <w:pStyle w:val="46"/>
                    <w:adjustRightInd w:val="0"/>
                    <w:snapToGrid w:val="0"/>
                    <w:spacing w:line="240" w:lineRule="auto"/>
                    <w:ind w:firstLine="0" w:firstLineChars="0"/>
                    <w:jc w:val="center"/>
                  </w:pPr>
                  <w:r>
                    <w:t>污染物排放</w:t>
                  </w:r>
                </w:p>
              </w:tc>
              <w:tc>
                <w:tcPr>
                  <w:tcW w:w="173" w:type="pct"/>
                  <w:vMerge w:val="restart"/>
                  <w:tcBorders>
                    <w:top w:val="single" w:color="auto" w:sz="12" w:space="0"/>
                  </w:tcBorders>
                  <w:tcMar>
                    <w:left w:w="28" w:type="dxa"/>
                    <w:right w:w="28" w:type="dxa"/>
                  </w:tcMar>
                  <w:vAlign w:val="center"/>
                </w:tcPr>
                <w:p>
                  <w:pPr>
                    <w:pStyle w:val="46"/>
                    <w:adjustRightInd w:val="0"/>
                    <w:snapToGrid w:val="0"/>
                    <w:spacing w:line="240" w:lineRule="auto"/>
                    <w:ind w:firstLine="0" w:firstLineChars="0"/>
                    <w:jc w:val="center"/>
                  </w:pPr>
                  <w:r>
                    <w:t>运行</w:t>
                  </w:r>
                </w:p>
                <w:p>
                  <w:pPr>
                    <w:pStyle w:val="46"/>
                    <w:adjustRightInd w:val="0"/>
                    <w:snapToGrid w:val="0"/>
                    <w:spacing w:line="240" w:lineRule="auto"/>
                    <w:ind w:firstLine="0" w:firstLineChars="0"/>
                    <w:jc w:val="center"/>
                  </w:pPr>
                  <w:r>
                    <w:t>时间</w:t>
                  </w:r>
                </w:p>
                <w:p>
                  <w:pPr>
                    <w:pStyle w:val="46"/>
                    <w:adjustRightInd w:val="0"/>
                    <w:snapToGrid w:val="0"/>
                    <w:spacing w:line="240" w:lineRule="auto"/>
                    <w:ind w:firstLine="0" w:firstLineChars="0"/>
                    <w:jc w:val="center"/>
                  </w:pPr>
                  <w:r>
                    <w:t>h</w:t>
                  </w:r>
                </w:p>
              </w:tc>
              <w:tc>
                <w:tcPr>
                  <w:tcW w:w="496" w:type="pct"/>
                  <w:gridSpan w:val="2"/>
                  <w:vMerge w:val="restart"/>
                  <w:tcBorders>
                    <w:top w:val="single" w:color="auto" w:sz="12" w:space="0"/>
                  </w:tcBorders>
                  <w:tcMar>
                    <w:left w:w="28" w:type="dxa"/>
                    <w:right w:w="28" w:type="dxa"/>
                  </w:tcMar>
                  <w:vAlign w:val="center"/>
                </w:tcPr>
                <w:p>
                  <w:pPr>
                    <w:pStyle w:val="46"/>
                    <w:adjustRightInd w:val="0"/>
                    <w:snapToGrid w:val="0"/>
                    <w:spacing w:line="240" w:lineRule="auto"/>
                    <w:ind w:firstLine="0" w:firstLineChars="0"/>
                    <w:jc w:val="center"/>
                  </w:pPr>
                  <w: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tblHeader/>
              </w:trPr>
              <w:tc>
                <w:tcPr>
                  <w:tcW w:w="15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51" w:type="pct"/>
                  <w:vMerge w:val="continue"/>
                  <w:vAlign w:val="center"/>
                </w:tcPr>
                <w:p>
                  <w:pPr>
                    <w:pStyle w:val="46"/>
                    <w:adjustRightInd w:val="0"/>
                    <w:snapToGrid w:val="0"/>
                    <w:spacing w:line="240" w:lineRule="auto"/>
                    <w:ind w:firstLine="0" w:firstLineChars="0"/>
                    <w:jc w:val="center"/>
                  </w:pPr>
                </w:p>
              </w:tc>
              <w:tc>
                <w:tcPr>
                  <w:tcW w:w="284"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61" w:type="pct"/>
                  <w:vMerge w:val="restart"/>
                  <w:tcBorders>
                    <w:top w:val="single" w:color="auto" w:sz="6" w:space="0"/>
                  </w:tcBorders>
                  <w:tcMar>
                    <w:left w:w="28" w:type="dxa"/>
                    <w:right w:w="28" w:type="dxa"/>
                  </w:tcMar>
                  <w:vAlign w:val="center"/>
                </w:tcPr>
                <w:p>
                  <w:pPr>
                    <w:pStyle w:val="46"/>
                    <w:adjustRightInd w:val="0"/>
                    <w:snapToGrid w:val="0"/>
                    <w:spacing w:line="240" w:lineRule="auto"/>
                    <w:ind w:firstLine="0" w:firstLineChars="0"/>
                    <w:jc w:val="center"/>
                  </w:pPr>
                  <w:r>
                    <w:t>产生量</w:t>
                  </w:r>
                </w:p>
                <w:p>
                  <w:pPr>
                    <w:pStyle w:val="46"/>
                    <w:adjustRightInd w:val="0"/>
                    <w:snapToGrid w:val="0"/>
                    <w:spacing w:line="240" w:lineRule="auto"/>
                    <w:ind w:firstLine="0" w:firstLineChars="0"/>
                    <w:jc w:val="center"/>
                  </w:pPr>
                  <w:r>
                    <w:rPr>
                      <w:rFonts w:hint="eastAsia"/>
                    </w:rPr>
                    <w:t>t</w:t>
                  </w:r>
                  <w:r>
                    <w:t>/a</w:t>
                  </w:r>
                </w:p>
              </w:tc>
              <w:tc>
                <w:tcPr>
                  <w:tcW w:w="424" w:type="pct"/>
                  <w:vMerge w:val="restart"/>
                  <w:vAlign w:val="center"/>
                </w:tcPr>
                <w:p>
                  <w:pPr>
                    <w:pStyle w:val="46"/>
                    <w:adjustRightInd w:val="0"/>
                    <w:snapToGrid w:val="0"/>
                    <w:spacing w:line="240" w:lineRule="auto"/>
                    <w:ind w:firstLine="0" w:firstLineChars="0"/>
                    <w:jc w:val="center"/>
                  </w:pPr>
                  <w:r>
                    <w:rPr>
                      <w:rFonts w:hint="eastAsia"/>
                    </w:rPr>
                    <w:t>产生速率</w:t>
                  </w:r>
                </w:p>
                <w:p>
                  <w:pPr>
                    <w:pStyle w:val="46"/>
                    <w:adjustRightInd w:val="0"/>
                    <w:snapToGrid w:val="0"/>
                    <w:spacing w:line="240" w:lineRule="auto"/>
                    <w:ind w:firstLine="0" w:firstLineChars="0"/>
                    <w:jc w:val="center"/>
                  </w:pPr>
                  <w:r>
                    <w:rPr>
                      <w:rFonts w:hint="eastAsia"/>
                    </w:rPr>
                    <w:t>kg</w:t>
                  </w:r>
                  <w:r>
                    <w:t>/</w:t>
                  </w:r>
                  <w:r>
                    <w:rPr>
                      <w:rFonts w:hint="eastAsia"/>
                    </w:rPr>
                    <w:t>h</w:t>
                  </w:r>
                </w:p>
              </w:tc>
              <w:tc>
                <w:tcPr>
                  <w:tcW w:w="1127"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06" w:type="pct"/>
                  <w:vMerge w:val="restart"/>
                  <w:tcMar>
                    <w:left w:w="28" w:type="dxa"/>
                    <w:right w:w="28" w:type="dxa"/>
                  </w:tcMar>
                  <w:vAlign w:val="center"/>
                </w:tcPr>
                <w:p>
                  <w:pPr>
                    <w:pStyle w:val="46"/>
                    <w:adjustRightInd w:val="0"/>
                    <w:snapToGrid w:val="0"/>
                    <w:spacing w:line="240" w:lineRule="auto"/>
                    <w:ind w:firstLine="0" w:firstLineChars="0"/>
                    <w:jc w:val="center"/>
                  </w:pPr>
                  <w:r>
                    <w:t>废气</w:t>
                  </w:r>
                </w:p>
                <w:p>
                  <w:pPr>
                    <w:pStyle w:val="46"/>
                    <w:adjustRightInd w:val="0"/>
                    <w:snapToGrid w:val="0"/>
                    <w:spacing w:line="240" w:lineRule="auto"/>
                    <w:ind w:firstLine="0" w:firstLineChars="0"/>
                    <w:jc w:val="center"/>
                  </w:pPr>
                  <w:r>
                    <w:t>排放量</w:t>
                  </w:r>
                </w:p>
                <w:p>
                  <w:pPr>
                    <w:pStyle w:val="46"/>
                    <w:adjustRightInd w:val="0"/>
                    <w:snapToGrid w:val="0"/>
                    <w:spacing w:line="240" w:lineRule="auto"/>
                    <w:ind w:firstLine="0" w:firstLineChars="0"/>
                    <w:jc w:val="center"/>
                  </w:pPr>
                  <w:r>
                    <w:t>m</w:t>
                  </w:r>
                  <w:r>
                    <w:rPr>
                      <w:vertAlign w:val="superscript"/>
                    </w:rPr>
                    <w:t>3</w:t>
                  </w:r>
                  <w:r>
                    <w:t>/h</w:t>
                  </w:r>
                </w:p>
              </w:tc>
              <w:tc>
                <w:tcPr>
                  <w:tcW w:w="396" w:type="pct"/>
                  <w:vMerge w:val="restart"/>
                  <w:tcMar>
                    <w:left w:w="28" w:type="dxa"/>
                    <w:right w:w="28" w:type="dxa"/>
                  </w:tcMar>
                  <w:vAlign w:val="center"/>
                </w:tcPr>
                <w:p>
                  <w:pPr>
                    <w:pStyle w:val="46"/>
                    <w:adjustRightInd w:val="0"/>
                    <w:snapToGrid w:val="0"/>
                    <w:spacing w:line="240" w:lineRule="auto"/>
                    <w:ind w:firstLine="0" w:firstLineChars="0"/>
                    <w:jc w:val="center"/>
                  </w:pPr>
                  <w:r>
                    <w:t>排放</w:t>
                  </w:r>
                </w:p>
                <w:p>
                  <w:pPr>
                    <w:pStyle w:val="46"/>
                    <w:adjustRightInd w:val="0"/>
                    <w:snapToGrid w:val="0"/>
                    <w:spacing w:line="240" w:lineRule="auto"/>
                    <w:ind w:firstLine="0" w:firstLineChars="0"/>
                    <w:jc w:val="center"/>
                  </w:pPr>
                  <w:r>
                    <w:t>浓度</w:t>
                  </w:r>
                </w:p>
                <w:p>
                  <w:pPr>
                    <w:pStyle w:val="46"/>
                    <w:adjustRightInd w:val="0"/>
                    <w:snapToGrid w:val="0"/>
                    <w:spacing w:line="240" w:lineRule="auto"/>
                    <w:ind w:firstLine="0" w:firstLineChars="0"/>
                    <w:jc w:val="center"/>
                  </w:pPr>
                  <w:r>
                    <w:t>mg/m</w:t>
                  </w:r>
                  <w:r>
                    <w:rPr>
                      <w:vertAlign w:val="superscript"/>
                    </w:rPr>
                    <w:t>3</w:t>
                  </w:r>
                </w:p>
              </w:tc>
              <w:tc>
                <w:tcPr>
                  <w:tcW w:w="361" w:type="pct"/>
                  <w:vMerge w:val="restart"/>
                  <w:tcMar>
                    <w:left w:w="28" w:type="dxa"/>
                    <w:right w:w="28" w:type="dxa"/>
                  </w:tcMar>
                  <w:vAlign w:val="center"/>
                </w:tcPr>
                <w:p>
                  <w:pPr>
                    <w:pStyle w:val="46"/>
                    <w:adjustRightInd w:val="0"/>
                    <w:snapToGrid w:val="0"/>
                    <w:spacing w:line="240" w:lineRule="auto"/>
                    <w:ind w:firstLine="0" w:firstLineChars="0"/>
                    <w:jc w:val="center"/>
                  </w:pPr>
                  <w:r>
                    <w:t>排放量</w:t>
                  </w:r>
                </w:p>
                <w:p>
                  <w:pPr>
                    <w:pStyle w:val="46"/>
                    <w:adjustRightInd w:val="0"/>
                    <w:snapToGrid w:val="0"/>
                    <w:spacing w:line="240" w:lineRule="auto"/>
                    <w:ind w:firstLine="0" w:firstLineChars="0"/>
                    <w:jc w:val="center"/>
                  </w:pPr>
                  <w:r>
                    <w:rPr>
                      <w:rFonts w:hint="eastAsia"/>
                    </w:rPr>
                    <w:t>t</w:t>
                  </w:r>
                  <w:r>
                    <w:t>/a</w:t>
                  </w:r>
                </w:p>
              </w:tc>
              <w:tc>
                <w:tcPr>
                  <w:tcW w:w="459" w:type="pct"/>
                  <w:vMerge w:val="restart"/>
                  <w:vAlign w:val="center"/>
                </w:tcPr>
                <w:p>
                  <w:pPr>
                    <w:pStyle w:val="46"/>
                    <w:adjustRightInd w:val="0"/>
                    <w:snapToGrid w:val="0"/>
                    <w:spacing w:line="240" w:lineRule="auto"/>
                    <w:ind w:firstLine="0" w:firstLineChars="0"/>
                    <w:jc w:val="center"/>
                  </w:pPr>
                  <w:r>
                    <w:rPr>
                      <w:rFonts w:hint="eastAsia"/>
                    </w:rPr>
                    <w:t>排放速率</w:t>
                  </w:r>
                </w:p>
                <w:p>
                  <w:pPr>
                    <w:pStyle w:val="46"/>
                    <w:adjustRightInd w:val="0"/>
                    <w:snapToGrid w:val="0"/>
                    <w:spacing w:line="240" w:lineRule="auto"/>
                    <w:ind w:firstLine="0" w:firstLineChars="0"/>
                    <w:jc w:val="center"/>
                  </w:pPr>
                  <w:r>
                    <w:rPr>
                      <w:rFonts w:hint="eastAsia"/>
                    </w:rPr>
                    <w:t>kg/h</w:t>
                  </w:r>
                </w:p>
              </w:tc>
              <w:tc>
                <w:tcPr>
                  <w:tcW w:w="173"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496" w:type="pct"/>
                  <w:gridSpan w:val="2"/>
                  <w:vMerge w:val="continue"/>
                  <w:tcBorders>
                    <w:bottom w:val="single" w:color="auto" w:sz="4" w:space="0"/>
                  </w:tcBorders>
                  <w:tcMar>
                    <w:left w:w="28" w:type="dxa"/>
                    <w:right w:w="28" w:type="dxa"/>
                  </w:tcMar>
                  <w:vAlign w:val="center"/>
                </w:tcPr>
                <w:p>
                  <w:pPr>
                    <w:pStyle w:val="46"/>
                    <w:adjustRightInd w:val="0"/>
                    <w:snapToGrid w:val="0"/>
                    <w:spacing w:line="240" w:lineRule="auto"/>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trPr>
              <w:tc>
                <w:tcPr>
                  <w:tcW w:w="15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51" w:type="pct"/>
                  <w:vMerge w:val="continue"/>
                  <w:vAlign w:val="center"/>
                </w:tcPr>
                <w:p>
                  <w:pPr>
                    <w:pStyle w:val="46"/>
                    <w:adjustRightInd w:val="0"/>
                    <w:snapToGrid w:val="0"/>
                    <w:spacing w:line="240" w:lineRule="auto"/>
                    <w:ind w:firstLine="0" w:firstLineChars="0"/>
                    <w:jc w:val="center"/>
                  </w:pPr>
                </w:p>
              </w:tc>
              <w:tc>
                <w:tcPr>
                  <w:tcW w:w="284"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06" w:type="pct"/>
                  <w:vMerge w:val="continue"/>
                  <w:tcBorders>
                    <w:bottom w:val="single" w:color="auto" w:sz="6" w:space="0"/>
                  </w:tcBorders>
                  <w:tcMar>
                    <w:left w:w="28" w:type="dxa"/>
                    <w:right w:w="28" w:type="dxa"/>
                  </w:tcMar>
                  <w:vAlign w:val="center"/>
                </w:tcPr>
                <w:p>
                  <w:pPr>
                    <w:pStyle w:val="46"/>
                    <w:adjustRightInd w:val="0"/>
                    <w:snapToGrid w:val="0"/>
                    <w:spacing w:line="240" w:lineRule="auto"/>
                    <w:ind w:firstLine="0" w:firstLineChars="0"/>
                    <w:jc w:val="center"/>
                  </w:pPr>
                </w:p>
              </w:tc>
              <w:tc>
                <w:tcPr>
                  <w:tcW w:w="361" w:type="pct"/>
                  <w:vMerge w:val="continue"/>
                  <w:tcBorders>
                    <w:bottom w:val="single" w:color="auto" w:sz="6" w:space="0"/>
                  </w:tcBorders>
                  <w:tcMar>
                    <w:left w:w="28" w:type="dxa"/>
                    <w:right w:w="28" w:type="dxa"/>
                  </w:tcMar>
                  <w:vAlign w:val="center"/>
                </w:tcPr>
                <w:p>
                  <w:pPr>
                    <w:pStyle w:val="46"/>
                    <w:adjustRightInd w:val="0"/>
                    <w:snapToGrid w:val="0"/>
                    <w:spacing w:line="240" w:lineRule="auto"/>
                    <w:ind w:firstLine="0" w:firstLineChars="0"/>
                    <w:jc w:val="center"/>
                  </w:pPr>
                </w:p>
              </w:tc>
              <w:tc>
                <w:tcPr>
                  <w:tcW w:w="424" w:type="pct"/>
                  <w:vMerge w:val="continue"/>
                  <w:vAlign w:val="center"/>
                </w:tcPr>
                <w:p>
                  <w:pPr>
                    <w:pStyle w:val="46"/>
                    <w:adjustRightInd w:val="0"/>
                    <w:snapToGrid w:val="0"/>
                    <w:spacing w:line="240" w:lineRule="auto"/>
                    <w:ind w:firstLine="0" w:firstLineChars="0"/>
                    <w:jc w:val="center"/>
                  </w:pPr>
                </w:p>
              </w:tc>
              <w:tc>
                <w:tcPr>
                  <w:tcW w:w="1127"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9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61"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459" w:type="pct"/>
                  <w:vMerge w:val="continue"/>
                  <w:vAlign w:val="center"/>
                </w:tcPr>
                <w:p>
                  <w:pPr>
                    <w:pStyle w:val="46"/>
                    <w:adjustRightInd w:val="0"/>
                    <w:snapToGrid w:val="0"/>
                    <w:spacing w:line="240" w:lineRule="auto"/>
                    <w:ind w:firstLine="0" w:firstLineChars="0"/>
                    <w:jc w:val="center"/>
                  </w:pPr>
                </w:p>
              </w:tc>
              <w:tc>
                <w:tcPr>
                  <w:tcW w:w="173"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83" w:type="pct"/>
                  <w:tcBorders>
                    <w:top w:val="single" w:color="auto" w:sz="4" w:space="0"/>
                  </w:tcBorders>
                  <w:tcMar>
                    <w:left w:w="28" w:type="dxa"/>
                    <w:right w:w="28" w:type="dxa"/>
                  </w:tcMar>
                  <w:vAlign w:val="center"/>
                </w:tcPr>
                <w:p>
                  <w:pPr>
                    <w:pStyle w:val="46"/>
                    <w:adjustRightInd w:val="0"/>
                    <w:snapToGrid w:val="0"/>
                    <w:spacing w:line="240" w:lineRule="auto"/>
                    <w:ind w:firstLine="0" w:firstLineChars="0"/>
                    <w:jc w:val="center"/>
                  </w:pPr>
                  <w:r>
                    <w:rPr>
                      <w:rFonts w:hint="eastAsia"/>
                    </w:rPr>
                    <w:t>排放浓度</w:t>
                  </w:r>
                  <w:r>
                    <w:t>mg/m</w:t>
                  </w:r>
                  <w:r>
                    <w:rPr>
                      <w:vertAlign w:val="superscript"/>
                    </w:rPr>
                    <w:t>3</w:t>
                  </w:r>
                </w:p>
              </w:tc>
              <w:tc>
                <w:tcPr>
                  <w:tcW w:w="213" w:type="pct"/>
                  <w:tcBorders>
                    <w:top w:val="single" w:color="auto" w:sz="4" w:space="0"/>
                  </w:tcBorders>
                  <w:vAlign w:val="center"/>
                </w:tcPr>
                <w:p>
                  <w:pPr>
                    <w:pStyle w:val="46"/>
                    <w:adjustRightInd w:val="0"/>
                    <w:snapToGrid w:val="0"/>
                    <w:spacing w:line="240" w:lineRule="auto"/>
                    <w:ind w:firstLine="0" w:firstLineChars="0"/>
                    <w:jc w:val="center"/>
                  </w:pPr>
                  <w:r>
                    <w:rPr>
                      <w:rFonts w:hint="eastAsia"/>
                    </w:rPr>
                    <w:t>排放速率</w:t>
                  </w:r>
                </w:p>
                <w:p>
                  <w:pPr>
                    <w:pStyle w:val="46"/>
                    <w:adjustRightInd w:val="0"/>
                    <w:snapToGrid w:val="0"/>
                    <w:spacing w:line="240" w:lineRule="auto"/>
                    <w:ind w:firstLine="0" w:firstLineChars="0"/>
                    <w:jc w:val="center"/>
                  </w:pPr>
                  <w:r>
                    <w:rPr>
                      <w:rFonts w:cs="Times New Roman"/>
                    </w:rPr>
                    <w:t>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 w:type="pct"/>
                  <w:vMerge w:val="restart"/>
                  <w:tcMar>
                    <w:left w:w="28" w:type="dxa"/>
                    <w:right w:w="28" w:type="dxa"/>
                  </w:tcMar>
                  <w:vAlign w:val="center"/>
                </w:tcPr>
                <w:p>
                  <w:pPr>
                    <w:pStyle w:val="46"/>
                    <w:adjustRightInd w:val="0"/>
                    <w:snapToGrid w:val="0"/>
                    <w:spacing w:line="240" w:lineRule="auto"/>
                    <w:ind w:firstLine="0" w:firstLineChars="0"/>
                    <w:jc w:val="center"/>
                  </w:pPr>
                  <w:r>
                    <w:rPr>
                      <w:rFonts w:hint="eastAsia"/>
                    </w:rPr>
                    <w:t>燃气热水锅炉</w:t>
                  </w:r>
                </w:p>
              </w:tc>
              <w:tc>
                <w:tcPr>
                  <w:tcW w:w="251" w:type="pct"/>
                  <w:vAlign w:val="center"/>
                </w:tcPr>
                <w:p>
                  <w:pPr>
                    <w:pStyle w:val="46"/>
                    <w:adjustRightInd w:val="0"/>
                    <w:snapToGrid w:val="0"/>
                    <w:spacing w:line="240" w:lineRule="auto"/>
                    <w:ind w:firstLine="0" w:firstLineChars="0"/>
                    <w:jc w:val="center"/>
                    <w:rPr>
                      <w:spacing w:val="-8"/>
                    </w:rPr>
                  </w:pPr>
                  <w:r>
                    <w:rPr>
                      <w:rFonts w:hint="eastAsia"/>
                      <w:spacing w:val="-8"/>
                    </w:rPr>
                    <w:t>颗粒物</w:t>
                  </w:r>
                </w:p>
              </w:tc>
              <w:tc>
                <w:tcPr>
                  <w:tcW w:w="284" w:type="pct"/>
                  <w:vMerge w:val="restart"/>
                  <w:tcMar>
                    <w:left w:w="28" w:type="dxa"/>
                    <w:right w:w="28" w:type="dxa"/>
                  </w:tcMar>
                  <w:vAlign w:val="center"/>
                </w:tcPr>
                <w:p>
                  <w:pPr>
                    <w:pStyle w:val="46"/>
                    <w:adjustRightInd w:val="0"/>
                    <w:snapToGrid w:val="0"/>
                    <w:spacing w:line="240" w:lineRule="auto"/>
                    <w:ind w:firstLine="0" w:firstLineChars="0"/>
                    <w:jc w:val="center"/>
                    <w:rPr>
                      <w:highlight w:val="yellow"/>
                    </w:rPr>
                  </w:pPr>
                  <w:r>
                    <w:rPr>
                      <w:rFonts w:hint="eastAsia"/>
                      <w:highlight w:val="yellow"/>
                    </w:rPr>
                    <w:t>排气筒D</w:t>
                  </w:r>
                  <w:r>
                    <w:rPr>
                      <w:highlight w:val="yellow"/>
                    </w:rPr>
                    <w:t>A001</w:t>
                  </w:r>
                </w:p>
                <w:p>
                  <w:pPr>
                    <w:pStyle w:val="46"/>
                    <w:adjustRightInd w:val="0"/>
                    <w:snapToGrid w:val="0"/>
                    <w:spacing w:line="240" w:lineRule="auto"/>
                    <w:ind w:firstLine="0" w:firstLineChars="0"/>
                    <w:jc w:val="center"/>
                    <w:rPr>
                      <w:highlight w:val="yellow"/>
                    </w:rPr>
                  </w:pPr>
                  <w:r>
                    <w:rPr>
                      <w:rFonts w:hint="eastAsia"/>
                      <w:highlight w:val="yellow"/>
                    </w:rPr>
                    <w:t>排气筒D</w:t>
                  </w:r>
                  <w:r>
                    <w:rPr>
                      <w:highlight w:val="yellow"/>
                    </w:rPr>
                    <w:t>A002</w:t>
                  </w:r>
                </w:p>
              </w:tc>
              <w:tc>
                <w:tcPr>
                  <w:tcW w:w="206" w:type="pct"/>
                  <w:vMerge w:val="restart"/>
                  <w:tcMar>
                    <w:left w:w="28" w:type="dxa"/>
                    <w:right w:w="28" w:type="dxa"/>
                  </w:tcMar>
                  <w:vAlign w:val="center"/>
                </w:tcPr>
                <w:p>
                  <w:pPr>
                    <w:pStyle w:val="46"/>
                    <w:adjustRightInd w:val="0"/>
                    <w:snapToGrid w:val="0"/>
                    <w:spacing w:line="240" w:lineRule="auto"/>
                    <w:ind w:firstLine="0" w:firstLineChars="0"/>
                    <w:jc w:val="center"/>
                  </w:pPr>
                  <w:r>
                    <w:rPr>
                      <w:rFonts w:hint="eastAsia"/>
                    </w:rPr>
                    <w:t>产污系数法</w:t>
                  </w: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1.4190E-03</w:t>
                  </w:r>
                </w:p>
              </w:tc>
              <w:tc>
                <w:tcPr>
                  <w:tcW w:w="424" w:type="pct"/>
                  <w:vAlign w:val="center"/>
                </w:tcPr>
                <w:p>
                  <w:pPr>
                    <w:pStyle w:val="46"/>
                    <w:adjustRightInd w:val="0"/>
                    <w:snapToGrid w:val="0"/>
                    <w:spacing w:line="240" w:lineRule="auto"/>
                    <w:ind w:firstLine="0" w:firstLineChars="0"/>
                    <w:jc w:val="center"/>
                  </w:pPr>
                  <w:r>
                    <w:rPr>
                      <w:rFonts w:eastAsia="等线" w:cs="Times New Roman"/>
                      <w:color w:val="000000"/>
                    </w:rPr>
                    <w:t>6.5694E-04</w:t>
                  </w:r>
                </w:p>
              </w:tc>
              <w:tc>
                <w:tcPr>
                  <w:tcW w:w="1127" w:type="pct"/>
                  <w:vMerge w:val="restart"/>
                  <w:tcMar>
                    <w:left w:w="28" w:type="dxa"/>
                    <w:right w:w="28" w:type="dxa"/>
                  </w:tcMar>
                  <w:vAlign w:val="center"/>
                </w:tcPr>
                <w:p>
                  <w:pPr>
                    <w:pStyle w:val="46"/>
                    <w:adjustRightInd w:val="0"/>
                    <w:snapToGrid w:val="0"/>
                    <w:spacing w:line="240" w:lineRule="auto"/>
                    <w:ind w:firstLine="0" w:firstLineChars="0"/>
                    <w:jc w:val="center"/>
                    <w:rPr>
                      <w:highlight w:val="yellow"/>
                    </w:rPr>
                  </w:pPr>
                  <w:r>
                    <w:rPr>
                      <w:rFonts w:hint="eastAsia"/>
                      <w:highlight w:val="yellow"/>
                    </w:rPr>
                    <w:t>采用低氮燃烧技术处理后通过2根2</w:t>
                  </w:r>
                  <w:r>
                    <w:rPr>
                      <w:highlight w:val="yellow"/>
                    </w:rPr>
                    <w:t>7</w:t>
                  </w:r>
                  <w:r>
                    <w:rPr>
                      <w:rFonts w:hint="eastAsia"/>
                      <w:highlight w:val="yellow"/>
                    </w:rPr>
                    <w:t>m高排气筒排放</w:t>
                  </w:r>
                </w:p>
              </w:tc>
              <w:tc>
                <w:tcPr>
                  <w:tcW w:w="306" w:type="pct"/>
                  <w:vMerge w:val="restart"/>
                  <w:tcMar>
                    <w:left w:w="28" w:type="dxa"/>
                    <w:right w:w="28" w:type="dxa"/>
                  </w:tcMar>
                  <w:vAlign w:val="center"/>
                </w:tcPr>
                <w:p>
                  <w:pPr>
                    <w:pStyle w:val="46"/>
                    <w:adjustRightInd w:val="0"/>
                    <w:snapToGrid w:val="0"/>
                    <w:spacing w:line="240" w:lineRule="auto"/>
                    <w:ind w:firstLine="0" w:firstLineChars="0"/>
                    <w:jc w:val="center"/>
                  </w:pPr>
                  <w:r>
                    <w:rPr>
                      <w:rFonts w:cs="Times New Roman"/>
                    </w:rPr>
                    <w:t>5281889</w:t>
                  </w:r>
                </w:p>
              </w:tc>
              <w:tc>
                <w:tcPr>
                  <w:tcW w:w="396"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1.1972E+00</w:t>
                  </w: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1.4190E-03</w:t>
                  </w:r>
                </w:p>
              </w:tc>
              <w:tc>
                <w:tcPr>
                  <w:tcW w:w="459" w:type="pct"/>
                  <w:vAlign w:val="center"/>
                </w:tcPr>
                <w:p>
                  <w:pPr>
                    <w:pStyle w:val="46"/>
                    <w:adjustRightInd w:val="0"/>
                    <w:snapToGrid w:val="0"/>
                    <w:spacing w:line="240" w:lineRule="auto"/>
                    <w:ind w:firstLine="0" w:firstLineChars="0"/>
                    <w:jc w:val="center"/>
                  </w:pPr>
                  <w:r>
                    <w:rPr>
                      <w:rFonts w:eastAsia="等线" w:cs="Times New Roman"/>
                      <w:color w:val="000000"/>
                    </w:rPr>
                    <w:t>6.5694E-04</w:t>
                  </w:r>
                </w:p>
              </w:tc>
              <w:tc>
                <w:tcPr>
                  <w:tcW w:w="173" w:type="pct"/>
                  <w:vMerge w:val="restart"/>
                  <w:tcMar>
                    <w:left w:w="28" w:type="dxa"/>
                    <w:right w:w="28" w:type="dxa"/>
                  </w:tcMar>
                  <w:vAlign w:val="center"/>
                </w:tcPr>
                <w:p>
                  <w:pPr>
                    <w:pStyle w:val="46"/>
                    <w:adjustRightInd w:val="0"/>
                    <w:snapToGrid w:val="0"/>
                    <w:spacing w:line="240" w:lineRule="auto"/>
                    <w:ind w:firstLine="0" w:firstLineChars="0"/>
                    <w:jc w:val="center"/>
                  </w:pPr>
                  <w:r>
                    <w:rPr>
                      <w:rFonts w:hint="eastAsia"/>
                    </w:rPr>
                    <w:t>2</w:t>
                  </w:r>
                  <w:r>
                    <w:t>160</w:t>
                  </w:r>
                </w:p>
              </w:tc>
              <w:tc>
                <w:tcPr>
                  <w:tcW w:w="283" w:type="pct"/>
                  <w:tcBorders>
                    <w:top w:val="single" w:color="auto" w:sz="4" w:space="0"/>
                    <w:bottom w:val="single" w:color="auto" w:sz="4" w:space="0"/>
                  </w:tcBorders>
                  <w:tcMar>
                    <w:left w:w="28" w:type="dxa"/>
                    <w:right w:w="28" w:type="dxa"/>
                  </w:tcMar>
                  <w:vAlign w:val="center"/>
                </w:tcPr>
                <w:p>
                  <w:pPr>
                    <w:pStyle w:val="46"/>
                    <w:adjustRightInd w:val="0"/>
                    <w:snapToGrid w:val="0"/>
                    <w:spacing w:line="240" w:lineRule="auto"/>
                    <w:ind w:firstLine="0" w:firstLineChars="0"/>
                    <w:jc w:val="center"/>
                    <w:rPr>
                      <w:rFonts w:cs="Times New Roman"/>
                    </w:rPr>
                  </w:pPr>
                  <w:r>
                    <w:rPr>
                      <w:rFonts w:hint="eastAsia"/>
                    </w:rPr>
                    <w:t>2</w:t>
                  </w:r>
                  <w:r>
                    <w:t>0</w:t>
                  </w:r>
                </w:p>
              </w:tc>
              <w:tc>
                <w:tcPr>
                  <w:tcW w:w="213" w:type="pct"/>
                  <w:tcBorders>
                    <w:top w:val="single" w:color="auto" w:sz="4" w:space="0"/>
                    <w:bottom w:val="single" w:color="auto" w:sz="4" w:space="0"/>
                  </w:tcBorders>
                  <w:vAlign w:val="center"/>
                </w:tcPr>
                <w:p>
                  <w:pPr>
                    <w:pStyle w:val="46"/>
                    <w:adjustRightInd w:val="0"/>
                    <w:snapToGrid w:val="0"/>
                    <w:spacing w:line="240" w:lineRule="auto"/>
                    <w:ind w:firstLine="0" w:firstLineChars="0"/>
                    <w:jc w:val="center"/>
                    <w:rPr>
                      <w:rFonts w:cs="Times New Roman"/>
                    </w:rPr>
                  </w:pPr>
                  <w:r>
                    <w:rPr>
                      <w:rFonts w:hint="eastAsia"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51" w:type="pct"/>
                  <w:vAlign w:val="center"/>
                </w:tcPr>
                <w:p>
                  <w:pPr>
                    <w:pStyle w:val="46"/>
                    <w:adjustRightInd w:val="0"/>
                    <w:snapToGrid w:val="0"/>
                    <w:spacing w:line="240" w:lineRule="auto"/>
                    <w:ind w:firstLine="0" w:firstLineChars="0"/>
                    <w:jc w:val="center"/>
                    <w:rPr>
                      <w:spacing w:val="-8"/>
                    </w:rPr>
                  </w:pPr>
                  <w:r>
                    <w:rPr>
                      <w:rFonts w:hint="eastAsia"/>
                      <w:spacing w:val="-8"/>
                    </w:rPr>
                    <w:t>S</w:t>
                  </w:r>
                  <w:r>
                    <w:rPr>
                      <w:spacing w:val="-8"/>
                    </w:rPr>
                    <w:t>O</w:t>
                  </w:r>
                  <w:r>
                    <w:rPr>
                      <w:spacing w:val="-8"/>
                      <w:vertAlign w:val="subscript"/>
                    </w:rPr>
                    <w:t>2</w:t>
                  </w:r>
                </w:p>
              </w:tc>
              <w:tc>
                <w:tcPr>
                  <w:tcW w:w="284" w:type="pct"/>
                  <w:vMerge w:val="continue"/>
                  <w:tcMar>
                    <w:left w:w="28" w:type="dxa"/>
                    <w:right w:w="28" w:type="dxa"/>
                  </w:tcMar>
                  <w:vAlign w:val="center"/>
                </w:tcPr>
                <w:p>
                  <w:pPr>
                    <w:pStyle w:val="46"/>
                    <w:adjustRightInd w:val="0"/>
                    <w:snapToGrid w:val="0"/>
                    <w:spacing w:line="240" w:lineRule="auto"/>
                    <w:ind w:firstLine="0" w:firstLineChars="0"/>
                    <w:jc w:val="center"/>
                    <w:rPr>
                      <w:highlight w:val="yellow"/>
                    </w:rPr>
                  </w:pPr>
                </w:p>
              </w:tc>
              <w:tc>
                <w:tcPr>
                  <w:tcW w:w="2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2.2000E-05</w:t>
                  </w:r>
                </w:p>
              </w:tc>
              <w:tc>
                <w:tcPr>
                  <w:tcW w:w="424" w:type="pct"/>
                  <w:vAlign w:val="center"/>
                </w:tcPr>
                <w:p>
                  <w:pPr>
                    <w:pStyle w:val="46"/>
                    <w:adjustRightInd w:val="0"/>
                    <w:snapToGrid w:val="0"/>
                    <w:spacing w:line="240" w:lineRule="auto"/>
                    <w:ind w:firstLine="0" w:firstLineChars="0"/>
                    <w:jc w:val="center"/>
                  </w:pPr>
                  <w:r>
                    <w:rPr>
                      <w:rFonts w:eastAsia="等线" w:cs="Times New Roman"/>
                      <w:color w:val="000000"/>
                    </w:rPr>
                    <w:t>1.0185E-05</w:t>
                  </w:r>
                </w:p>
              </w:tc>
              <w:tc>
                <w:tcPr>
                  <w:tcW w:w="1127" w:type="pct"/>
                  <w:vMerge w:val="continue"/>
                  <w:tcMar>
                    <w:left w:w="28" w:type="dxa"/>
                    <w:right w:w="28" w:type="dxa"/>
                  </w:tcMar>
                  <w:vAlign w:val="center"/>
                </w:tcPr>
                <w:p>
                  <w:pPr>
                    <w:pStyle w:val="46"/>
                    <w:adjustRightInd w:val="0"/>
                    <w:snapToGrid w:val="0"/>
                    <w:spacing w:line="240" w:lineRule="auto"/>
                    <w:ind w:firstLine="0" w:firstLineChars="0"/>
                    <w:jc w:val="center"/>
                    <w:rPr>
                      <w:highlight w:val="yellow"/>
                    </w:rPr>
                  </w:pPr>
                </w:p>
              </w:tc>
              <w:tc>
                <w:tcPr>
                  <w:tcW w:w="3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96"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1.8561E-02</w:t>
                  </w: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2.2000E-05</w:t>
                  </w:r>
                </w:p>
              </w:tc>
              <w:tc>
                <w:tcPr>
                  <w:tcW w:w="459" w:type="pct"/>
                  <w:vAlign w:val="center"/>
                </w:tcPr>
                <w:p>
                  <w:pPr>
                    <w:pStyle w:val="46"/>
                    <w:adjustRightInd w:val="0"/>
                    <w:snapToGrid w:val="0"/>
                    <w:spacing w:line="240" w:lineRule="auto"/>
                    <w:ind w:firstLine="0" w:firstLineChars="0"/>
                    <w:jc w:val="center"/>
                  </w:pPr>
                  <w:r>
                    <w:rPr>
                      <w:rFonts w:eastAsia="等线" w:cs="Times New Roman"/>
                      <w:color w:val="000000"/>
                    </w:rPr>
                    <w:t>1.0185E-05</w:t>
                  </w:r>
                </w:p>
              </w:tc>
              <w:tc>
                <w:tcPr>
                  <w:tcW w:w="173"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83" w:type="pct"/>
                  <w:tcBorders>
                    <w:top w:val="single" w:color="auto" w:sz="4" w:space="0"/>
                    <w:bottom w:val="single" w:color="auto" w:sz="4" w:space="0"/>
                  </w:tcBorders>
                  <w:tcMar>
                    <w:left w:w="28" w:type="dxa"/>
                    <w:right w:w="28" w:type="dxa"/>
                  </w:tcMar>
                  <w:vAlign w:val="center"/>
                </w:tcPr>
                <w:p>
                  <w:pPr>
                    <w:pStyle w:val="46"/>
                    <w:adjustRightInd w:val="0"/>
                    <w:snapToGrid w:val="0"/>
                    <w:spacing w:line="240" w:lineRule="auto"/>
                    <w:ind w:firstLine="0" w:firstLineChars="0"/>
                    <w:jc w:val="center"/>
                    <w:rPr>
                      <w:rFonts w:cs="Times New Roman"/>
                    </w:rPr>
                  </w:pPr>
                  <w:r>
                    <w:rPr>
                      <w:rFonts w:hint="eastAsia"/>
                    </w:rPr>
                    <w:t>5</w:t>
                  </w:r>
                  <w:r>
                    <w:t>0</w:t>
                  </w:r>
                </w:p>
              </w:tc>
              <w:tc>
                <w:tcPr>
                  <w:tcW w:w="213" w:type="pct"/>
                  <w:tcBorders>
                    <w:top w:val="single" w:color="auto" w:sz="4" w:space="0"/>
                    <w:bottom w:val="single" w:color="auto" w:sz="4" w:space="0"/>
                  </w:tcBorders>
                </w:tcPr>
                <w:p>
                  <w:pPr>
                    <w:pStyle w:val="46"/>
                    <w:adjustRightInd w:val="0"/>
                    <w:snapToGrid w:val="0"/>
                    <w:spacing w:line="240" w:lineRule="auto"/>
                    <w:ind w:firstLine="0" w:firstLineChars="0"/>
                    <w:jc w:val="center"/>
                    <w:rPr>
                      <w:rFonts w:cs="Times New Roman"/>
                    </w:rPr>
                  </w:pPr>
                  <w:r>
                    <w:rPr>
                      <w:rFonts w:hint="eastAsia"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51" w:type="pct"/>
                  <w:vAlign w:val="center"/>
                </w:tcPr>
                <w:p>
                  <w:pPr>
                    <w:pStyle w:val="46"/>
                    <w:adjustRightInd w:val="0"/>
                    <w:snapToGrid w:val="0"/>
                    <w:spacing w:line="240" w:lineRule="auto"/>
                    <w:ind w:firstLine="0" w:firstLineChars="0"/>
                    <w:jc w:val="center"/>
                    <w:rPr>
                      <w:spacing w:val="-8"/>
                    </w:rPr>
                  </w:pPr>
                  <w:r>
                    <w:rPr>
                      <w:rFonts w:hint="eastAsia"/>
                      <w:spacing w:val="-8"/>
                    </w:rPr>
                    <w:t>N</w:t>
                  </w:r>
                  <w:r>
                    <w:rPr>
                      <w:spacing w:val="-8"/>
                    </w:rPr>
                    <w:t>O</w:t>
                  </w:r>
                  <w:r>
                    <w:rPr>
                      <w:rFonts w:hint="eastAsia"/>
                      <w:spacing w:val="-8"/>
                    </w:rPr>
                    <w:t>x</w:t>
                  </w:r>
                </w:p>
              </w:tc>
              <w:tc>
                <w:tcPr>
                  <w:tcW w:w="284" w:type="pct"/>
                  <w:vMerge w:val="continue"/>
                  <w:tcMar>
                    <w:left w:w="28" w:type="dxa"/>
                    <w:right w:w="28" w:type="dxa"/>
                  </w:tcMar>
                  <w:vAlign w:val="center"/>
                </w:tcPr>
                <w:p>
                  <w:pPr>
                    <w:pStyle w:val="46"/>
                    <w:adjustRightInd w:val="0"/>
                    <w:snapToGrid w:val="0"/>
                    <w:spacing w:line="240" w:lineRule="auto"/>
                    <w:ind w:firstLine="0" w:firstLineChars="0"/>
                    <w:jc w:val="center"/>
                    <w:rPr>
                      <w:highlight w:val="yellow"/>
                    </w:rPr>
                  </w:pPr>
                </w:p>
              </w:tc>
              <w:tc>
                <w:tcPr>
                  <w:tcW w:w="2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1.7457E-01</w:t>
                  </w:r>
                </w:p>
              </w:tc>
              <w:tc>
                <w:tcPr>
                  <w:tcW w:w="424" w:type="pct"/>
                  <w:vAlign w:val="center"/>
                </w:tcPr>
                <w:p>
                  <w:pPr>
                    <w:pStyle w:val="46"/>
                    <w:adjustRightInd w:val="0"/>
                    <w:snapToGrid w:val="0"/>
                    <w:spacing w:line="240" w:lineRule="auto"/>
                    <w:ind w:firstLine="0" w:firstLineChars="0"/>
                    <w:jc w:val="center"/>
                  </w:pPr>
                  <w:r>
                    <w:rPr>
                      <w:rFonts w:eastAsia="等线" w:cs="Times New Roman"/>
                      <w:color w:val="000000"/>
                    </w:rPr>
                    <w:t>8.0819E-02</w:t>
                  </w:r>
                </w:p>
              </w:tc>
              <w:tc>
                <w:tcPr>
                  <w:tcW w:w="1127" w:type="pct"/>
                  <w:vMerge w:val="continue"/>
                  <w:tcMar>
                    <w:left w:w="28" w:type="dxa"/>
                    <w:right w:w="28" w:type="dxa"/>
                  </w:tcMar>
                  <w:vAlign w:val="center"/>
                </w:tcPr>
                <w:p>
                  <w:pPr>
                    <w:pStyle w:val="46"/>
                    <w:adjustRightInd w:val="0"/>
                    <w:snapToGrid w:val="0"/>
                    <w:spacing w:line="240" w:lineRule="auto"/>
                    <w:ind w:firstLine="0" w:firstLineChars="0"/>
                    <w:jc w:val="center"/>
                    <w:rPr>
                      <w:highlight w:val="yellow"/>
                    </w:rPr>
                  </w:pPr>
                </w:p>
              </w:tc>
              <w:tc>
                <w:tcPr>
                  <w:tcW w:w="3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96"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1.4728E+02</w:t>
                  </w: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1.7457E-01</w:t>
                  </w:r>
                </w:p>
              </w:tc>
              <w:tc>
                <w:tcPr>
                  <w:tcW w:w="459" w:type="pct"/>
                  <w:vAlign w:val="center"/>
                </w:tcPr>
                <w:p>
                  <w:pPr>
                    <w:pStyle w:val="46"/>
                    <w:adjustRightInd w:val="0"/>
                    <w:snapToGrid w:val="0"/>
                    <w:spacing w:line="240" w:lineRule="auto"/>
                    <w:ind w:firstLine="0" w:firstLineChars="0"/>
                    <w:jc w:val="center"/>
                  </w:pPr>
                  <w:r>
                    <w:rPr>
                      <w:rFonts w:eastAsia="等线" w:cs="Times New Roman"/>
                      <w:color w:val="000000"/>
                    </w:rPr>
                    <w:t>8.0819E-02</w:t>
                  </w:r>
                </w:p>
              </w:tc>
              <w:tc>
                <w:tcPr>
                  <w:tcW w:w="173"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83" w:type="pct"/>
                  <w:tcBorders>
                    <w:top w:val="single" w:color="auto" w:sz="4" w:space="0"/>
                    <w:bottom w:val="single" w:color="auto" w:sz="4" w:space="0"/>
                  </w:tcBorders>
                  <w:tcMar>
                    <w:left w:w="28" w:type="dxa"/>
                    <w:right w:w="28" w:type="dxa"/>
                  </w:tcMar>
                  <w:vAlign w:val="center"/>
                </w:tcPr>
                <w:p>
                  <w:pPr>
                    <w:pStyle w:val="46"/>
                    <w:adjustRightInd w:val="0"/>
                    <w:snapToGrid w:val="0"/>
                    <w:spacing w:line="240" w:lineRule="auto"/>
                    <w:ind w:firstLine="0" w:firstLineChars="0"/>
                    <w:jc w:val="center"/>
                    <w:rPr>
                      <w:rFonts w:cs="Times New Roman"/>
                    </w:rPr>
                  </w:pPr>
                  <w:r>
                    <w:t>150</w:t>
                  </w:r>
                </w:p>
              </w:tc>
              <w:tc>
                <w:tcPr>
                  <w:tcW w:w="213" w:type="pct"/>
                  <w:tcBorders>
                    <w:top w:val="single" w:color="auto" w:sz="4" w:space="0"/>
                    <w:bottom w:val="single" w:color="auto" w:sz="4" w:space="0"/>
                  </w:tcBorders>
                </w:tcPr>
                <w:p>
                  <w:pPr>
                    <w:pStyle w:val="46"/>
                    <w:adjustRightInd w:val="0"/>
                    <w:snapToGrid w:val="0"/>
                    <w:spacing w:line="240" w:lineRule="auto"/>
                    <w:ind w:firstLine="0" w:firstLineChars="0"/>
                    <w:jc w:val="center"/>
                    <w:rPr>
                      <w:rFonts w:cs="Times New Roman"/>
                    </w:rPr>
                  </w:pPr>
                  <w:r>
                    <w:rPr>
                      <w:rFonts w:hint="eastAsia"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 w:type="pct"/>
                  <w:vMerge w:val="restart"/>
                  <w:tcMar>
                    <w:left w:w="28" w:type="dxa"/>
                    <w:right w:w="28" w:type="dxa"/>
                  </w:tcMar>
                  <w:vAlign w:val="center"/>
                </w:tcPr>
                <w:p>
                  <w:pPr>
                    <w:pStyle w:val="46"/>
                    <w:adjustRightInd w:val="0"/>
                    <w:snapToGrid w:val="0"/>
                    <w:spacing w:line="240" w:lineRule="auto"/>
                    <w:ind w:firstLine="0" w:firstLineChars="0"/>
                    <w:jc w:val="center"/>
                  </w:pPr>
                  <w:r>
                    <w:rPr>
                      <w:rFonts w:hint="eastAsia"/>
                    </w:rPr>
                    <w:t>燃气蒸汽锅炉</w:t>
                  </w:r>
                </w:p>
              </w:tc>
              <w:tc>
                <w:tcPr>
                  <w:tcW w:w="251" w:type="pct"/>
                  <w:vAlign w:val="center"/>
                </w:tcPr>
                <w:p>
                  <w:pPr>
                    <w:pStyle w:val="46"/>
                    <w:adjustRightInd w:val="0"/>
                    <w:snapToGrid w:val="0"/>
                    <w:spacing w:line="240" w:lineRule="auto"/>
                    <w:ind w:firstLine="0" w:firstLineChars="0"/>
                    <w:jc w:val="center"/>
                    <w:rPr>
                      <w:spacing w:val="-8"/>
                    </w:rPr>
                  </w:pPr>
                  <w:r>
                    <w:rPr>
                      <w:rFonts w:hint="eastAsia"/>
                      <w:spacing w:val="-8"/>
                    </w:rPr>
                    <w:t>颗粒物</w:t>
                  </w:r>
                </w:p>
              </w:tc>
              <w:tc>
                <w:tcPr>
                  <w:tcW w:w="284" w:type="pct"/>
                  <w:vMerge w:val="restart"/>
                  <w:tcMar>
                    <w:left w:w="28" w:type="dxa"/>
                    <w:right w:w="28" w:type="dxa"/>
                  </w:tcMar>
                  <w:vAlign w:val="center"/>
                </w:tcPr>
                <w:p>
                  <w:pPr>
                    <w:pStyle w:val="46"/>
                    <w:adjustRightInd w:val="0"/>
                    <w:snapToGrid w:val="0"/>
                    <w:spacing w:line="240" w:lineRule="auto"/>
                    <w:ind w:firstLine="0" w:firstLineChars="0"/>
                    <w:jc w:val="center"/>
                    <w:rPr>
                      <w:highlight w:val="yellow"/>
                    </w:rPr>
                  </w:pPr>
                  <w:r>
                    <w:rPr>
                      <w:rFonts w:hint="eastAsia"/>
                      <w:highlight w:val="yellow"/>
                    </w:rPr>
                    <w:t>排气筒D</w:t>
                  </w:r>
                  <w:r>
                    <w:rPr>
                      <w:highlight w:val="yellow"/>
                    </w:rPr>
                    <w:t>A003</w:t>
                  </w:r>
                  <w:r>
                    <w:rPr>
                      <w:rFonts w:hint="eastAsia"/>
                      <w:highlight w:val="yellow"/>
                    </w:rPr>
                    <w:t>排气筒D</w:t>
                  </w:r>
                  <w:r>
                    <w:rPr>
                      <w:highlight w:val="yellow"/>
                    </w:rPr>
                    <w:t>A004</w:t>
                  </w:r>
                </w:p>
              </w:tc>
              <w:tc>
                <w:tcPr>
                  <w:tcW w:w="2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3.2250E-04</w:t>
                  </w:r>
                </w:p>
              </w:tc>
              <w:tc>
                <w:tcPr>
                  <w:tcW w:w="424" w:type="pct"/>
                  <w:vAlign w:val="center"/>
                </w:tcPr>
                <w:p>
                  <w:pPr>
                    <w:pStyle w:val="46"/>
                    <w:adjustRightInd w:val="0"/>
                    <w:snapToGrid w:val="0"/>
                    <w:spacing w:line="240" w:lineRule="auto"/>
                    <w:ind w:firstLine="0" w:firstLineChars="0"/>
                    <w:jc w:val="center"/>
                  </w:pPr>
                  <w:r>
                    <w:rPr>
                      <w:rFonts w:eastAsia="等线" w:cs="Times New Roman"/>
                      <w:color w:val="000000"/>
                    </w:rPr>
                    <w:t>4.4792E-05</w:t>
                  </w:r>
                </w:p>
              </w:tc>
              <w:tc>
                <w:tcPr>
                  <w:tcW w:w="1127" w:type="pct"/>
                  <w:vMerge w:val="restart"/>
                  <w:tcMar>
                    <w:left w:w="28" w:type="dxa"/>
                    <w:right w:w="28" w:type="dxa"/>
                  </w:tcMar>
                  <w:vAlign w:val="center"/>
                </w:tcPr>
                <w:p>
                  <w:pPr>
                    <w:pStyle w:val="46"/>
                    <w:adjustRightInd w:val="0"/>
                    <w:snapToGrid w:val="0"/>
                    <w:spacing w:line="240" w:lineRule="auto"/>
                    <w:ind w:firstLine="0" w:firstLineChars="0"/>
                    <w:jc w:val="center"/>
                    <w:rPr>
                      <w:highlight w:val="yellow"/>
                    </w:rPr>
                  </w:pPr>
                  <w:r>
                    <w:rPr>
                      <w:rFonts w:hint="eastAsia"/>
                      <w:highlight w:val="yellow"/>
                    </w:rPr>
                    <w:t>采用低氮燃烧技术处理后通过2根2</w:t>
                  </w:r>
                  <w:r>
                    <w:rPr>
                      <w:highlight w:val="yellow"/>
                    </w:rPr>
                    <w:t>7</w:t>
                  </w:r>
                  <w:r>
                    <w:rPr>
                      <w:rFonts w:hint="eastAsia"/>
                      <w:highlight w:val="yellow"/>
                    </w:rPr>
                    <w:t>m高排气筒排放</w:t>
                  </w:r>
                </w:p>
              </w:tc>
              <w:tc>
                <w:tcPr>
                  <w:tcW w:w="306" w:type="pct"/>
                  <w:vMerge w:val="restart"/>
                  <w:tcMar>
                    <w:left w:w="28" w:type="dxa"/>
                    <w:right w:w="28" w:type="dxa"/>
                  </w:tcMar>
                  <w:vAlign w:val="center"/>
                </w:tcPr>
                <w:p>
                  <w:pPr>
                    <w:pStyle w:val="46"/>
                    <w:adjustRightInd w:val="0"/>
                    <w:snapToGrid w:val="0"/>
                    <w:spacing w:line="240" w:lineRule="auto"/>
                    <w:ind w:firstLine="0" w:firstLineChars="0"/>
                    <w:jc w:val="center"/>
                  </w:pPr>
                  <w:r>
                    <w:rPr>
                      <w:rFonts w:cs="Times New Roman"/>
                    </w:rPr>
                    <w:t>269382.5</w:t>
                  </w:r>
                </w:p>
              </w:tc>
              <w:tc>
                <w:tcPr>
                  <w:tcW w:w="396"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1.1972E+00</w:t>
                  </w: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3.2250E-04</w:t>
                  </w:r>
                </w:p>
              </w:tc>
              <w:tc>
                <w:tcPr>
                  <w:tcW w:w="459" w:type="pct"/>
                  <w:vAlign w:val="center"/>
                </w:tcPr>
                <w:p>
                  <w:pPr>
                    <w:pStyle w:val="46"/>
                    <w:adjustRightInd w:val="0"/>
                    <w:snapToGrid w:val="0"/>
                    <w:spacing w:line="240" w:lineRule="auto"/>
                    <w:ind w:firstLine="0" w:firstLineChars="0"/>
                    <w:jc w:val="center"/>
                  </w:pPr>
                  <w:r>
                    <w:rPr>
                      <w:rFonts w:eastAsia="等线" w:cs="Times New Roman"/>
                      <w:color w:val="000000"/>
                    </w:rPr>
                    <w:t>4.4792E-05</w:t>
                  </w:r>
                </w:p>
              </w:tc>
              <w:tc>
                <w:tcPr>
                  <w:tcW w:w="173" w:type="pct"/>
                  <w:vMerge w:val="restart"/>
                  <w:tcMar>
                    <w:left w:w="28" w:type="dxa"/>
                    <w:right w:w="28" w:type="dxa"/>
                  </w:tcMar>
                  <w:vAlign w:val="center"/>
                </w:tcPr>
                <w:p>
                  <w:pPr>
                    <w:pStyle w:val="46"/>
                    <w:adjustRightInd w:val="0"/>
                    <w:snapToGrid w:val="0"/>
                    <w:spacing w:line="240" w:lineRule="auto"/>
                    <w:ind w:firstLine="0" w:firstLineChars="0"/>
                    <w:jc w:val="center"/>
                  </w:pPr>
                  <w:r>
                    <w:rPr>
                      <w:rFonts w:hint="eastAsia"/>
                    </w:rPr>
                    <w:t>7</w:t>
                  </w:r>
                  <w:r>
                    <w:t>200</w:t>
                  </w:r>
                </w:p>
              </w:tc>
              <w:tc>
                <w:tcPr>
                  <w:tcW w:w="283" w:type="pct"/>
                  <w:tcBorders>
                    <w:top w:val="single" w:color="auto" w:sz="4" w:space="0"/>
                    <w:bottom w:val="single" w:color="auto" w:sz="4" w:space="0"/>
                  </w:tcBorders>
                  <w:tcMar>
                    <w:left w:w="28" w:type="dxa"/>
                    <w:right w:w="28" w:type="dxa"/>
                  </w:tcMar>
                  <w:vAlign w:val="center"/>
                </w:tcPr>
                <w:p>
                  <w:pPr>
                    <w:pStyle w:val="46"/>
                    <w:adjustRightInd w:val="0"/>
                    <w:snapToGrid w:val="0"/>
                    <w:spacing w:line="240" w:lineRule="auto"/>
                    <w:ind w:firstLine="0" w:firstLineChars="0"/>
                    <w:jc w:val="center"/>
                    <w:rPr>
                      <w:rFonts w:cs="Times New Roman"/>
                    </w:rPr>
                  </w:pPr>
                  <w:r>
                    <w:rPr>
                      <w:rFonts w:hint="eastAsia"/>
                    </w:rPr>
                    <w:t>2</w:t>
                  </w:r>
                  <w:r>
                    <w:t>0</w:t>
                  </w:r>
                </w:p>
              </w:tc>
              <w:tc>
                <w:tcPr>
                  <w:tcW w:w="213" w:type="pct"/>
                  <w:tcBorders>
                    <w:top w:val="single" w:color="auto" w:sz="4" w:space="0"/>
                    <w:bottom w:val="single" w:color="auto" w:sz="4" w:space="0"/>
                  </w:tcBorders>
                </w:tcPr>
                <w:p>
                  <w:pPr>
                    <w:pStyle w:val="46"/>
                    <w:adjustRightInd w:val="0"/>
                    <w:snapToGrid w:val="0"/>
                    <w:spacing w:line="240" w:lineRule="auto"/>
                    <w:ind w:firstLine="0" w:firstLineChars="0"/>
                    <w:jc w:val="center"/>
                    <w:rPr>
                      <w:rFonts w:cs="Times New Roman"/>
                    </w:rPr>
                  </w:pPr>
                  <w:r>
                    <w:rPr>
                      <w:rFonts w:hint="eastAsia"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51" w:type="pct"/>
                  <w:vAlign w:val="center"/>
                </w:tcPr>
                <w:p>
                  <w:pPr>
                    <w:pStyle w:val="46"/>
                    <w:adjustRightInd w:val="0"/>
                    <w:snapToGrid w:val="0"/>
                    <w:spacing w:line="240" w:lineRule="auto"/>
                    <w:ind w:firstLine="0" w:firstLineChars="0"/>
                    <w:jc w:val="center"/>
                    <w:rPr>
                      <w:spacing w:val="-8"/>
                    </w:rPr>
                  </w:pPr>
                  <w:r>
                    <w:rPr>
                      <w:rFonts w:hint="eastAsia"/>
                      <w:spacing w:val="-8"/>
                    </w:rPr>
                    <w:t>S</w:t>
                  </w:r>
                  <w:r>
                    <w:rPr>
                      <w:spacing w:val="-8"/>
                    </w:rPr>
                    <w:t>O</w:t>
                  </w:r>
                  <w:r>
                    <w:rPr>
                      <w:spacing w:val="-8"/>
                      <w:vertAlign w:val="subscript"/>
                    </w:rPr>
                    <w:t>2</w:t>
                  </w:r>
                </w:p>
              </w:tc>
              <w:tc>
                <w:tcPr>
                  <w:tcW w:w="284"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5.0000E-06</w:t>
                  </w:r>
                </w:p>
              </w:tc>
              <w:tc>
                <w:tcPr>
                  <w:tcW w:w="424" w:type="pct"/>
                  <w:vAlign w:val="center"/>
                </w:tcPr>
                <w:p>
                  <w:pPr>
                    <w:pStyle w:val="46"/>
                    <w:adjustRightInd w:val="0"/>
                    <w:snapToGrid w:val="0"/>
                    <w:spacing w:line="240" w:lineRule="auto"/>
                    <w:ind w:firstLine="0" w:firstLineChars="0"/>
                    <w:jc w:val="center"/>
                  </w:pPr>
                  <w:r>
                    <w:rPr>
                      <w:rFonts w:eastAsia="等线" w:cs="Times New Roman"/>
                      <w:color w:val="000000"/>
                    </w:rPr>
                    <w:t>6.9444E-07</w:t>
                  </w:r>
                </w:p>
              </w:tc>
              <w:tc>
                <w:tcPr>
                  <w:tcW w:w="1127"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96"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1.8561E-02</w:t>
                  </w: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5.0000E-06</w:t>
                  </w:r>
                </w:p>
              </w:tc>
              <w:tc>
                <w:tcPr>
                  <w:tcW w:w="459" w:type="pct"/>
                  <w:vAlign w:val="center"/>
                </w:tcPr>
                <w:p>
                  <w:pPr>
                    <w:pStyle w:val="46"/>
                    <w:adjustRightInd w:val="0"/>
                    <w:snapToGrid w:val="0"/>
                    <w:spacing w:line="240" w:lineRule="auto"/>
                    <w:ind w:firstLine="0" w:firstLineChars="0"/>
                    <w:jc w:val="center"/>
                  </w:pPr>
                  <w:r>
                    <w:rPr>
                      <w:rFonts w:eastAsia="等线" w:cs="Times New Roman"/>
                      <w:color w:val="000000"/>
                    </w:rPr>
                    <w:t>6.9444E-07</w:t>
                  </w:r>
                </w:p>
              </w:tc>
              <w:tc>
                <w:tcPr>
                  <w:tcW w:w="173"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83" w:type="pct"/>
                  <w:tcBorders>
                    <w:top w:val="single" w:color="auto" w:sz="4" w:space="0"/>
                    <w:bottom w:val="single" w:color="auto" w:sz="4" w:space="0"/>
                  </w:tcBorders>
                  <w:tcMar>
                    <w:left w:w="28" w:type="dxa"/>
                    <w:right w:w="28" w:type="dxa"/>
                  </w:tcMar>
                  <w:vAlign w:val="center"/>
                </w:tcPr>
                <w:p>
                  <w:pPr>
                    <w:pStyle w:val="46"/>
                    <w:adjustRightInd w:val="0"/>
                    <w:snapToGrid w:val="0"/>
                    <w:spacing w:line="240" w:lineRule="auto"/>
                    <w:ind w:firstLine="0" w:firstLineChars="0"/>
                    <w:jc w:val="center"/>
                    <w:rPr>
                      <w:rFonts w:cs="Times New Roman"/>
                    </w:rPr>
                  </w:pPr>
                  <w:r>
                    <w:rPr>
                      <w:rFonts w:hint="eastAsia"/>
                    </w:rPr>
                    <w:t>5</w:t>
                  </w:r>
                  <w:r>
                    <w:t>0</w:t>
                  </w:r>
                </w:p>
              </w:tc>
              <w:tc>
                <w:tcPr>
                  <w:tcW w:w="213" w:type="pct"/>
                  <w:tcBorders>
                    <w:top w:val="single" w:color="auto" w:sz="4" w:space="0"/>
                    <w:bottom w:val="single" w:color="auto" w:sz="4" w:space="0"/>
                  </w:tcBorders>
                </w:tcPr>
                <w:p>
                  <w:pPr>
                    <w:pStyle w:val="46"/>
                    <w:adjustRightInd w:val="0"/>
                    <w:snapToGrid w:val="0"/>
                    <w:spacing w:line="240" w:lineRule="auto"/>
                    <w:ind w:firstLine="0" w:firstLineChars="0"/>
                    <w:jc w:val="center"/>
                    <w:rPr>
                      <w:rFonts w:cs="Times New Roman"/>
                    </w:rPr>
                  </w:pPr>
                  <w:r>
                    <w:rPr>
                      <w:rFonts w:hint="eastAsia"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51" w:type="pct"/>
                  <w:vAlign w:val="center"/>
                </w:tcPr>
                <w:p>
                  <w:pPr>
                    <w:pStyle w:val="46"/>
                    <w:adjustRightInd w:val="0"/>
                    <w:snapToGrid w:val="0"/>
                    <w:spacing w:line="240" w:lineRule="auto"/>
                    <w:ind w:firstLine="0" w:firstLineChars="0"/>
                    <w:jc w:val="center"/>
                    <w:rPr>
                      <w:spacing w:val="-8"/>
                    </w:rPr>
                  </w:pPr>
                  <w:r>
                    <w:rPr>
                      <w:rFonts w:hint="eastAsia"/>
                      <w:spacing w:val="-8"/>
                    </w:rPr>
                    <w:t>N</w:t>
                  </w:r>
                  <w:r>
                    <w:rPr>
                      <w:spacing w:val="-8"/>
                    </w:rPr>
                    <w:t>O</w:t>
                  </w:r>
                  <w:r>
                    <w:rPr>
                      <w:rFonts w:hint="eastAsia"/>
                      <w:spacing w:val="-8"/>
                    </w:rPr>
                    <w:t>x</w:t>
                  </w:r>
                </w:p>
              </w:tc>
              <w:tc>
                <w:tcPr>
                  <w:tcW w:w="284"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3.9675E-02</w:t>
                  </w:r>
                </w:p>
              </w:tc>
              <w:tc>
                <w:tcPr>
                  <w:tcW w:w="424" w:type="pct"/>
                  <w:vAlign w:val="center"/>
                </w:tcPr>
                <w:p>
                  <w:pPr>
                    <w:pStyle w:val="46"/>
                    <w:adjustRightInd w:val="0"/>
                    <w:snapToGrid w:val="0"/>
                    <w:spacing w:line="240" w:lineRule="auto"/>
                    <w:ind w:firstLine="0" w:firstLineChars="0"/>
                    <w:jc w:val="center"/>
                  </w:pPr>
                  <w:r>
                    <w:rPr>
                      <w:rFonts w:eastAsia="等线" w:cs="Times New Roman"/>
                      <w:color w:val="000000"/>
                    </w:rPr>
                    <w:t>5.5104E-03</w:t>
                  </w:r>
                </w:p>
              </w:tc>
              <w:tc>
                <w:tcPr>
                  <w:tcW w:w="1127"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06"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396"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1.4728E+02</w:t>
                  </w:r>
                </w:p>
              </w:tc>
              <w:tc>
                <w:tcPr>
                  <w:tcW w:w="361" w:type="pct"/>
                  <w:tcMar>
                    <w:left w:w="28" w:type="dxa"/>
                    <w:right w:w="28" w:type="dxa"/>
                  </w:tcMar>
                  <w:vAlign w:val="center"/>
                </w:tcPr>
                <w:p>
                  <w:pPr>
                    <w:pStyle w:val="46"/>
                    <w:adjustRightInd w:val="0"/>
                    <w:snapToGrid w:val="0"/>
                    <w:spacing w:line="240" w:lineRule="auto"/>
                    <w:ind w:firstLine="0" w:firstLineChars="0"/>
                    <w:jc w:val="center"/>
                  </w:pPr>
                  <w:r>
                    <w:rPr>
                      <w:rFonts w:eastAsia="等线" w:cs="Times New Roman"/>
                      <w:color w:val="000000"/>
                    </w:rPr>
                    <w:t>3.9675E-02</w:t>
                  </w:r>
                </w:p>
              </w:tc>
              <w:tc>
                <w:tcPr>
                  <w:tcW w:w="459" w:type="pct"/>
                  <w:vAlign w:val="center"/>
                </w:tcPr>
                <w:p>
                  <w:pPr>
                    <w:pStyle w:val="46"/>
                    <w:adjustRightInd w:val="0"/>
                    <w:snapToGrid w:val="0"/>
                    <w:spacing w:line="240" w:lineRule="auto"/>
                    <w:ind w:firstLine="0" w:firstLineChars="0"/>
                    <w:jc w:val="center"/>
                  </w:pPr>
                  <w:r>
                    <w:rPr>
                      <w:rFonts w:eastAsia="等线" w:cs="Times New Roman"/>
                      <w:color w:val="000000"/>
                    </w:rPr>
                    <w:t>5.5104E-03</w:t>
                  </w:r>
                </w:p>
              </w:tc>
              <w:tc>
                <w:tcPr>
                  <w:tcW w:w="173" w:type="pct"/>
                  <w:vMerge w:val="continue"/>
                  <w:tcMar>
                    <w:left w:w="28" w:type="dxa"/>
                    <w:right w:w="28" w:type="dxa"/>
                  </w:tcMar>
                  <w:vAlign w:val="center"/>
                </w:tcPr>
                <w:p>
                  <w:pPr>
                    <w:pStyle w:val="46"/>
                    <w:adjustRightInd w:val="0"/>
                    <w:snapToGrid w:val="0"/>
                    <w:spacing w:line="240" w:lineRule="auto"/>
                    <w:ind w:firstLine="0" w:firstLineChars="0"/>
                    <w:jc w:val="center"/>
                  </w:pPr>
                </w:p>
              </w:tc>
              <w:tc>
                <w:tcPr>
                  <w:tcW w:w="283" w:type="pct"/>
                  <w:tcBorders>
                    <w:top w:val="single" w:color="auto" w:sz="4" w:space="0"/>
                    <w:bottom w:val="single" w:color="auto" w:sz="4" w:space="0"/>
                  </w:tcBorders>
                  <w:tcMar>
                    <w:left w:w="28" w:type="dxa"/>
                    <w:right w:w="28" w:type="dxa"/>
                  </w:tcMar>
                  <w:vAlign w:val="center"/>
                </w:tcPr>
                <w:p>
                  <w:pPr>
                    <w:pStyle w:val="46"/>
                    <w:adjustRightInd w:val="0"/>
                    <w:snapToGrid w:val="0"/>
                    <w:spacing w:line="240" w:lineRule="auto"/>
                    <w:ind w:firstLine="0" w:firstLineChars="0"/>
                    <w:jc w:val="center"/>
                    <w:rPr>
                      <w:rFonts w:cs="Times New Roman"/>
                    </w:rPr>
                  </w:pPr>
                  <w:r>
                    <w:t>150</w:t>
                  </w:r>
                </w:p>
              </w:tc>
              <w:tc>
                <w:tcPr>
                  <w:tcW w:w="213" w:type="pct"/>
                  <w:tcBorders>
                    <w:top w:val="single" w:color="auto" w:sz="4" w:space="0"/>
                    <w:bottom w:val="single" w:color="auto" w:sz="4" w:space="0"/>
                  </w:tcBorders>
                </w:tcPr>
                <w:p>
                  <w:pPr>
                    <w:pStyle w:val="46"/>
                    <w:adjustRightInd w:val="0"/>
                    <w:snapToGrid w:val="0"/>
                    <w:spacing w:line="240" w:lineRule="auto"/>
                    <w:ind w:firstLine="0" w:firstLineChars="0"/>
                    <w:jc w:val="center"/>
                    <w:rPr>
                      <w:rFonts w:cs="Times New Roman"/>
                    </w:rPr>
                  </w:pPr>
                  <w:r>
                    <w:rPr>
                      <w:rFonts w:hint="eastAsia" w:cs="Times New Roman"/>
                    </w:rPr>
                    <w:t>/</w:t>
                  </w:r>
                </w:p>
              </w:tc>
            </w:tr>
          </w:tbl>
          <w:p>
            <w:pPr>
              <w:pStyle w:val="46"/>
              <w:widowControl w:val="0"/>
              <w:ind w:firstLine="400"/>
              <w:rPr>
                <w:rFonts w:ascii="宋体" w:hAnsi="宋体"/>
                <w:bCs/>
                <w:spacing w:val="-10"/>
              </w:rPr>
            </w:pPr>
          </w:p>
        </w:tc>
      </w:tr>
    </w:tbl>
    <w:p>
      <w:pPr>
        <w:pStyle w:val="17"/>
        <w:adjustRightInd w:val="0"/>
        <w:snapToGrid w:val="0"/>
        <w:spacing w:before="0" w:beforeAutospacing="0" w:after="0" w:afterAutospacing="0"/>
        <w:jc w:val="center"/>
        <w:outlineLvl w:val="0"/>
        <w:rPr>
          <w:rFonts w:ascii="黑体" w:hAnsi="黑体" w:eastAsia="黑体"/>
          <w:snapToGrid w:val="0"/>
          <w:sz w:val="30"/>
          <w:szCs w:val="30"/>
        </w:rPr>
        <w:sectPr>
          <w:pgSz w:w="16838" w:h="11906" w:orient="landscape"/>
          <w:pgMar w:top="1134" w:right="1134" w:bottom="1134" w:left="1134" w:header="851" w:footer="851" w:gutter="0"/>
          <w:cols w:space="720" w:num="1"/>
          <w:docGrid w:linePitch="312" w:charSpace="0"/>
        </w:sectPr>
      </w:pP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91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25" w:type="pct"/>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4675" w:type="pct"/>
            <w:vAlign w:val="center"/>
          </w:tcPr>
          <w:p>
            <w:pPr>
              <w:pStyle w:val="46"/>
              <w:ind w:firstLine="422"/>
              <w:rPr>
                <w:b/>
                <w:bCs/>
                <w:lang w:val="zh-CN"/>
              </w:rPr>
            </w:pPr>
            <w:r>
              <w:rPr>
                <w:rFonts w:hint="eastAsia"/>
                <w:b/>
                <w:bCs/>
                <w:lang w:val="zh-CN"/>
              </w:rPr>
              <w:t>1</w:t>
            </w:r>
            <w:r>
              <w:rPr>
                <w:b/>
                <w:bCs/>
                <w:lang w:val="zh-CN"/>
              </w:rPr>
              <w:t xml:space="preserve">.2 </w:t>
            </w:r>
            <w:r>
              <w:rPr>
                <w:rFonts w:hint="eastAsia"/>
                <w:b/>
                <w:bCs/>
                <w:lang w:val="zh-CN"/>
              </w:rPr>
              <w:t>措施可行性分析</w:t>
            </w:r>
          </w:p>
          <w:p>
            <w:pPr>
              <w:spacing w:line="360" w:lineRule="auto"/>
              <w:ind w:firstLine="411" w:firstLineChars="196"/>
              <w:rPr>
                <w:rFonts w:cs="宋体"/>
                <w:color w:val="000000"/>
                <w:szCs w:val="21"/>
              </w:rPr>
            </w:pPr>
            <w:r>
              <w:rPr>
                <w:rFonts w:hint="eastAsia" w:cs="宋体"/>
                <w:color w:val="000000"/>
                <w:szCs w:val="21"/>
              </w:rPr>
              <w:t>综上，本项目拟采取的废气能够达标排放，且</w:t>
            </w:r>
            <w:bookmarkStart w:id="8" w:name="_Hlk149223458"/>
            <w:r>
              <w:rPr>
                <w:rFonts w:hint="eastAsia" w:cs="宋体"/>
                <w:color w:val="000000"/>
                <w:szCs w:val="21"/>
              </w:rPr>
              <w:t>根据《排污许可证申请与核发技术规范 锅炉》（HJ10</w:t>
            </w:r>
            <w:r>
              <w:rPr>
                <w:rFonts w:cs="宋体"/>
                <w:color w:val="000000"/>
                <w:szCs w:val="21"/>
              </w:rPr>
              <w:t xml:space="preserve"> 953</w:t>
            </w:r>
            <w:r>
              <w:rPr>
                <w:rFonts w:hint="eastAsia" w:cs="宋体"/>
                <w:color w:val="000000"/>
                <w:szCs w:val="21"/>
              </w:rPr>
              <w:t>4-201</w:t>
            </w:r>
            <w:r>
              <w:rPr>
                <w:rFonts w:cs="宋体"/>
                <w:color w:val="000000"/>
                <w:szCs w:val="21"/>
              </w:rPr>
              <w:t>8</w:t>
            </w:r>
            <w:r>
              <w:rPr>
                <w:rFonts w:hint="eastAsia" w:cs="宋体"/>
                <w:color w:val="000000"/>
                <w:szCs w:val="21"/>
              </w:rPr>
              <w:t>）燃气锅炉无需设置废气治理措施</w:t>
            </w:r>
            <w:bookmarkEnd w:id="8"/>
            <w:r>
              <w:rPr>
                <w:rFonts w:hint="eastAsia" w:cs="宋体"/>
                <w:color w:val="000000"/>
                <w:szCs w:val="21"/>
              </w:rPr>
              <w:t>。</w:t>
            </w:r>
          </w:p>
          <w:p>
            <w:pPr>
              <w:pStyle w:val="46"/>
              <w:ind w:firstLine="422"/>
              <w:rPr>
                <w:lang w:val="zh-CN"/>
              </w:rPr>
            </w:pPr>
            <w:r>
              <w:rPr>
                <w:rFonts w:hint="eastAsia" w:cs="Times New Roman"/>
                <w:b/>
              </w:rPr>
              <w:t>1</w:t>
            </w:r>
            <w:r>
              <w:rPr>
                <w:rFonts w:cs="Times New Roman"/>
                <w:b/>
              </w:rPr>
              <w:t>.3</w:t>
            </w:r>
            <w:r>
              <w:rPr>
                <w:rFonts w:hint="eastAsia" w:cs="Times New Roman"/>
                <w:b/>
              </w:rPr>
              <w:t>达标性分析</w:t>
            </w:r>
          </w:p>
          <w:p>
            <w:pPr>
              <w:pStyle w:val="46"/>
              <w:ind w:firstLine="420"/>
            </w:pPr>
            <w:r>
              <w:rPr>
                <w:rFonts w:hint="eastAsia"/>
              </w:rPr>
              <w:t>根据表4-</w:t>
            </w:r>
            <w:r>
              <w:t>8</w:t>
            </w:r>
            <w:r>
              <w:rPr>
                <w:rFonts w:hint="eastAsia"/>
              </w:rPr>
              <w:t>可知，</w:t>
            </w:r>
            <w:bookmarkStart w:id="9" w:name="_Hlk149223482"/>
            <w:r>
              <w:rPr>
                <w:rFonts w:hint="eastAsia"/>
              </w:rPr>
              <w:t>锅炉烟气满足《锅炉大气污染物排放标准》（GB 13271-2014）中表3大气污染物特别排放限值，对环境影响在可接受范围内。</w:t>
            </w:r>
          </w:p>
          <w:bookmarkEnd w:id="9"/>
          <w:p>
            <w:pPr>
              <w:pStyle w:val="46"/>
              <w:ind w:firstLine="422"/>
              <w:rPr>
                <w:b/>
                <w:bCs/>
              </w:rPr>
            </w:pPr>
            <w:r>
              <w:rPr>
                <w:rFonts w:hint="eastAsia"/>
                <w:b/>
                <w:bCs/>
              </w:rPr>
              <w:t>1</w:t>
            </w:r>
            <w:r>
              <w:rPr>
                <w:b/>
                <w:bCs/>
              </w:rPr>
              <w:t xml:space="preserve">.4 </w:t>
            </w:r>
            <w:r>
              <w:rPr>
                <w:rFonts w:hint="eastAsia"/>
                <w:b/>
                <w:bCs/>
              </w:rPr>
              <w:t>监测计划</w:t>
            </w:r>
          </w:p>
          <w:p>
            <w:pPr>
              <w:adjustRightInd w:val="0"/>
              <w:snapToGrid w:val="0"/>
              <w:spacing w:line="360" w:lineRule="auto"/>
              <w:ind w:firstLine="420" w:firstLineChars="200"/>
              <w:rPr>
                <w:szCs w:val="21"/>
              </w:rPr>
            </w:pPr>
            <w:r>
              <w:rPr>
                <w:rFonts w:hint="eastAsia"/>
              </w:rPr>
              <w:t>根据</w:t>
            </w:r>
            <w:r>
              <w:rPr>
                <w:rFonts w:hint="eastAsia"/>
                <w:szCs w:val="21"/>
              </w:rPr>
              <w:t>《排污单位自行监测技术指南 火力发电及锅炉》（HJ 820-2017），制定本项目大气监测计划如下。</w:t>
            </w:r>
          </w:p>
          <w:p>
            <w:pPr>
              <w:adjustRightInd w:val="0"/>
              <w:snapToGrid w:val="0"/>
              <w:jc w:val="center"/>
              <w:rPr>
                <w:b/>
                <w:bCs/>
                <w:szCs w:val="21"/>
                <w:u w:val="single"/>
              </w:rPr>
            </w:pPr>
            <w:r>
              <w:rPr>
                <w:rFonts w:hint="eastAsia"/>
                <w:b/>
                <w:bCs/>
                <w:szCs w:val="21"/>
                <w:u w:val="single"/>
                <w:lang w:val="zh-CN"/>
              </w:rPr>
              <w:t>表4</w:t>
            </w:r>
            <w:r>
              <w:rPr>
                <w:b/>
                <w:bCs/>
                <w:szCs w:val="21"/>
                <w:u w:val="single"/>
                <w:lang w:val="zh-CN"/>
              </w:rPr>
              <w:t xml:space="preserve">-10  </w:t>
            </w:r>
            <w:r>
              <w:rPr>
                <w:rFonts w:hint="eastAsia"/>
                <w:b/>
                <w:bCs/>
                <w:szCs w:val="21"/>
                <w:u w:val="single"/>
              </w:rPr>
              <w:t>本项目</w:t>
            </w:r>
            <w:r>
              <w:rPr>
                <w:b/>
                <w:bCs/>
                <w:iCs/>
                <w:szCs w:val="21"/>
                <w:u w:val="single"/>
              </w:rPr>
              <w:t>排气口设置及大气污染物监测计划</w:t>
            </w:r>
          </w:p>
          <w:tbl>
            <w:tblPr>
              <w:tblStyle w:val="1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5" w:type="dxa"/>
                <w:left w:w="15" w:type="dxa"/>
                <w:bottom w:w="15" w:type="dxa"/>
                <w:right w:w="15" w:type="dxa"/>
              </w:tblCellMar>
            </w:tblPr>
            <w:tblGrid>
              <w:gridCol w:w="823"/>
              <w:gridCol w:w="1119"/>
              <w:gridCol w:w="910"/>
              <w:gridCol w:w="910"/>
              <w:gridCol w:w="962"/>
              <w:gridCol w:w="1865"/>
              <w:gridCol w:w="1126"/>
              <w:gridCol w:w="678"/>
              <w:gridCol w:w="53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461" w:type="pct"/>
                  <w:vMerge w:val="restart"/>
                  <w:tcBorders>
                    <w:tl2br w:val="nil"/>
                    <w:tr2bl w:val="nil"/>
                  </w:tcBorders>
                  <w:vAlign w:val="center"/>
                </w:tcPr>
                <w:p>
                  <w:pPr>
                    <w:widowControl/>
                    <w:jc w:val="center"/>
                    <w:textAlignment w:val="center"/>
                    <w:rPr>
                      <w:iCs/>
                      <w:szCs w:val="21"/>
                    </w:rPr>
                  </w:pPr>
                  <w:r>
                    <w:rPr>
                      <w:iCs/>
                      <w:szCs w:val="21"/>
                    </w:rPr>
                    <w:t>污染源类别</w:t>
                  </w:r>
                </w:p>
              </w:tc>
              <w:tc>
                <w:tcPr>
                  <w:tcW w:w="627" w:type="pct"/>
                  <w:vMerge w:val="restart"/>
                  <w:tcBorders>
                    <w:tl2br w:val="nil"/>
                    <w:tr2bl w:val="nil"/>
                  </w:tcBorders>
                  <w:vAlign w:val="center"/>
                </w:tcPr>
                <w:p>
                  <w:pPr>
                    <w:widowControl/>
                    <w:jc w:val="center"/>
                    <w:textAlignment w:val="center"/>
                    <w:rPr>
                      <w:iCs/>
                      <w:szCs w:val="21"/>
                    </w:rPr>
                  </w:pPr>
                  <w:r>
                    <w:rPr>
                      <w:iCs/>
                      <w:szCs w:val="21"/>
                    </w:rPr>
                    <w:t>排污口编号</w:t>
                  </w:r>
                </w:p>
              </w:tc>
              <w:tc>
                <w:tcPr>
                  <w:tcW w:w="2604" w:type="pct"/>
                  <w:gridSpan w:val="4"/>
                  <w:tcBorders>
                    <w:tl2br w:val="nil"/>
                    <w:tr2bl w:val="nil"/>
                  </w:tcBorders>
                  <w:vAlign w:val="center"/>
                </w:tcPr>
                <w:p>
                  <w:pPr>
                    <w:widowControl/>
                    <w:jc w:val="center"/>
                    <w:textAlignment w:val="center"/>
                    <w:rPr>
                      <w:iCs/>
                      <w:kern w:val="0"/>
                      <w:szCs w:val="21"/>
                      <w:lang w:bidi="ar"/>
                    </w:rPr>
                  </w:pPr>
                  <w:r>
                    <w:rPr>
                      <w:iCs/>
                      <w:kern w:val="0"/>
                      <w:szCs w:val="21"/>
                      <w:lang w:bidi="ar"/>
                    </w:rPr>
                    <w:t>排放口基本情况</w:t>
                  </w:r>
                </w:p>
              </w:tc>
              <w:tc>
                <w:tcPr>
                  <w:tcW w:w="1308" w:type="pct"/>
                  <w:gridSpan w:val="3"/>
                  <w:tcBorders>
                    <w:tl2br w:val="nil"/>
                    <w:tr2bl w:val="nil"/>
                  </w:tcBorders>
                  <w:vAlign w:val="center"/>
                </w:tcPr>
                <w:p>
                  <w:pPr>
                    <w:widowControl/>
                    <w:jc w:val="center"/>
                    <w:textAlignment w:val="center"/>
                    <w:rPr>
                      <w:iCs/>
                      <w:kern w:val="0"/>
                      <w:szCs w:val="21"/>
                      <w:lang w:bidi="ar"/>
                    </w:rPr>
                  </w:pPr>
                  <w:r>
                    <w:rPr>
                      <w:iCs/>
                      <w:kern w:val="0"/>
                      <w:szCs w:val="21"/>
                      <w:lang w:bidi="ar"/>
                    </w:rPr>
                    <w:t>监测要求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461" w:type="pct"/>
                  <w:vMerge w:val="continue"/>
                  <w:tcBorders>
                    <w:tl2br w:val="nil"/>
                    <w:tr2bl w:val="nil"/>
                  </w:tcBorders>
                  <w:vAlign w:val="center"/>
                </w:tcPr>
                <w:p>
                  <w:pPr>
                    <w:jc w:val="center"/>
                    <w:rPr>
                      <w:iCs/>
                      <w:szCs w:val="21"/>
                    </w:rPr>
                  </w:pPr>
                </w:p>
              </w:tc>
              <w:tc>
                <w:tcPr>
                  <w:tcW w:w="627" w:type="pct"/>
                  <w:vMerge w:val="continue"/>
                  <w:tcBorders>
                    <w:tl2br w:val="nil"/>
                    <w:tr2bl w:val="nil"/>
                  </w:tcBorders>
                  <w:vAlign w:val="center"/>
                </w:tcPr>
                <w:p>
                  <w:pPr>
                    <w:jc w:val="center"/>
                    <w:rPr>
                      <w:iCs/>
                      <w:szCs w:val="21"/>
                    </w:rPr>
                  </w:pPr>
                </w:p>
              </w:tc>
              <w:tc>
                <w:tcPr>
                  <w:tcW w:w="510" w:type="pct"/>
                  <w:tcBorders>
                    <w:tl2br w:val="nil"/>
                    <w:tr2bl w:val="nil"/>
                  </w:tcBorders>
                  <w:vAlign w:val="center"/>
                </w:tcPr>
                <w:p>
                  <w:pPr>
                    <w:widowControl/>
                    <w:jc w:val="center"/>
                    <w:textAlignment w:val="center"/>
                    <w:rPr>
                      <w:iCs/>
                      <w:szCs w:val="21"/>
                    </w:rPr>
                  </w:pPr>
                  <w:r>
                    <w:rPr>
                      <w:iCs/>
                      <w:szCs w:val="21"/>
                    </w:rPr>
                    <w:t>高度（m）</w:t>
                  </w:r>
                </w:p>
              </w:tc>
              <w:tc>
                <w:tcPr>
                  <w:tcW w:w="510" w:type="pct"/>
                  <w:tcBorders>
                    <w:tl2br w:val="nil"/>
                    <w:tr2bl w:val="nil"/>
                  </w:tcBorders>
                  <w:vAlign w:val="center"/>
                </w:tcPr>
                <w:p>
                  <w:pPr>
                    <w:widowControl/>
                    <w:jc w:val="center"/>
                    <w:textAlignment w:val="center"/>
                    <w:rPr>
                      <w:iCs/>
                      <w:szCs w:val="21"/>
                    </w:rPr>
                  </w:pPr>
                  <w:r>
                    <w:rPr>
                      <w:iCs/>
                      <w:szCs w:val="21"/>
                    </w:rPr>
                    <w:t>内径（m）</w:t>
                  </w:r>
                </w:p>
              </w:tc>
              <w:tc>
                <w:tcPr>
                  <w:tcW w:w="539" w:type="pct"/>
                  <w:tcBorders>
                    <w:tl2br w:val="nil"/>
                    <w:tr2bl w:val="nil"/>
                  </w:tcBorders>
                  <w:vAlign w:val="center"/>
                </w:tcPr>
                <w:p>
                  <w:pPr>
                    <w:widowControl/>
                    <w:jc w:val="center"/>
                    <w:textAlignment w:val="center"/>
                    <w:rPr>
                      <w:iCs/>
                      <w:szCs w:val="21"/>
                    </w:rPr>
                  </w:pPr>
                  <w:r>
                    <w:rPr>
                      <w:iCs/>
                      <w:szCs w:val="21"/>
                    </w:rPr>
                    <w:t>温度（℃）</w:t>
                  </w:r>
                </w:p>
              </w:tc>
              <w:tc>
                <w:tcPr>
                  <w:tcW w:w="1045" w:type="pct"/>
                  <w:tcBorders>
                    <w:tl2br w:val="nil"/>
                    <w:tr2bl w:val="nil"/>
                  </w:tcBorders>
                  <w:vAlign w:val="center"/>
                </w:tcPr>
                <w:p>
                  <w:pPr>
                    <w:widowControl/>
                    <w:jc w:val="center"/>
                    <w:textAlignment w:val="center"/>
                    <w:rPr>
                      <w:iCs/>
                      <w:szCs w:val="21"/>
                    </w:rPr>
                  </w:pPr>
                  <w:r>
                    <w:rPr>
                      <w:iCs/>
                      <w:szCs w:val="21"/>
                    </w:rPr>
                    <w:t>坐标</w:t>
                  </w:r>
                  <w:r>
                    <w:rPr>
                      <w:rFonts w:hint="eastAsia"/>
                      <w:iCs/>
                      <w:szCs w:val="21"/>
                    </w:rPr>
                    <w:t>（°）</w:t>
                  </w:r>
                </w:p>
              </w:tc>
              <w:tc>
                <w:tcPr>
                  <w:tcW w:w="631" w:type="pct"/>
                  <w:tcBorders>
                    <w:tl2br w:val="nil"/>
                    <w:tr2bl w:val="nil"/>
                  </w:tcBorders>
                  <w:vAlign w:val="center"/>
                </w:tcPr>
                <w:p>
                  <w:pPr>
                    <w:widowControl/>
                    <w:jc w:val="center"/>
                    <w:textAlignment w:val="center"/>
                    <w:rPr>
                      <w:iCs/>
                      <w:kern w:val="0"/>
                      <w:szCs w:val="21"/>
                      <w:lang w:bidi="ar"/>
                    </w:rPr>
                  </w:pPr>
                  <w:r>
                    <w:rPr>
                      <w:iCs/>
                      <w:kern w:val="0"/>
                      <w:szCs w:val="21"/>
                      <w:lang w:bidi="ar"/>
                    </w:rPr>
                    <w:t>监测</w:t>
                  </w:r>
                </w:p>
                <w:p>
                  <w:pPr>
                    <w:widowControl/>
                    <w:jc w:val="center"/>
                    <w:textAlignment w:val="center"/>
                    <w:rPr>
                      <w:iCs/>
                      <w:kern w:val="0"/>
                      <w:szCs w:val="21"/>
                      <w:lang w:bidi="ar"/>
                    </w:rPr>
                  </w:pPr>
                  <w:r>
                    <w:rPr>
                      <w:iCs/>
                      <w:kern w:val="0"/>
                      <w:szCs w:val="21"/>
                      <w:lang w:bidi="ar"/>
                    </w:rPr>
                    <w:t>点位</w:t>
                  </w:r>
                </w:p>
              </w:tc>
              <w:tc>
                <w:tcPr>
                  <w:tcW w:w="380" w:type="pct"/>
                  <w:tcBorders>
                    <w:tl2br w:val="nil"/>
                    <w:tr2bl w:val="nil"/>
                  </w:tcBorders>
                  <w:vAlign w:val="center"/>
                </w:tcPr>
                <w:p>
                  <w:pPr>
                    <w:widowControl/>
                    <w:jc w:val="center"/>
                    <w:textAlignment w:val="center"/>
                    <w:rPr>
                      <w:iCs/>
                      <w:kern w:val="0"/>
                      <w:szCs w:val="21"/>
                      <w:lang w:bidi="ar"/>
                    </w:rPr>
                  </w:pPr>
                  <w:r>
                    <w:rPr>
                      <w:iCs/>
                      <w:kern w:val="0"/>
                      <w:szCs w:val="21"/>
                      <w:lang w:bidi="ar"/>
                    </w:rPr>
                    <w:t>监测因子</w:t>
                  </w:r>
                </w:p>
              </w:tc>
              <w:tc>
                <w:tcPr>
                  <w:tcW w:w="297" w:type="pct"/>
                  <w:tcBorders>
                    <w:tl2br w:val="nil"/>
                    <w:tr2bl w:val="nil"/>
                  </w:tcBorders>
                  <w:vAlign w:val="center"/>
                </w:tcPr>
                <w:p>
                  <w:pPr>
                    <w:widowControl/>
                    <w:jc w:val="center"/>
                    <w:textAlignment w:val="center"/>
                    <w:rPr>
                      <w:iCs/>
                      <w:kern w:val="0"/>
                      <w:szCs w:val="21"/>
                      <w:lang w:bidi="ar"/>
                    </w:rPr>
                  </w:pPr>
                  <w:r>
                    <w:rPr>
                      <w:iCs/>
                      <w:kern w:val="0"/>
                      <w:szCs w:val="21"/>
                      <w:lang w:bidi="ar"/>
                    </w:rPr>
                    <w:t>监测</w:t>
                  </w:r>
                </w:p>
                <w:p>
                  <w:pPr>
                    <w:widowControl/>
                    <w:jc w:val="center"/>
                    <w:textAlignment w:val="center"/>
                    <w:rPr>
                      <w:iCs/>
                      <w:kern w:val="0"/>
                      <w:szCs w:val="21"/>
                      <w:lang w:bidi="ar"/>
                    </w:rPr>
                  </w:pPr>
                  <w:r>
                    <w:rPr>
                      <w:iCs/>
                      <w:kern w:val="0"/>
                      <w:szCs w:val="21"/>
                      <w:lang w:bidi="ar"/>
                    </w:rPr>
                    <w:t>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461" w:type="pct"/>
                  <w:vMerge w:val="continue"/>
                  <w:tcBorders>
                    <w:tl2br w:val="nil"/>
                    <w:tr2bl w:val="nil"/>
                  </w:tcBorders>
                  <w:vAlign w:val="center"/>
                </w:tcPr>
                <w:p>
                  <w:pPr>
                    <w:jc w:val="center"/>
                    <w:rPr>
                      <w:iCs/>
                      <w:szCs w:val="21"/>
                    </w:rPr>
                  </w:pPr>
                </w:p>
              </w:tc>
              <w:tc>
                <w:tcPr>
                  <w:tcW w:w="627" w:type="pct"/>
                  <w:vMerge w:val="restart"/>
                  <w:tcBorders>
                    <w:tl2br w:val="nil"/>
                    <w:tr2bl w:val="nil"/>
                  </w:tcBorders>
                  <w:vAlign w:val="center"/>
                </w:tcPr>
                <w:p>
                  <w:pPr>
                    <w:jc w:val="center"/>
                    <w:rPr>
                      <w:iCs/>
                      <w:szCs w:val="21"/>
                    </w:rPr>
                  </w:pPr>
                  <w:r>
                    <w:rPr>
                      <w:iCs/>
                      <w:szCs w:val="21"/>
                    </w:rPr>
                    <w:t>DA001 DA002</w:t>
                  </w:r>
                </w:p>
              </w:tc>
              <w:tc>
                <w:tcPr>
                  <w:tcW w:w="510" w:type="pct"/>
                  <w:vMerge w:val="restart"/>
                  <w:tcBorders>
                    <w:tl2br w:val="nil"/>
                    <w:tr2bl w:val="nil"/>
                  </w:tcBorders>
                  <w:vAlign w:val="center"/>
                </w:tcPr>
                <w:p>
                  <w:pPr>
                    <w:widowControl/>
                    <w:jc w:val="center"/>
                    <w:textAlignment w:val="center"/>
                    <w:rPr>
                      <w:iCs/>
                      <w:kern w:val="0"/>
                      <w:szCs w:val="21"/>
                      <w:lang w:bidi="ar"/>
                    </w:rPr>
                  </w:pPr>
                  <w:r>
                    <w:rPr>
                      <w:rFonts w:hint="eastAsia"/>
                      <w:iCs/>
                      <w:kern w:val="0"/>
                      <w:szCs w:val="21"/>
                      <w:lang w:bidi="ar"/>
                    </w:rPr>
                    <w:t>2</w:t>
                  </w:r>
                  <w:r>
                    <w:rPr>
                      <w:iCs/>
                      <w:kern w:val="0"/>
                      <w:szCs w:val="21"/>
                      <w:lang w:bidi="ar"/>
                    </w:rPr>
                    <w:t>7</w:t>
                  </w:r>
                </w:p>
              </w:tc>
              <w:tc>
                <w:tcPr>
                  <w:tcW w:w="510" w:type="pct"/>
                  <w:vMerge w:val="restart"/>
                  <w:tcBorders>
                    <w:tl2br w:val="nil"/>
                    <w:tr2bl w:val="nil"/>
                  </w:tcBorders>
                  <w:vAlign w:val="center"/>
                </w:tcPr>
                <w:p>
                  <w:pPr>
                    <w:widowControl/>
                    <w:jc w:val="center"/>
                    <w:textAlignment w:val="center"/>
                    <w:rPr>
                      <w:iCs/>
                      <w:kern w:val="0"/>
                      <w:szCs w:val="21"/>
                      <w:lang w:bidi="ar"/>
                    </w:rPr>
                  </w:pPr>
                  <w:r>
                    <w:rPr>
                      <w:rFonts w:hint="eastAsia"/>
                      <w:iCs/>
                      <w:kern w:val="0"/>
                      <w:szCs w:val="21"/>
                      <w:lang w:bidi="ar"/>
                    </w:rPr>
                    <w:t>0</w:t>
                  </w:r>
                  <w:r>
                    <w:rPr>
                      <w:iCs/>
                      <w:kern w:val="0"/>
                      <w:szCs w:val="21"/>
                      <w:lang w:bidi="ar"/>
                    </w:rPr>
                    <w:t>.2</w:t>
                  </w:r>
                </w:p>
              </w:tc>
              <w:tc>
                <w:tcPr>
                  <w:tcW w:w="539" w:type="pct"/>
                  <w:vMerge w:val="restart"/>
                  <w:tcBorders>
                    <w:tl2br w:val="nil"/>
                    <w:tr2bl w:val="nil"/>
                  </w:tcBorders>
                  <w:vAlign w:val="center"/>
                </w:tcPr>
                <w:p>
                  <w:pPr>
                    <w:widowControl/>
                    <w:jc w:val="center"/>
                    <w:textAlignment w:val="center"/>
                    <w:rPr>
                      <w:iCs/>
                      <w:kern w:val="0"/>
                      <w:szCs w:val="21"/>
                      <w:lang w:bidi="ar"/>
                    </w:rPr>
                  </w:pPr>
                  <w:r>
                    <w:rPr>
                      <w:iCs/>
                      <w:kern w:val="0"/>
                      <w:szCs w:val="21"/>
                      <w:lang w:bidi="ar"/>
                    </w:rPr>
                    <w:t>20</w:t>
                  </w:r>
                </w:p>
              </w:tc>
              <w:tc>
                <w:tcPr>
                  <w:tcW w:w="1045" w:type="pct"/>
                  <w:vMerge w:val="restart"/>
                  <w:tcBorders>
                    <w:tl2br w:val="nil"/>
                    <w:tr2bl w:val="nil"/>
                  </w:tcBorders>
                  <w:vAlign w:val="center"/>
                </w:tcPr>
                <w:p>
                  <w:pPr>
                    <w:widowControl/>
                    <w:jc w:val="center"/>
                    <w:textAlignment w:val="center"/>
                    <w:rPr>
                      <w:iCs/>
                      <w:kern w:val="0"/>
                      <w:szCs w:val="21"/>
                      <w:lang w:bidi="ar"/>
                    </w:rPr>
                  </w:pPr>
                  <w:r>
                    <w:rPr>
                      <w:iCs/>
                      <w:kern w:val="0"/>
                      <w:szCs w:val="21"/>
                      <w:lang w:bidi="ar"/>
                    </w:rPr>
                    <w:t>125.406928</w:t>
                  </w:r>
                  <w:r>
                    <w:rPr>
                      <w:rFonts w:hint="eastAsia"/>
                      <w:iCs/>
                      <w:kern w:val="0"/>
                      <w:szCs w:val="21"/>
                      <w:lang w:bidi="ar"/>
                    </w:rPr>
                    <w:t>；</w:t>
                  </w:r>
                  <w:r>
                    <w:rPr>
                      <w:iCs/>
                      <w:kern w:val="0"/>
                      <w:szCs w:val="21"/>
                      <w:lang w:bidi="ar"/>
                    </w:rPr>
                    <w:t>44.014126</w:t>
                  </w:r>
                </w:p>
                <w:p>
                  <w:pPr>
                    <w:widowControl/>
                    <w:jc w:val="center"/>
                    <w:textAlignment w:val="center"/>
                    <w:rPr>
                      <w:iCs/>
                      <w:kern w:val="0"/>
                      <w:szCs w:val="21"/>
                      <w:lang w:bidi="ar"/>
                    </w:rPr>
                  </w:pPr>
                  <w:r>
                    <w:rPr>
                      <w:iCs/>
                      <w:kern w:val="0"/>
                      <w:szCs w:val="21"/>
                      <w:lang w:bidi="ar"/>
                    </w:rPr>
                    <w:t>125.406971</w:t>
                  </w:r>
                  <w:r>
                    <w:rPr>
                      <w:rFonts w:hint="eastAsia"/>
                      <w:iCs/>
                      <w:kern w:val="0"/>
                      <w:szCs w:val="21"/>
                      <w:lang w:bidi="ar"/>
                    </w:rPr>
                    <w:t>；</w:t>
                  </w:r>
                  <w:r>
                    <w:rPr>
                      <w:iCs/>
                      <w:kern w:val="0"/>
                      <w:szCs w:val="21"/>
                      <w:lang w:bidi="ar"/>
                    </w:rPr>
                    <w:t>44.014182</w:t>
                  </w:r>
                </w:p>
              </w:tc>
              <w:tc>
                <w:tcPr>
                  <w:tcW w:w="631" w:type="pct"/>
                  <w:vMerge w:val="restart"/>
                  <w:tcBorders>
                    <w:tl2br w:val="nil"/>
                    <w:tr2bl w:val="nil"/>
                  </w:tcBorders>
                  <w:vAlign w:val="center"/>
                </w:tcPr>
                <w:p>
                  <w:pPr>
                    <w:widowControl/>
                    <w:jc w:val="center"/>
                    <w:textAlignment w:val="center"/>
                    <w:rPr>
                      <w:iCs/>
                      <w:kern w:val="0"/>
                      <w:szCs w:val="21"/>
                      <w:lang w:bidi="ar"/>
                    </w:rPr>
                  </w:pPr>
                  <w:r>
                    <w:rPr>
                      <w:iCs/>
                      <w:kern w:val="0"/>
                      <w:szCs w:val="21"/>
                      <w:lang w:bidi="ar"/>
                    </w:rPr>
                    <w:t>排气筒DA01</w:t>
                  </w:r>
                  <w:r>
                    <w:rPr>
                      <w:rFonts w:hint="eastAsia"/>
                      <w:iCs/>
                      <w:kern w:val="0"/>
                      <w:szCs w:val="21"/>
                      <w:lang w:bidi="ar"/>
                    </w:rPr>
                    <w:t>1</w:t>
                  </w:r>
                </w:p>
                <w:p>
                  <w:pPr>
                    <w:widowControl/>
                    <w:jc w:val="center"/>
                    <w:textAlignment w:val="center"/>
                    <w:rPr>
                      <w:iCs/>
                      <w:kern w:val="0"/>
                      <w:szCs w:val="21"/>
                      <w:lang w:bidi="ar"/>
                    </w:rPr>
                  </w:pPr>
                  <w:r>
                    <w:rPr>
                      <w:rFonts w:hint="eastAsia"/>
                      <w:iCs/>
                      <w:kern w:val="0"/>
                      <w:szCs w:val="21"/>
                      <w:lang w:bidi="ar"/>
                    </w:rPr>
                    <w:t>D</w:t>
                  </w:r>
                  <w:r>
                    <w:rPr>
                      <w:iCs/>
                      <w:kern w:val="0"/>
                      <w:szCs w:val="21"/>
                      <w:lang w:bidi="ar"/>
                    </w:rPr>
                    <w:t>A012</w:t>
                  </w:r>
                </w:p>
              </w:tc>
              <w:tc>
                <w:tcPr>
                  <w:tcW w:w="380" w:type="pct"/>
                  <w:tcBorders>
                    <w:tl2br w:val="nil"/>
                    <w:tr2bl w:val="nil"/>
                  </w:tcBorders>
                  <w:vAlign w:val="center"/>
                </w:tcPr>
                <w:p>
                  <w:pPr>
                    <w:adjustRightInd w:val="0"/>
                    <w:snapToGrid w:val="0"/>
                    <w:jc w:val="center"/>
                    <w:rPr>
                      <w:szCs w:val="21"/>
                    </w:rPr>
                  </w:pPr>
                  <w:r>
                    <w:rPr>
                      <w:rFonts w:hint="eastAsia"/>
                      <w:szCs w:val="21"/>
                    </w:rPr>
                    <w:t>颗粒物</w:t>
                  </w:r>
                </w:p>
                <w:p>
                  <w:pPr>
                    <w:adjustRightInd w:val="0"/>
                    <w:snapToGrid w:val="0"/>
                    <w:jc w:val="center"/>
                    <w:rPr>
                      <w:szCs w:val="21"/>
                    </w:rPr>
                  </w:pPr>
                  <w:r>
                    <w:rPr>
                      <w:rFonts w:hint="eastAsia"/>
                      <w:szCs w:val="21"/>
                    </w:rPr>
                    <w:t>二氧化硫</w:t>
                  </w:r>
                </w:p>
              </w:tc>
              <w:tc>
                <w:tcPr>
                  <w:tcW w:w="297" w:type="pct"/>
                  <w:tcBorders>
                    <w:tl2br w:val="nil"/>
                    <w:tr2bl w:val="nil"/>
                  </w:tcBorders>
                  <w:vAlign w:val="center"/>
                </w:tcPr>
                <w:p>
                  <w:pPr>
                    <w:widowControl/>
                    <w:jc w:val="center"/>
                    <w:textAlignment w:val="center"/>
                    <w:rPr>
                      <w:iCs/>
                      <w:kern w:val="0"/>
                      <w:szCs w:val="21"/>
                      <w:lang w:bidi="ar"/>
                    </w:rPr>
                  </w:pPr>
                  <w:r>
                    <w:rPr>
                      <w:iCs/>
                      <w:kern w:val="0"/>
                      <w:szCs w:val="21"/>
                      <w:lang w:bidi="ar"/>
                    </w:rPr>
                    <w:t>1次/</w:t>
                  </w:r>
                  <w:r>
                    <w:rPr>
                      <w:rFonts w:hint="eastAsia"/>
                      <w:iCs/>
                      <w:kern w:val="0"/>
                      <w:szCs w:val="21"/>
                      <w:lang w:bidi="ar"/>
                    </w:rPr>
                    <w:t>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461" w:type="pct"/>
                  <w:vMerge w:val="continue"/>
                  <w:tcBorders>
                    <w:tl2br w:val="nil"/>
                    <w:tr2bl w:val="nil"/>
                  </w:tcBorders>
                  <w:vAlign w:val="center"/>
                </w:tcPr>
                <w:p>
                  <w:pPr>
                    <w:jc w:val="center"/>
                    <w:rPr>
                      <w:iCs/>
                      <w:szCs w:val="21"/>
                    </w:rPr>
                  </w:pPr>
                </w:p>
              </w:tc>
              <w:tc>
                <w:tcPr>
                  <w:tcW w:w="627" w:type="pct"/>
                  <w:vMerge w:val="continue"/>
                  <w:tcBorders>
                    <w:tl2br w:val="nil"/>
                    <w:tr2bl w:val="nil"/>
                  </w:tcBorders>
                  <w:vAlign w:val="center"/>
                </w:tcPr>
                <w:p>
                  <w:pPr>
                    <w:jc w:val="center"/>
                    <w:rPr>
                      <w:iCs/>
                      <w:szCs w:val="21"/>
                    </w:rPr>
                  </w:pPr>
                </w:p>
              </w:tc>
              <w:tc>
                <w:tcPr>
                  <w:tcW w:w="510" w:type="pct"/>
                  <w:vMerge w:val="continue"/>
                  <w:tcBorders>
                    <w:tl2br w:val="nil"/>
                    <w:tr2bl w:val="nil"/>
                  </w:tcBorders>
                  <w:vAlign w:val="center"/>
                </w:tcPr>
                <w:p>
                  <w:pPr>
                    <w:widowControl/>
                    <w:jc w:val="center"/>
                    <w:textAlignment w:val="center"/>
                    <w:rPr>
                      <w:iCs/>
                      <w:kern w:val="0"/>
                      <w:szCs w:val="21"/>
                      <w:lang w:bidi="ar"/>
                    </w:rPr>
                  </w:pPr>
                </w:p>
              </w:tc>
              <w:tc>
                <w:tcPr>
                  <w:tcW w:w="510" w:type="pct"/>
                  <w:vMerge w:val="continue"/>
                  <w:tcBorders>
                    <w:tl2br w:val="nil"/>
                    <w:tr2bl w:val="nil"/>
                  </w:tcBorders>
                  <w:vAlign w:val="center"/>
                </w:tcPr>
                <w:p>
                  <w:pPr>
                    <w:widowControl/>
                    <w:jc w:val="center"/>
                    <w:textAlignment w:val="center"/>
                    <w:rPr>
                      <w:iCs/>
                      <w:kern w:val="0"/>
                      <w:szCs w:val="21"/>
                      <w:lang w:bidi="ar"/>
                    </w:rPr>
                  </w:pPr>
                </w:p>
              </w:tc>
              <w:tc>
                <w:tcPr>
                  <w:tcW w:w="539" w:type="pct"/>
                  <w:vMerge w:val="continue"/>
                  <w:tcBorders>
                    <w:tl2br w:val="nil"/>
                    <w:tr2bl w:val="nil"/>
                  </w:tcBorders>
                  <w:vAlign w:val="center"/>
                </w:tcPr>
                <w:p>
                  <w:pPr>
                    <w:widowControl/>
                    <w:jc w:val="center"/>
                    <w:textAlignment w:val="center"/>
                    <w:rPr>
                      <w:iCs/>
                      <w:kern w:val="0"/>
                      <w:szCs w:val="21"/>
                      <w:lang w:bidi="ar"/>
                    </w:rPr>
                  </w:pPr>
                </w:p>
              </w:tc>
              <w:tc>
                <w:tcPr>
                  <w:tcW w:w="1045" w:type="pct"/>
                  <w:vMerge w:val="continue"/>
                  <w:tcBorders>
                    <w:tl2br w:val="nil"/>
                    <w:tr2bl w:val="nil"/>
                  </w:tcBorders>
                  <w:vAlign w:val="center"/>
                </w:tcPr>
                <w:p>
                  <w:pPr>
                    <w:widowControl/>
                    <w:jc w:val="center"/>
                    <w:textAlignment w:val="center"/>
                    <w:rPr>
                      <w:iCs/>
                      <w:kern w:val="0"/>
                      <w:szCs w:val="21"/>
                      <w:lang w:bidi="ar"/>
                    </w:rPr>
                  </w:pPr>
                </w:p>
              </w:tc>
              <w:tc>
                <w:tcPr>
                  <w:tcW w:w="631" w:type="pct"/>
                  <w:vMerge w:val="continue"/>
                  <w:tcBorders>
                    <w:tl2br w:val="nil"/>
                    <w:tr2bl w:val="nil"/>
                  </w:tcBorders>
                  <w:vAlign w:val="center"/>
                </w:tcPr>
                <w:p>
                  <w:pPr>
                    <w:widowControl/>
                    <w:jc w:val="center"/>
                    <w:textAlignment w:val="center"/>
                    <w:rPr>
                      <w:iCs/>
                      <w:kern w:val="0"/>
                      <w:szCs w:val="21"/>
                      <w:lang w:bidi="ar"/>
                    </w:rPr>
                  </w:pPr>
                </w:p>
              </w:tc>
              <w:tc>
                <w:tcPr>
                  <w:tcW w:w="380" w:type="pct"/>
                  <w:tcBorders>
                    <w:tl2br w:val="nil"/>
                    <w:tr2bl w:val="nil"/>
                  </w:tcBorders>
                  <w:vAlign w:val="center"/>
                </w:tcPr>
                <w:p>
                  <w:pPr>
                    <w:adjustRightInd w:val="0"/>
                    <w:snapToGrid w:val="0"/>
                    <w:jc w:val="center"/>
                    <w:rPr>
                      <w:szCs w:val="21"/>
                    </w:rPr>
                  </w:pPr>
                  <w:r>
                    <w:rPr>
                      <w:rFonts w:hint="eastAsia"/>
                      <w:szCs w:val="21"/>
                    </w:rPr>
                    <w:t>氮氧化物</w:t>
                  </w:r>
                </w:p>
              </w:tc>
              <w:tc>
                <w:tcPr>
                  <w:tcW w:w="297" w:type="pct"/>
                  <w:tcBorders>
                    <w:tl2br w:val="nil"/>
                    <w:tr2bl w:val="nil"/>
                  </w:tcBorders>
                  <w:vAlign w:val="center"/>
                </w:tcPr>
                <w:p>
                  <w:pPr>
                    <w:adjustRightInd w:val="0"/>
                    <w:snapToGrid w:val="0"/>
                    <w:jc w:val="center"/>
                    <w:rPr>
                      <w:szCs w:val="21"/>
                    </w:rPr>
                  </w:pPr>
                  <w:r>
                    <w:rPr>
                      <w:iCs/>
                      <w:kern w:val="0"/>
                      <w:szCs w:val="21"/>
                      <w:lang w:bidi="ar"/>
                    </w:rPr>
                    <w:t>1次/</w:t>
                  </w:r>
                  <w:r>
                    <w:rPr>
                      <w:rFonts w:hint="eastAsia"/>
                      <w:szCs w:val="21"/>
                    </w:rPr>
                    <w:t>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461" w:type="pct"/>
                  <w:vMerge w:val="continue"/>
                  <w:tcBorders>
                    <w:tl2br w:val="nil"/>
                    <w:tr2bl w:val="nil"/>
                  </w:tcBorders>
                  <w:vAlign w:val="center"/>
                </w:tcPr>
                <w:p>
                  <w:pPr>
                    <w:jc w:val="center"/>
                    <w:rPr>
                      <w:iCs/>
                      <w:szCs w:val="21"/>
                    </w:rPr>
                  </w:pPr>
                </w:p>
              </w:tc>
              <w:tc>
                <w:tcPr>
                  <w:tcW w:w="627" w:type="pct"/>
                  <w:vMerge w:val="restart"/>
                  <w:tcBorders>
                    <w:tl2br w:val="nil"/>
                    <w:tr2bl w:val="nil"/>
                  </w:tcBorders>
                  <w:vAlign w:val="center"/>
                </w:tcPr>
                <w:p>
                  <w:pPr>
                    <w:jc w:val="center"/>
                    <w:rPr>
                      <w:iCs/>
                      <w:szCs w:val="21"/>
                    </w:rPr>
                  </w:pPr>
                  <w:r>
                    <w:rPr>
                      <w:iCs/>
                      <w:szCs w:val="21"/>
                    </w:rPr>
                    <w:t>DA003 DA004</w:t>
                  </w:r>
                </w:p>
              </w:tc>
              <w:tc>
                <w:tcPr>
                  <w:tcW w:w="510" w:type="pct"/>
                  <w:vMerge w:val="restart"/>
                  <w:tcBorders>
                    <w:tl2br w:val="nil"/>
                    <w:tr2bl w:val="nil"/>
                  </w:tcBorders>
                  <w:vAlign w:val="center"/>
                </w:tcPr>
                <w:p>
                  <w:pPr>
                    <w:widowControl/>
                    <w:jc w:val="center"/>
                    <w:textAlignment w:val="center"/>
                    <w:rPr>
                      <w:iCs/>
                      <w:kern w:val="0"/>
                      <w:szCs w:val="21"/>
                      <w:lang w:bidi="ar"/>
                    </w:rPr>
                  </w:pPr>
                  <w:r>
                    <w:rPr>
                      <w:rFonts w:hint="eastAsia"/>
                      <w:iCs/>
                      <w:kern w:val="0"/>
                      <w:szCs w:val="21"/>
                      <w:lang w:bidi="ar"/>
                    </w:rPr>
                    <w:t>2</w:t>
                  </w:r>
                  <w:r>
                    <w:rPr>
                      <w:iCs/>
                      <w:kern w:val="0"/>
                      <w:szCs w:val="21"/>
                      <w:lang w:bidi="ar"/>
                    </w:rPr>
                    <w:t>7</w:t>
                  </w:r>
                </w:p>
              </w:tc>
              <w:tc>
                <w:tcPr>
                  <w:tcW w:w="510" w:type="pct"/>
                  <w:vMerge w:val="restart"/>
                  <w:tcBorders>
                    <w:tl2br w:val="nil"/>
                    <w:tr2bl w:val="nil"/>
                  </w:tcBorders>
                  <w:vAlign w:val="center"/>
                </w:tcPr>
                <w:p>
                  <w:pPr>
                    <w:widowControl/>
                    <w:jc w:val="center"/>
                    <w:textAlignment w:val="center"/>
                    <w:rPr>
                      <w:iCs/>
                      <w:kern w:val="0"/>
                      <w:szCs w:val="21"/>
                      <w:lang w:bidi="ar"/>
                    </w:rPr>
                  </w:pPr>
                  <w:r>
                    <w:rPr>
                      <w:rFonts w:hint="eastAsia"/>
                      <w:iCs/>
                      <w:kern w:val="0"/>
                      <w:szCs w:val="21"/>
                      <w:lang w:bidi="ar"/>
                    </w:rPr>
                    <w:t>0</w:t>
                  </w:r>
                  <w:r>
                    <w:rPr>
                      <w:iCs/>
                      <w:kern w:val="0"/>
                      <w:szCs w:val="21"/>
                      <w:lang w:bidi="ar"/>
                    </w:rPr>
                    <w:t>.2</w:t>
                  </w:r>
                </w:p>
              </w:tc>
              <w:tc>
                <w:tcPr>
                  <w:tcW w:w="539" w:type="pct"/>
                  <w:vMerge w:val="restart"/>
                  <w:tcBorders>
                    <w:tl2br w:val="nil"/>
                    <w:tr2bl w:val="nil"/>
                  </w:tcBorders>
                  <w:vAlign w:val="center"/>
                </w:tcPr>
                <w:p>
                  <w:pPr>
                    <w:widowControl/>
                    <w:jc w:val="center"/>
                    <w:textAlignment w:val="center"/>
                    <w:rPr>
                      <w:iCs/>
                      <w:kern w:val="0"/>
                      <w:szCs w:val="21"/>
                      <w:lang w:bidi="ar"/>
                    </w:rPr>
                  </w:pPr>
                  <w:r>
                    <w:rPr>
                      <w:iCs/>
                      <w:kern w:val="0"/>
                      <w:szCs w:val="21"/>
                      <w:lang w:bidi="ar"/>
                    </w:rPr>
                    <w:t>20</w:t>
                  </w:r>
                </w:p>
              </w:tc>
              <w:tc>
                <w:tcPr>
                  <w:tcW w:w="1045" w:type="pct"/>
                  <w:vMerge w:val="restart"/>
                  <w:tcBorders>
                    <w:tl2br w:val="nil"/>
                    <w:tr2bl w:val="nil"/>
                  </w:tcBorders>
                  <w:vAlign w:val="center"/>
                </w:tcPr>
                <w:p>
                  <w:pPr>
                    <w:widowControl/>
                    <w:jc w:val="center"/>
                    <w:textAlignment w:val="center"/>
                    <w:rPr>
                      <w:iCs/>
                      <w:kern w:val="0"/>
                      <w:szCs w:val="21"/>
                      <w:lang w:bidi="ar"/>
                    </w:rPr>
                  </w:pPr>
                  <w:r>
                    <w:rPr>
                      <w:iCs/>
                      <w:kern w:val="0"/>
                      <w:szCs w:val="21"/>
                      <w:lang w:bidi="ar"/>
                    </w:rPr>
                    <w:t>125.406930</w:t>
                  </w:r>
                  <w:r>
                    <w:rPr>
                      <w:rFonts w:hint="eastAsia"/>
                      <w:iCs/>
                      <w:kern w:val="0"/>
                      <w:szCs w:val="21"/>
                      <w:lang w:bidi="ar"/>
                    </w:rPr>
                    <w:t>；</w:t>
                  </w:r>
                  <w:r>
                    <w:rPr>
                      <w:iCs/>
                      <w:kern w:val="0"/>
                      <w:szCs w:val="21"/>
                      <w:lang w:bidi="ar"/>
                    </w:rPr>
                    <w:t>44.014724</w:t>
                  </w:r>
                </w:p>
                <w:p>
                  <w:pPr>
                    <w:widowControl/>
                    <w:jc w:val="center"/>
                    <w:textAlignment w:val="center"/>
                    <w:rPr>
                      <w:iCs/>
                      <w:kern w:val="0"/>
                      <w:szCs w:val="21"/>
                      <w:lang w:bidi="ar"/>
                    </w:rPr>
                  </w:pPr>
                  <w:r>
                    <w:rPr>
                      <w:iCs/>
                      <w:kern w:val="0"/>
                      <w:szCs w:val="21"/>
                      <w:lang w:bidi="ar"/>
                    </w:rPr>
                    <w:t>125.406968</w:t>
                  </w:r>
                  <w:r>
                    <w:rPr>
                      <w:rFonts w:hint="eastAsia"/>
                      <w:iCs/>
                      <w:kern w:val="0"/>
                      <w:szCs w:val="21"/>
                      <w:lang w:bidi="ar"/>
                    </w:rPr>
                    <w:t>；</w:t>
                  </w:r>
                  <w:r>
                    <w:rPr>
                      <w:iCs/>
                      <w:kern w:val="0"/>
                      <w:szCs w:val="21"/>
                      <w:lang w:bidi="ar"/>
                    </w:rPr>
                    <w:t>44.014703</w:t>
                  </w:r>
                </w:p>
              </w:tc>
              <w:tc>
                <w:tcPr>
                  <w:tcW w:w="631" w:type="pct"/>
                  <w:vMerge w:val="restart"/>
                  <w:tcBorders>
                    <w:tl2br w:val="nil"/>
                    <w:tr2bl w:val="nil"/>
                  </w:tcBorders>
                  <w:vAlign w:val="center"/>
                </w:tcPr>
                <w:p>
                  <w:pPr>
                    <w:widowControl/>
                    <w:jc w:val="center"/>
                    <w:textAlignment w:val="center"/>
                    <w:rPr>
                      <w:iCs/>
                      <w:kern w:val="0"/>
                      <w:szCs w:val="21"/>
                      <w:lang w:bidi="ar"/>
                    </w:rPr>
                  </w:pPr>
                  <w:r>
                    <w:rPr>
                      <w:iCs/>
                      <w:kern w:val="0"/>
                      <w:szCs w:val="21"/>
                      <w:lang w:bidi="ar"/>
                    </w:rPr>
                    <w:t>排气筒DA013</w:t>
                  </w:r>
                </w:p>
                <w:p>
                  <w:pPr>
                    <w:widowControl/>
                    <w:jc w:val="center"/>
                    <w:textAlignment w:val="center"/>
                    <w:rPr>
                      <w:iCs/>
                      <w:kern w:val="0"/>
                      <w:szCs w:val="21"/>
                      <w:lang w:bidi="ar"/>
                    </w:rPr>
                  </w:pPr>
                  <w:r>
                    <w:rPr>
                      <w:rFonts w:hint="eastAsia"/>
                      <w:iCs/>
                      <w:kern w:val="0"/>
                      <w:szCs w:val="21"/>
                      <w:lang w:bidi="ar"/>
                    </w:rPr>
                    <w:t>D</w:t>
                  </w:r>
                  <w:r>
                    <w:rPr>
                      <w:iCs/>
                      <w:kern w:val="0"/>
                      <w:szCs w:val="21"/>
                      <w:lang w:bidi="ar"/>
                    </w:rPr>
                    <w:t>A014</w:t>
                  </w:r>
                </w:p>
              </w:tc>
              <w:tc>
                <w:tcPr>
                  <w:tcW w:w="380" w:type="pct"/>
                  <w:tcBorders>
                    <w:tl2br w:val="nil"/>
                    <w:tr2bl w:val="nil"/>
                  </w:tcBorders>
                  <w:vAlign w:val="center"/>
                </w:tcPr>
                <w:p>
                  <w:pPr>
                    <w:adjustRightInd w:val="0"/>
                    <w:snapToGrid w:val="0"/>
                    <w:jc w:val="center"/>
                    <w:rPr>
                      <w:szCs w:val="21"/>
                    </w:rPr>
                  </w:pPr>
                  <w:r>
                    <w:rPr>
                      <w:rFonts w:hint="eastAsia"/>
                      <w:szCs w:val="21"/>
                    </w:rPr>
                    <w:t>颗粒物</w:t>
                  </w:r>
                </w:p>
                <w:p>
                  <w:pPr>
                    <w:adjustRightInd w:val="0"/>
                    <w:snapToGrid w:val="0"/>
                    <w:jc w:val="center"/>
                    <w:rPr>
                      <w:szCs w:val="21"/>
                    </w:rPr>
                  </w:pPr>
                  <w:r>
                    <w:rPr>
                      <w:rFonts w:hint="eastAsia"/>
                      <w:szCs w:val="21"/>
                    </w:rPr>
                    <w:t>二氧化硫</w:t>
                  </w:r>
                </w:p>
              </w:tc>
              <w:tc>
                <w:tcPr>
                  <w:tcW w:w="297" w:type="pct"/>
                  <w:tcBorders>
                    <w:tl2br w:val="nil"/>
                    <w:tr2bl w:val="nil"/>
                  </w:tcBorders>
                  <w:vAlign w:val="center"/>
                </w:tcPr>
                <w:p>
                  <w:pPr>
                    <w:widowControl/>
                    <w:jc w:val="center"/>
                    <w:textAlignment w:val="center"/>
                    <w:rPr>
                      <w:iCs/>
                      <w:kern w:val="0"/>
                      <w:szCs w:val="21"/>
                      <w:lang w:bidi="ar"/>
                    </w:rPr>
                  </w:pPr>
                  <w:r>
                    <w:rPr>
                      <w:iCs/>
                      <w:kern w:val="0"/>
                      <w:szCs w:val="21"/>
                      <w:lang w:bidi="ar"/>
                    </w:rPr>
                    <w:t>1次/</w:t>
                  </w:r>
                  <w:r>
                    <w:rPr>
                      <w:rFonts w:hint="eastAsia"/>
                      <w:iCs/>
                      <w:kern w:val="0"/>
                      <w:szCs w:val="21"/>
                      <w:lang w:bidi="ar"/>
                    </w:rPr>
                    <w:t>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461" w:type="pct"/>
                  <w:vMerge w:val="continue"/>
                  <w:tcBorders>
                    <w:tl2br w:val="nil"/>
                    <w:tr2bl w:val="nil"/>
                  </w:tcBorders>
                  <w:vAlign w:val="center"/>
                </w:tcPr>
                <w:p>
                  <w:pPr>
                    <w:jc w:val="center"/>
                    <w:rPr>
                      <w:iCs/>
                      <w:szCs w:val="21"/>
                    </w:rPr>
                  </w:pPr>
                </w:p>
              </w:tc>
              <w:tc>
                <w:tcPr>
                  <w:tcW w:w="627" w:type="pct"/>
                  <w:vMerge w:val="continue"/>
                  <w:tcBorders>
                    <w:tl2br w:val="nil"/>
                    <w:tr2bl w:val="nil"/>
                  </w:tcBorders>
                  <w:vAlign w:val="center"/>
                </w:tcPr>
                <w:p>
                  <w:pPr>
                    <w:jc w:val="center"/>
                    <w:rPr>
                      <w:iCs/>
                      <w:szCs w:val="21"/>
                    </w:rPr>
                  </w:pPr>
                </w:p>
              </w:tc>
              <w:tc>
                <w:tcPr>
                  <w:tcW w:w="510" w:type="pct"/>
                  <w:vMerge w:val="continue"/>
                  <w:tcBorders>
                    <w:tl2br w:val="nil"/>
                    <w:tr2bl w:val="nil"/>
                  </w:tcBorders>
                  <w:vAlign w:val="center"/>
                </w:tcPr>
                <w:p>
                  <w:pPr>
                    <w:widowControl/>
                    <w:jc w:val="center"/>
                    <w:textAlignment w:val="center"/>
                    <w:rPr>
                      <w:iCs/>
                      <w:kern w:val="0"/>
                      <w:szCs w:val="21"/>
                      <w:lang w:bidi="ar"/>
                    </w:rPr>
                  </w:pPr>
                </w:p>
              </w:tc>
              <w:tc>
                <w:tcPr>
                  <w:tcW w:w="510" w:type="pct"/>
                  <w:vMerge w:val="continue"/>
                  <w:tcBorders>
                    <w:tl2br w:val="nil"/>
                    <w:tr2bl w:val="nil"/>
                  </w:tcBorders>
                  <w:vAlign w:val="center"/>
                </w:tcPr>
                <w:p>
                  <w:pPr>
                    <w:widowControl/>
                    <w:jc w:val="center"/>
                    <w:textAlignment w:val="center"/>
                    <w:rPr>
                      <w:iCs/>
                      <w:kern w:val="0"/>
                      <w:szCs w:val="21"/>
                      <w:lang w:bidi="ar"/>
                    </w:rPr>
                  </w:pPr>
                </w:p>
              </w:tc>
              <w:tc>
                <w:tcPr>
                  <w:tcW w:w="539" w:type="pct"/>
                  <w:vMerge w:val="continue"/>
                  <w:tcBorders>
                    <w:tl2br w:val="nil"/>
                    <w:tr2bl w:val="nil"/>
                  </w:tcBorders>
                  <w:vAlign w:val="center"/>
                </w:tcPr>
                <w:p>
                  <w:pPr>
                    <w:widowControl/>
                    <w:jc w:val="center"/>
                    <w:textAlignment w:val="center"/>
                    <w:rPr>
                      <w:iCs/>
                      <w:kern w:val="0"/>
                      <w:szCs w:val="21"/>
                      <w:lang w:bidi="ar"/>
                    </w:rPr>
                  </w:pPr>
                </w:p>
              </w:tc>
              <w:tc>
                <w:tcPr>
                  <w:tcW w:w="1045" w:type="pct"/>
                  <w:vMerge w:val="continue"/>
                  <w:tcBorders>
                    <w:tl2br w:val="nil"/>
                    <w:tr2bl w:val="nil"/>
                  </w:tcBorders>
                  <w:vAlign w:val="center"/>
                </w:tcPr>
                <w:p>
                  <w:pPr>
                    <w:widowControl/>
                    <w:jc w:val="center"/>
                    <w:textAlignment w:val="center"/>
                    <w:rPr>
                      <w:iCs/>
                      <w:kern w:val="0"/>
                      <w:szCs w:val="21"/>
                      <w:lang w:bidi="ar"/>
                    </w:rPr>
                  </w:pPr>
                </w:p>
              </w:tc>
              <w:tc>
                <w:tcPr>
                  <w:tcW w:w="631" w:type="pct"/>
                  <w:vMerge w:val="continue"/>
                  <w:tcBorders>
                    <w:tl2br w:val="nil"/>
                    <w:tr2bl w:val="nil"/>
                  </w:tcBorders>
                  <w:vAlign w:val="center"/>
                </w:tcPr>
                <w:p>
                  <w:pPr>
                    <w:widowControl/>
                    <w:jc w:val="center"/>
                    <w:textAlignment w:val="center"/>
                    <w:rPr>
                      <w:iCs/>
                      <w:kern w:val="0"/>
                      <w:szCs w:val="21"/>
                      <w:lang w:bidi="ar"/>
                    </w:rPr>
                  </w:pPr>
                </w:p>
              </w:tc>
              <w:tc>
                <w:tcPr>
                  <w:tcW w:w="380" w:type="pct"/>
                  <w:tcBorders>
                    <w:tl2br w:val="nil"/>
                    <w:tr2bl w:val="nil"/>
                  </w:tcBorders>
                  <w:vAlign w:val="center"/>
                </w:tcPr>
                <w:p>
                  <w:pPr>
                    <w:adjustRightInd w:val="0"/>
                    <w:snapToGrid w:val="0"/>
                    <w:jc w:val="center"/>
                    <w:rPr>
                      <w:szCs w:val="21"/>
                    </w:rPr>
                  </w:pPr>
                  <w:r>
                    <w:rPr>
                      <w:rFonts w:hint="eastAsia"/>
                      <w:szCs w:val="21"/>
                    </w:rPr>
                    <w:t>氮氧化物</w:t>
                  </w:r>
                </w:p>
              </w:tc>
              <w:tc>
                <w:tcPr>
                  <w:tcW w:w="297" w:type="pct"/>
                  <w:tcBorders>
                    <w:tl2br w:val="nil"/>
                    <w:tr2bl w:val="nil"/>
                  </w:tcBorders>
                  <w:vAlign w:val="center"/>
                </w:tcPr>
                <w:p>
                  <w:pPr>
                    <w:adjustRightInd w:val="0"/>
                    <w:snapToGrid w:val="0"/>
                    <w:jc w:val="center"/>
                    <w:rPr>
                      <w:szCs w:val="21"/>
                    </w:rPr>
                  </w:pPr>
                  <w:r>
                    <w:rPr>
                      <w:iCs/>
                      <w:kern w:val="0"/>
                      <w:szCs w:val="21"/>
                      <w:lang w:bidi="ar"/>
                    </w:rPr>
                    <w:t>1次/</w:t>
                  </w:r>
                  <w:r>
                    <w:rPr>
                      <w:rFonts w:hint="eastAsia"/>
                      <w:szCs w:val="21"/>
                    </w:rPr>
                    <w:t>月</w:t>
                  </w:r>
                </w:p>
              </w:tc>
            </w:tr>
          </w:tbl>
          <w:p>
            <w:pPr>
              <w:pStyle w:val="46"/>
              <w:widowControl w:val="0"/>
              <w:ind w:firstLine="422"/>
              <w:rPr>
                <w:rFonts w:cs="Times New Roman"/>
                <w:b/>
              </w:rPr>
            </w:pPr>
            <w:r>
              <w:rPr>
                <w:rFonts w:hint="eastAsia" w:cs="Times New Roman"/>
                <w:b/>
              </w:rPr>
              <w:t>2、废水</w:t>
            </w:r>
          </w:p>
          <w:p>
            <w:pPr>
              <w:pStyle w:val="46"/>
              <w:widowControl w:val="0"/>
              <w:ind w:firstLine="422"/>
              <w:rPr>
                <w:rFonts w:cs="Times New Roman"/>
                <w:b/>
              </w:rPr>
            </w:pPr>
            <w:r>
              <w:rPr>
                <w:rFonts w:hint="eastAsia" w:cs="Times New Roman"/>
                <w:b/>
              </w:rPr>
              <w:t>2</w:t>
            </w:r>
            <w:r>
              <w:rPr>
                <w:rFonts w:cs="Times New Roman"/>
                <w:b/>
              </w:rPr>
              <w:t xml:space="preserve">.1 </w:t>
            </w:r>
            <w:r>
              <w:rPr>
                <w:rFonts w:hint="eastAsia" w:cs="Times New Roman"/>
                <w:b/>
              </w:rPr>
              <w:t>源强核算</w:t>
            </w:r>
          </w:p>
          <w:p>
            <w:pPr>
              <w:pStyle w:val="5"/>
              <w:widowControl w:val="0"/>
              <w:snapToGrid/>
              <w:spacing w:before="0" w:after="0" w:line="360" w:lineRule="auto"/>
              <w:ind w:right="0" w:firstLine="420" w:firstLineChars="200"/>
              <w:rPr>
                <w:sz w:val="21"/>
                <w:szCs w:val="21"/>
              </w:rPr>
            </w:pPr>
            <w:r>
              <w:rPr>
                <w:sz w:val="21"/>
                <w:szCs w:val="21"/>
              </w:rPr>
              <w:t>根据《污染源源强核算技术指南  总则》（HJ 884-2018）</w:t>
            </w:r>
            <w:r>
              <w:rPr>
                <w:rFonts w:hint="eastAsia"/>
                <w:sz w:val="21"/>
                <w:szCs w:val="21"/>
              </w:rPr>
              <w:t>以及，参考原环评及建设单位提供资料</w:t>
            </w:r>
            <w:r>
              <w:rPr>
                <w:sz w:val="21"/>
                <w:szCs w:val="21"/>
              </w:rPr>
              <w:t>，</w:t>
            </w:r>
            <w:r>
              <w:rPr>
                <w:rFonts w:hint="eastAsia"/>
                <w:sz w:val="21"/>
                <w:szCs w:val="21"/>
              </w:rPr>
              <w:t>本项目废水产排情况详见</w:t>
            </w:r>
            <w:r>
              <w:rPr>
                <w:sz w:val="21"/>
                <w:szCs w:val="21"/>
              </w:rPr>
              <w:t>下表</w:t>
            </w:r>
            <w:r>
              <w:rPr>
                <w:rFonts w:hint="eastAsia"/>
                <w:sz w:val="21"/>
                <w:szCs w:val="21"/>
              </w:rPr>
              <w:t>。</w:t>
            </w:r>
          </w:p>
          <w:p>
            <w:pPr>
              <w:pStyle w:val="42"/>
              <w:widowControl w:val="0"/>
              <w:spacing w:before="0" w:beforeLines="0"/>
              <w:rPr>
                <w:rFonts w:ascii="Times New Roman" w:hAnsi="Times New Roman"/>
                <w:iCs/>
                <w:color w:val="auto"/>
                <w:szCs w:val="21"/>
              </w:rPr>
            </w:pPr>
            <w:r>
              <w:rPr>
                <w:rFonts w:hint="eastAsia" w:ascii="Times New Roman" w:hAnsi="Times New Roman"/>
                <w:iCs/>
                <w:color w:val="auto"/>
                <w:szCs w:val="21"/>
              </w:rPr>
              <w:t>表4</w:t>
            </w:r>
            <w:r>
              <w:rPr>
                <w:rFonts w:ascii="Times New Roman" w:hAnsi="Times New Roman"/>
                <w:iCs/>
                <w:color w:val="auto"/>
                <w:szCs w:val="21"/>
              </w:rPr>
              <w:t xml:space="preserve">-5  </w:t>
            </w:r>
            <w:r>
              <w:rPr>
                <w:rFonts w:hint="eastAsia" w:ascii="Times New Roman" w:hAnsi="Times New Roman"/>
                <w:iCs/>
                <w:color w:val="auto"/>
                <w:szCs w:val="21"/>
              </w:rPr>
              <w:t>项目废水产生、排放情况</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903"/>
              <w:gridCol w:w="1039"/>
              <w:gridCol w:w="1367"/>
              <w:gridCol w:w="1144"/>
              <w:gridCol w:w="885"/>
              <w:gridCol w:w="1317"/>
              <w:gridCol w:w="10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2" w:type="pct"/>
                  <w:gridSpan w:val="2"/>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项目</w:t>
                  </w:r>
                </w:p>
              </w:tc>
              <w:tc>
                <w:tcPr>
                  <w:tcW w:w="582" w:type="pct"/>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废水量（m</w:t>
                  </w:r>
                  <w:r>
                    <w:rPr>
                      <w:sz w:val="21"/>
                      <w:szCs w:val="21"/>
                      <w:vertAlign w:val="superscript"/>
                    </w:rPr>
                    <w:t>3</w:t>
                  </w:r>
                  <w:r>
                    <w:rPr>
                      <w:sz w:val="21"/>
                      <w:szCs w:val="21"/>
                    </w:rPr>
                    <w:t>/</w:t>
                  </w:r>
                  <w:r>
                    <w:rPr>
                      <w:rFonts w:hint="eastAsia"/>
                      <w:sz w:val="21"/>
                      <w:szCs w:val="21"/>
                    </w:rPr>
                    <w:t>a）</w:t>
                  </w:r>
                </w:p>
              </w:tc>
              <w:tc>
                <w:tcPr>
                  <w:tcW w:w="1407" w:type="pct"/>
                  <w:gridSpan w:val="2"/>
                  <w:vAlign w:val="center"/>
                </w:tcPr>
                <w:p>
                  <w:pPr>
                    <w:pStyle w:val="5"/>
                    <w:widowControl w:val="0"/>
                    <w:adjustRightInd w:val="0"/>
                    <w:spacing w:before="0" w:after="0" w:line="240" w:lineRule="auto"/>
                    <w:ind w:right="0"/>
                    <w:jc w:val="center"/>
                    <w:rPr>
                      <w:sz w:val="21"/>
                      <w:szCs w:val="21"/>
                    </w:rPr>
                  </w:pPr>
                  <w:r>
                    <w:rPr>
                      <w:rFonts w:hint="eastAsia"/>
                      <w:sz w:val="21"/>
                      <w:szCs w:val="21"/>
                    </w:rPr>
                    <w:t>产生情况</w:t>
                  </w:r>
                </w:p>
              </w:tc>
              <w:tc>
                <w:tcPr>
                  <w:tcW w:w="496" w:type="pct"/>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治理设施</w:t>
                  </w:r>
                </w:p>
              </w:tc>
              <w:tc>
                <w:tcPr>
                  <w:tcW w:w="1353" w:type="pct"/>
                  <w:gridSpan w:val="2"/>
                  <w:vAlign w:val="center"/>
                </w:tcPr>
                <w:p>
                  <w:pPr>
                    <w:pStyle w:val="5"/>
                    <w:widowControl w:val="0"/>
                    <w:adjustRightInd w:val="0"/>
                    <w:spacing w:before="0" w:after="0" w:line="240" w:lineRule="auto"/>
                    <w:ind w:right="0"/>
                    <w:jc w:val="center"/>
                    <w:rPr>
                      <w:sz w:val="21"/>
                      <w:szCs w:val="21"/>
                    </w:rPr>
                  </w:pPr>
                  <w:r>
                    <w:rPr>
                      <w:rFonts w:hint="eastAsia"/>
                      <w:sz w:val="21"/>
                      <w:szCs w:val="21"/>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2" w:type="pct"/>
                  <w:gridSpan w:val="2"/>
                  <w:vMerge w:val="continue"/>
                  <w:vAlign w:val="center"/>
                </w:tcPr>
                <w:p>
                  <w:pPr>
                    <w:pStyle w:val="5"/>
                    <w:widowControl w:val="0"/>
                    <w:adjustRightInd w:val="0"/>
                    <w:spacing w:before="0" w:after="0" w:line="240" w:lineRule="auto"/>
                    <w:ind w:right="0"/>
                    <w:jc w:val="center"/>
                    <w:rPr>
                      <w:sz w:val="21"/>
                      <w:szCs w:val="21"/>
                    </w:rPr>
                  </w:pPr>
                </w:p>
              </w:tc>
              <w:tc>
                <w:tcPr>
                  <w:tcW w:w="582" w:type="pct"/>
                  <w:vMerge w:val="continue"/>
                  <w:vAlign w:val="center"/>
                </w:tcPr>
                <w:p>
                  <w:pPr>
                    <w:pStyle w:val="5"/>
                    <w:widowControl w:val="0"/>
                    <w:adjustRightInd w:val="0"/>
                    <w:spacing w:before="0" w:after="0" w:line="240" w:lineRule="auto"/>
                    <w:ind w:right="0"/>
                    <w:jc w:val="center"/>
                    <w:rPr>
                      <w:sz w:val="21"/>
                      <w:szCs w:val="21"/>
                    </w:rPr>
                  </w:pPr>
                </w:p>
              </w:tc>
              <w:tc>
                <w:tcPr>
                  <w:tcW w:w="766" w:type="pct"/>
                  <w:vAlign w:val="center"/>
                </w:tcPr>
                <w:p>
                  <w:pPr>
                    <w:pStyle w:val="5"/>
                    <w:widowControl w:val="0"/>
                    <w:adjustRightInd w:val="0"/>
                    <w:spacing w:before="0" w:after="0" w:line="240" w:lineRule="auto"/>
                    <w:ind w:right="0"/>
                    <w:jc w:val="center"/>
                    <w:rPr>
                      <w:sz w:val="21"/>
                      <w:szCs w:val="21"/>
                    </w:rPr>
                  </w:pPr>
                  <w:r>
                    <w:rPr>
                      <w:rFonts w:hint="eastAsia"/>
                      <w:sz w:val="21"/>
                      <w:szCs w:val="21"/>
                    </w:rPr>
                    <w:t>污染物浓度</w:t>
                  </w:r>
                </w:p>
                <w:p>
                  <w:pPr>
                    <w:pStyle w:val="5"/>
                    <w:widowControl w:val="0"/>
                    <w:adjustRightInd w:val="0"/>
                    <w:spacing w:before="0" w:after="0" w:line="240" w:lineRule="auto"/>
                    <w:ind w:right="0"/>
                    <w:jc w:val="center"/>
                    <w:rPr>
                      <w:sz w:val="21"/>
                      <w:szCs w:val="21"/>
                    </w:rPr>
                  </w:pPr>
                  <w:r>
                    <w:rPr>
                      <w:rFonts w:hint="eastAsia"/>
                      <w:sz w:val="21"/>
                      <w:szCs w:val="21"/>
                    </w:rPr>
                    <w:t>（mg/L）</w:t>
                  </w:r>
                </w:p>
              </w:tc>
              <w:tc>
                <w:tcPr>
                  <w:tcW w:w="641" w:type="pct"/>
                  <w:vAlign w:val="center"/>
                </w:tcPr>
                <w:p>
                  <w:pPr>
                    <w:pStyle w:val="5"/>
                    <w:widowControl w:val="0"/>
                    <w:adjustRightInd w:val="0"/>
                    <w:spacing w:before="0" w:after="0" w:line="240" w:lineRule="auto"/>
                    <w:ind w:right="0"/>
                    <w:jc w:val="center"/>
                    <w:rPr>
                      <w:sz w:val="21"/>
                      <w:szCs w:val="21"/>
                    </w:rPr>
                  </w:pPr>
                  <w:r>
                    <w:rPr>
                      <w:rFonts w:hint="eastAsia"/>
                      <w:sz w:val="21"/>
                      <w:szCs w:val="21"/>
                    </w:rPr>
                    <w:t>污染物量</w:t>
                  </w:r>
                </w:p>
                <w:p>
                  <w:pPr>
                    <w:pStyle w:val="5"/>
                    <w:widowControl w:val="0"/>
                    <w:adjustRightInd w:val="0"/>
                    <w:spacing w:before="0" w:after="0" w:line="240" w:lineRule="auto"/>
                    <w:ind w:right="0"/>
                    <w:jc w:val="center"/>
                    <w:rPr>
                      <w:sz w:val="21"/>
                      <w:szCs w:val="21"/>
                    </w:rPr>
                  </w:pPr>
                  <w:r>
                    <w:rPr>
                      <w:rFonts w:hint="eastAsia"/>
                      <w:sz w:val="21"/>
                      <w:szCs w:val="21"/>
                    </w:rPr>
                    <w:t>（t</w:t>
                  </w:r>
                  <w:r>
                    <w:rPr>
                      <w:sz w:val="21"/>
                      <w:szCs w:val="21"/>
                    </w:rPr>
                    <w:t>/</w:t>
                  </w:r>
                  <w:r>
                    <w:rPr>
                      <w:rFonts w:hint="eastAsia"/>
                      <w:sz w:val="21"/>
                      <w:szCs w:val="21"/>
                    </w:rPr>
                    <w:t>a）</w:t>
                  </w:r>
                </w:p>
              </w:tc>
              <w:tc>
                <w:tcPr>
                  <w:tcW w:w="496" w:type="pct"/>
                  <w:vMerge w:val="continue"/>
                  <w:vAlign w:val="center"/>
                </w:tcPr>
                <w:p>
                  <w:pPr>
                    <w:pStyle w:val="5"/>
                    <w:widowControl w:val="0"/>
                    <w:adjustRightInd w:val="0"/>
                    <w:spacing w:before="0" w:after="0" w:line="240" w:lineRule="auto"/>
                    <w:ind w:right="0"/>
                    <w:jc w:val="center"/>
                    <w:rPr>
                      <w:sz w:val="21"/>
                      <w:szCs w:val="21"/>
                    </w:rPr>
                  </w:pPr>
                </w:p>
              </w:tc>
              <w:tc>
                <w:tcPr>
                  <w:tcW w:w="738" w:type="pct"/>
                  <w:vAlign w:val="center"/>
                </w:tcPr>
                <w:p>
                  <w:pPr>
                    <w:pStyle w:val="5"/>
                    <w:widowControl w:val="0"/>
                    <w:adjustRightInd w:val="0"/>
                    <w:spacing w:before="0" w:after="0" w:line="240" w:lineRule="auto"/>
                    <w:ind w:right="0"/>
                    <w:jc w:val="center"/>
                    <w:rPr>
                      <w:sz w:val="21"/>
                      <w:szCs w:val="21"/>
                    </w:rPr>
                  </w:pPr>
                  <w:r>
                    <w:rPr>
                      <w:rFonts w:hint="eastAsia"/>
                      <w:sz w:val="21"/>
                      <w:szCs w:val="21"/>
                    </w:rPr>
                    <w:t>污染物浓度</w:t>
                  </w:r>
                </w:p>
                <w:p>
                  <w:pPr>
                    <w:pStyle w:val="5"/>
                    <w:widowControl w:val="0"/>
                    <w:adjustRightInd w:val="0"/>
                    <w:spacing w:before="0" w:after="0" w:line="240" w:lineRule="auto"/>
                    <w:ind w:right="0"/>
                    <w:jc w:val="center"/>
                    <w:rPr>
                      <w:sz w:val="21"/>
                      <w:szCs w:val="21"/>
                    </w:rPr>
                  </w:pPr>
                  <w:r>
                    <w:rPr>
                      <w:rFonts w:hint="eastAsia"/>
                      <w:sz w:val="21"/>
                      <w:szCs w:val="21"/>
                    </w:rPr>
                    <w:t>（mg/L）</w:t>
                  </w:r>
                </w:p>
              </w:tc>
              <w:tc>
                <w:tcPr>
                  <w:tcW w:w="615" w:type="pct"/>
                  <w:vAlign w:val="center"/>
                </w:tcPr>
                <w:p>
                  <w:pPr>
                    <w:pStyle w:val="5"/>
                    <w:widowControl w:val="0"/>
                    <w:adjustRightInd w:val="0"/>
                    <w:spacing w:before="0" w:after="0" w:line="240" w:lineRule="auto"/>
                    <w:ind w:right="0"/>
                    <w:jc w:val="center"/>
                    <w:rPr>
                      <w:sz w:val="21"/>
                      <w:szCs w:val="21"/>
                    </w:rPr>
                  </w:pPr>
                  <w:r>
                    <w:rPr>
                      <w:rFonts w:hint="eastAsia"/>
                      <w:sz w:val="21"/>
                      <w:szCs w:val="21"/>
                    </w:rPr>
                    <w:t>污染物量</w:t>
                  </w:r>
                </w:p>
                <w:p>
                  <w:pPr>
                    <w:pStyle w:val="5"/>
                    <w:widowControl w:val="0"/>
                    <w:adjustRightInd w:val="0"/>
                    <w:spacing w:before="0" w:after="0" w:line="240" w:lineRule="auto"/>
                    <w:ind w:right="0"/>
                    <w:jc w:val="center"/>
                    <w:rPr>
                      <w:sz w:val="21"/>
                      <w:szCs w:val="21"/>
                    </w:rPr>
                  </w:pPr>
                  <w:r>
                    <w:rPr>
                      <w:rFonts w:hint="eastAsia"/>
                      <w:sz w:val="21"/>
                      <w:szCs w:val="21"/>
                    </w:rPr>
                    <w:t>（t</w:t>
                  </w:r>
                  <w:r>
                    <w:rPr>
                      <w:sz w:val="21"/>
                      <w:szCs w:val="21"/>
                    </w:rPr>
                    <w:t>/</w:t>
                  </w:r>
                  <w:r>
                    <w:rPr>
                      <w:rFonts w:hint="eastAsia"/>
                      <w:sz w:val="21"/>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6" w:type="pct"/>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软化水系统排水</w:t>
                  </w:r>
                </w:p>
              </w:tc>
              <w:tc>
                <w:tcPr>
                  <w:tcW w:w="506" w:type="pct"/>
                  <w:vAlign w:val="center"/>
                </w:tcPr>
                <w:p>
                  <w:pPr>
                    <w:pStyle w:val="5"/>
                    <w:widowControl w:val="0"/>
                    <w:adjustRightInd w:val="0"/>
                    <w:spacing w:before="0" w:after="0" w:line="240" w:lineRule="auto"/>
                    <w:ind w:right="0"/>
                    <w:jc w:val="center"/>
                    <w:rPr>
                      <w:sz w:val="21"/>
                      <w:szCs w:val="21"/>
                    </w:rPr>
                  </w:pPr>
                  <w:r>
                    <w:rPr>
                      <w:rFonts w:hint="eastAsia"/>
                      <w:sz w:val="21"/>
                      <w:szCs w:val="21"/>
                    </w:rPr>
                    <w:t>C</w:t>
                  </w:r>
                  <w:r>
                    <w:rPr>
                      <w:sz w:val="21"/>
                      <w:szCs w:val="21"/>
                    </w:rPr>
                    <w:t>OD</w:t>
                  </w:r>
                </w:p>
              </w:tc>
              <w:tc>
                <w:tcPr>
                  <w:tcW w:w="582" w:type="pct"/>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3</w:t>
                  </w:r>
                  <w:r>
                    <w:rPr>
                      <w:sz w:val="21"/>
                      <w:szCs w:val="21"/>
                    </w:rPr>
                    <w:t>3.27</w:t>
                  </w:r>
                </w:p>
              </w:tc>
              <w:tc>
                <w:tcPr>
                  <w:tcW w:w="766" w:type="pct"/>
                  <w:vAlign w:val="center"/>
                </w:tcPr>
                <w:p>
                  <w:pPr>
                    <w:pStyle w:val="5"/>
                    <w:widowControl w:val="0"/>
                    <w:adjustRightInd w:val="0"/>
                    <w:spacing w:before="0" w:after="0" w:line="240" w:lineRule="auto"/>
                    <w:ind w:right="0"/>
                    <w:jc w:val="center"/>
                    <w:rPr>
                      <w:sz w:val="21"/>
                      <w:szCs w:val="21"/>
                    </w:rPr>
                  </w:pPr>
                  <w:r>
                    <w:rPr>
                      <w:rFonts w:eastAsia="等线"/>
                      <w:color w:val="000000"/>
                      <w:sz w:val="21"/>
                      <w:szCs w:val="21"/>
                    </w:rPr>
                    <w:t>60</w:t>
                  </w:r>
                </w:p>
              </w:tc>
              <w:tc>
                <w:tcPr>
                  <w:tcW w:w="641"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2.0100E-03</w:t>
                  </w:r>
                </w:p>
              </w:tc>
              <w:tc>
                <w:tcPr>
                  <w:tcW w:w="496" w:type="pct"/>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排入市政污水管网</w:t>
                  </w:r>
                </w:p>
              </w:tc>
              <w:tc>
                <w:tcPr>
                  <w:tcW w:w="738"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60</w:t>
                  </w:r>
                </w:p>
              </w:tc>
              <w:tc>
                <w:tcPr>
                  <w:tcW w:w="615"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2.0100E-06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6" w:type="pct"/>
                  <w:vMerge w:val="continue"/>
                  <w:vAlign w:val="center"/>
                </w:tcPr>
                <w:p>
                  <w:pPr>
                    <w:pStyle w:val="5"/>
                    <w:widowControl w:val="0"/>
                    <w:adjustRightInd w:val="0"/>
                    <w:spacing w:before="0" w:after="0" w:line="240" w:lineRule="auto"/>
                    <w:ind w:right="0"/>
                    <w:jc w:val="center"/>
                    <w:rPr>
                      <w:sz w:val="21"/>
                      <w:szCs w:val="21"/>
                    </w:rPr>
                  </w:pPr>
                </w:p>
              </w:tc>
              <w:tc>
                <w:tcPr>
                  <w:tcW w:w="506" w:type="pct"/>
                  <w:vAlign w:val="center"/>
                </w:tcPr>
                <w:p>
                  <w:pPr>
                    <w:pStyle w:val="5"/>
                    <w:widowControl w:val="0"/>
                    <w:adjustRightInd w:val="0"/>
                    <w:spacing w:before="0" w:after="0" w:line="240" w:lineRule="auto"/>
                    <w:ind w:right="0"/>
                    <w:jc w:val="center"/>
                    <w:rPr>
                      <w:sz w:val="21"/>
                      <w:szCs w:val="21"/>
                    </w:rPr>
                  </w:pPr>
                  <w:r>
                    <w:rPr>
                      <w:rFonts w:hint="eastAsia"/>
                      <w:sz w:val="21"/>
                      <w:szCs w:val="21"/>
                    </w:rPr>
                    <w:t>S</w:t>
                  </w:r>
                  <w:r>
                    <w:rPr>
                      <w:sz w:val="21"/>
                      <w:szCs w:val="21"/>
                    </w:rPr>
                    <w:t>S</w:t>
                  </w:r>
                </w:p>
              </w:tc>
              <w:tc>
                <w:tcPr>
                  <w:tcW w:w="582" w:type="pct"/>
                  <w:vMerge w:val="continue"/>
                  <w:vAlign w:val="center"/>
                </w:tcPr>
                <w:p>
                  <w:pPr>
                    <w:pStyle w:val="5"/>
                    <w:widowControl w:val="0"/>
                    <w:adjustRightInd w:val="0"/>
                    <w:spacing w:before="0" w:after="0" w:line="240" w:lineRule="auto"/>
                    <w:ind w:right="0"/>
                    <w:jc w:val="center"/>
                    <w:rPr>
                      <w:sz w:val="21"/>
                      <w:szCs w:val="21"/>
                    </w:rPr>
                  </w:pPr>
                </w:p>
              </w:tc>
              <w:tc>
                <w:tcPr>
                  <w:tcW w:w="766" w:type="pct"/>
                  <w:vAlign w:val="center"/>
                </w:tcPr>
                <w:p>
                  <w:pPr>
                    <w:pStyle w:val="5"/>
                    <w:widowControl w:val="0"/>
                    <w:adjustRightInd w:val="0"/>
                    <w:spacing w:before="0" w:after="0" w:line="240" w:lineRule="auto"/>
                    <w:ind w:right="0"/>
                    <w:jc w:val="center"/>
                    <w:rPr>
                      <w:sz w:val="21"/>
                      <w:szCs w:val="21"/>
                    </w:rPr>
                  </w:pPr>
                  <w:r>
                    <w:rPr>
                      <w:rFonts w:eastAsia="等线"/>
                      <w:color w:val="000000"/>
                      <w:sz w:val="21"/>
                      <w:szCs w:val="21"/>
                    </w:rPr>
                    <w:t>60</w:t>
                  </w:r>
                </w:p>
              </w:tc>
              <w:tc>
                <w:tcPr>
                  <w:tcW w:w="641"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2.0100E-03</w:t>
                  </w:r>
                </w:p>
              </w:tc>
              <w:tc>
                <w:tcPr>
                  <w:tcW w:w="496" w:type="pct"/>
                  <w:vMerge w:val="continue"/>
                  <w:vAlign w:val="center"/>
                </w:tcPr>
                <w:p>
                  <w:pPr>
                    <w:pStyle w:val="5"/>
                    <w:widowControl w:val="0"/>
                    <w:adjustRightInd w:val="0"/>
                    <w:spacing w:before="0" w:after="0" w:line="240" w:lineRule="auto"/>
                    <w:ind w:right="0"/>
                    <w:jc w:val="center"/>
                    <w:rPr>
                      <w:sz w:val="21"/>
                      <w:szCs w:val="21"/>
                    </w:rPr>
                  </w:pPr>
                </w:p>
              </w:tc>
              <w:tc>
                <w:tcPr>
                  <w:tcW w:w="738"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60</w:t>
                  </w:r>
                </w:p>
              </w:tc>
              <w:tc>
                <w:tcPr>
                  <w:tcW w:w="615"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2.0100E-06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6" w:type="pct"/>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锅炉排水</w:t>
                  </w:r>
                </w:p>
              </w:tc>
              <w:tc>
                <w:tcPr>
                  <w:tcW w:w="506" w:type="pct"/>
                  <w:vAlign w:val="center"/>
                </w:tcPr>
                <w:p>
                  <w:pPr>
                    <w:pStyle w:val="5"/>
                    <w:widowControl w:val="0"/>
                    <w:adjustRightInd w:val="0"/>
                    <w:spacing w:before="0" w:after="0" w:line="240" w:lineRule="auto"/>
                    <w:ind w:right="0"/>
                    <w:jc w:val="center"/>
                    <w:rPr>
                      <w:sz w:val="21"/>
                      <w:szCs w:val="21"/>
                    </w:rPr>
                  </w:pPr>
                  <w:r>
                    <w:rPr>
                      <w:rFonts w:hint="eastAsia"/>
                      <w:sz w:val="21"/>
                      <w:szCs w:val="21"/>
                    </w:rPr>
                    <w:t>C</w:t>
                  </w:r>
                  <w:r>
                    <w:rPr>
                      <w:sz w:val="21"/>
                      <w:szCs w:val="21"/>
                    </w:rPr>
                    <w:t>OD</w:t>
                  </w:r>
                </w:p>
              </w:tc>
              <w:tc>
                <w:tcPr>
                  <w:tcW w:w="582" w:type="pct"/>
                  <w:vMerge w:val="restart"/>
                  <w:vAlign w:val="center"/>
                </w:tcPr>
                <w:p>
                  <w:pPr>
                    <w:pStyle w:val="5"/>
                    <w:widowControl w:val="0"/>
                    <w:adjustRightInd w:val="0"/>
                    <w:spacing w:before="0" w:after="0" w:line="240" w:lineRule="auto"/>
                    <w:ind w:right="0"/>
                    <w:jc w:val="center"/>
                    <w:rPr>
                      <w:sz w:val="21"/>
                      <w:szCs w:val="21"/>
                    </w:rPr>
                  </w:pPr>
                  <w:r>
                    <w:rPr>
                      <w:sz w:val="21"/>
                      <w:szCs w:val="21"/>
                    </w:rPr>
                    <w:t>133.11</w:t>
                  </w:r>
                </w:p>
              </w:tc>
              <w:tc>
                <w:tcPr>
                  <w:tcW w:w="766" w:type="pct"/>
                  <w:vAlign w:val="center"/>
                </w:tcPr>
                <w:p>
                  <w:pPr>
                    <w:pStyle w:val="5"/>
                    <w:widowControl w:val="0"/>
                    <w:adjustRightInd w:val="0"/>
                    <w:spacing w:before="0" w:after="0" w:line="240" w:lineRule="auto"/>
                    <w:ind w:right="0"/>
                    <w:jc w:val="center"/>
                    <w:rPr>
                      <w:sz w:val="21"/>
                      <w:szCs w:val="21"/>
                    </w:rPr>
                  </w:pPr>
                  <w:r>
                    <w:rPr>
                      <w:rFonts w:eastAsia="等线"/>
                      <w:color w:val="000000"/>
                      <w:sz w:val="21"/>
                      <w:szCs w:val="21"/>
                    </w:rPr>
                    <w:t>60</w:t>
                  </w:r>
                </w:p>
              </w:tc>
              <w:tc>
                <w:tcPr>
                  <w:tcW w:w="641"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7.9866E-03</w:t>
                  </w:r>
                </w:p>
              </w:tc>
              <w:tc>
                <w:tcPr>
                  <w:tcW w:w="496" w:type="pct"/>
                  <w:vMerge w:val="continue"/>
                  <w:vAlign w:val="center"/>
                </w:tcPr>
                <w:p>
                  <w:pPr>
                    <w:pStyle w:val="5"/>
                    <w:widowControl w:val="0"/>
                    <w:adjustRightInd w:val="0"/>
                    <w:spacing w:before="0" w:after="0" w:line="240" w:lineRule="auto"/>
                    <w:ind w:right="0"/>
                    <w:jc w:val="center"/>
                    <w:rPr>
                      <w:sz w:val="21"/>
                      <w:szCs w:val="21"/>
                    </w:rPr>
                  </w:pPr>
                </w:p>
              </w:tc>
              <w:tc>
                <w:tcPr>
                  <w:tcW w:w="738"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60</w:t>
                  </w:r>
                </w:p>
              </w:tc>
              <w:tc>
                <w:tcPr>
                  <w:tcW w:w="615"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7.9866E-03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6" w:type="pct"/>
                  <w:vMerge w:val="continue"/>
                  <w:vAlign w:val="center"/>
                </w:tcPr>
                <w:p>
                  <w:pPr>
                    <w:pStyle w:val="5"/>
                    <w:widowControl w:val="0"/>
                    <w:adjustRightInd w:val="0"/>
                    <w:spacing w:before="0" w:after="0" w:line="240" w:lineRule="auto"/>
                    <w:ind w:right="0"/>
                    <w:jc w:val="center"/>
                    <w:rPr>
                      <w:sz w:val="21"/>
                      <w:szCs w:val="21"/>
                    </w:rPr>
                  </w:pPr>
                </w:p>
              </w:tc>
              <w:tc>
                <w:tcPr>
                  <w:tcW w:w="506" w:type="pct"/>
                  <w:vAlign w:val="center"/>
                </w:tcPr>
                <w:p>
                  <w:pPr>
                    <w:pStyle w:val="5"/>
                    <w:widowControl w:val="0"/>
                    <w:adjustRightInd w:val="0"/>
                    <w:spacing w:before="0" w:after="0" w:line="240" w:lineRule="auto"/>
                    <w:ind w:right="0"/>
                    <w:jc w:val="center"/>
                    <w:rPr>
                      <w:sz w:val="21"/>
                      <w:szCs w:val="21"/>
                    </w:rPr>
                  </w:pPr>
                  <w:r>
                    <w:rPr>
                      <w:rFonts w:hint="eastAsia"/>
                      <w:sz w:val="21"/>
                      <w:szCs w:val="21"/>
                    </w:rPr>
                    <w:t>S</w:t>
                  </w:r>
                  <w:r>
                    <w:rPr>
                      <w:sz w:val="21"/>
                      <w:szCs w:val="21"/>
                    </w:rPr>
                    <w:t>S</w:t>
                  </w:r>
                </w:p>
              </w:tc>
              <w:tc>
                <w:tcPr>
                  <w:tcW w:w="582" w:type="pct"/>
                  <w:vMerge w:val="continue"/>
                  <w:vAlign w:val="center"/>
                </w:tcPr>
                <w:p>
                  <w:pPr>
                    <w:pStyle w:val="5"/>
                    <w:widowControl w:val="0"/>
                    <w:adjustRightInd w:val="0"/>
                    <w:spacing w:before="0" w:after="0" w:line="240" w:lineRule="auto"/>
                    <w:ind w:right="0"/>
                    <w:jc w:val="center"/>
                    <w:rPr>
                      <w:sz w:val="21"/>
                      <w:szCs w:val="21"/>
                    </w:rPr>
                  </w:pPr>
                </w:p>
              </w:tc>
              <w:tc>
                <w:tcPr>
                  <w:tcW w:w="766" w:type="pct"/>
                  <w:vAlign w:val="center"/>
                </w:tcPr>
                <w:p>
                  <w:pPr>
                    <w:pStyle w:val="5"/>
                    <w:widowControl w:val="0"/>
                    <w:adjustRightInd w:val="0"/>
                    <w:spacing w:before="0" w:after="0" w:line="240" w:lineRule="auto"/>
                    <w:ind w:right="0"/>
                    <w:jc w:val="center"/>
                    <w:rPr>
                      <w:sz w:val="21"/>
                      <w:szCs w:val="21"/>
                    </w:rPr>
                  </w:pPr>
                  <w:r>
                    <w:rPr>
                      <w:rFonts w:eastAsia="等线"/>
                      <w:color w:val="000000"/>
                      <w:sz w:val="21"/>
                      <w:szCs w:val="21"/>
                    </w:rPr>
                    <w:t>60</w:t>
                  </w:r>
                </w:p>
              </w:tc>
              <w:tc>
                <w:tcPr>
                  <w:tcW w:w="641"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7.9866E-03</w:t>
                  </w:r>
                </w:p>
              </w:tc>
              <w:tc>
                <w:tcPr>
                  <w:tcW w:w="496" w:type="pct"/>
                  <w:vMerge w:val="continue"/>
                  <w:vAlign w:val="center"/>
                </w:tcPr>
                <w:p>
                  <w:pPr>
                    <w:pStyle w:val="5"/>
                    <w:widowControl w:val="0"/>
                    <w:adjustRightInd w:val="0"/>
                    <w:spacing w:before="0" w:after="0" w:line="240" w:lineRule="auto"/>
                    <w:ind w:right="0"/>
                    <w:jc w:val="center"/>
                    <w:rPr>
                      <w:sz w:val="21"/>
                      <w:szCs w:val="21"/>
                    </w:rPr>
                  </w:pPr>
                </w:p>
              </w:tc>
              <w:tc>
                <w:tcPr>
                  <w:tcW w:w="738"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60</w:t>
                  </w:r>
                </w:p>
              </w:tc>
              <w:tc>
                <w:tcPr>
                  <w:tcW w:w="615"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7.9866E-03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6" w:type="pct"/>
                  <w:vMerge w:val="restart"/>
                  <w:vAlign w:val="center"/>
                </w:tcPr>
                <w:p>
                  <w:pPr>
                    <w:pStyle w:val="5"/>
                    <w:widowControl w:val="0"/>
                    <w:adjustRightInd w:val="0"/>
                    <w:spacing w:before="0" w:after="0" w:line="240" w:lineRule="auto"/>
                    <w:ind w:right="0"/>
                    <w:jc w:val="center"/>
                    <w:rPr>
                      <w:sz w:val="21"/>
                      <w:szCs w:val="21"/>
                    </w:rPr>
                  </w:pPr>
                  <w:r>
                    <w:rPr>
                      <w:rFonts w:hint="eastAsia"/>
                      <w:sz w:val="21"/>
                      <w:szCs w:val="21"/>
                    </w:rPr>
                    <w:t>合计</w:t>
                  </w:r>
                </w:p>
              </w:tc>
              <w:tc>
                <w:tcPr>
                  <w:tcW w:w="506" w:type="pct"/>
                  <w:vAlign w:val="center"/>
                </w:tcPr>
                <w:p>
                  <w:pPr>
                    <w:pStyle w:val="5"/>
                    <w:widowControl w:val="0"/>
                    <w:adjustRightInd w:val="0"/>
                    <w:spacing w:before="0" w:after="0" w:line="240" w:lineRule="auto"/>
                    <w:ind w:right="0"/>
                    <w:jc w:val="center"/>
                    <w:rPr>
                      <w:sz w:val="21"/>
                      <w:szCs w:val="21"/>
                    </w:rPr>
                  </w:pPr>
                  <w:r>
                    <w:rPr>
                      <w:rFonts w:hint="eastAsia"/>
                      <w:sz w:val="21"/>
                      <w:szCs w:val="21"/>
                    </w:rPr>
                    <w:t>C</w:t>
                  </w:r>
                  <w:r>
                    <w:rPr>
                      <w:sz w:val="21"/>
                      <w:szCs w:val="21"/>
                    </w:rPr>
                    <w:t>OD</w:t>
                  </w:r>
                </w:p>
              </w:tc>
              <w:tc>
                <w:tcPr>
                  <w:tcW w:w="582" w:type="pct"/>
                  <w:vMerge w:val="restart"/>
                  <w:vAlign w:val="center"/>
                </w:tcPr>
                <w:p>
                  <w:pPr>
                    <w:widowControl/>
                    <w:jc w:val="center"/>
                    <w:rPr>
                      <w:szCs w:val="21"/>
                    </w:rPr>
                  </w:pPr>
                  <w:r>
                    <w:rPr>
                      <w:rFonts w:eastAsia="等线"/>
                      <w:color w:val="000000"/>
                      <w:szCs w:val="21"/>
                    </w:rPr>
                    <w:t>166.61</w:t>
                  </w:r>
                </w:p>
              </w:tc>
              <w:tc>
                <w:tcPr>
                  <w:tcW w:w="766" w:type="pct"/>
                  <w:vAlign w:val="center"/>
                </w:tcPr>
                <w:p>
                  <w:pPr>
                    <w:pStyle w:val="5"/>
                    <w:widowControl w:val="0"/>
                    <w:adjustRightInd w:val="0"/>
                    <w:spacing w:before="0" w:after="0" w:line="240" w:lineRule="auto"/>
                    <w:ind w:right="0"/>
                    <w:jc w:val="center"/>
                    <w:rPr>
                      <w:sz w:val="21"/>
                      <w:szCs w:val="21"/>
                    </w:rPr>
                  </w:pPr>
                  <w:r>
                    <w:rPr>
                      <w:rFonts w:eastAsia="等线"/>
                      <w:color w:val="000000"/>
                      <w:sz w:val="21"/>
                      <w:szCs w:val="21"/>
                    </w:rPr>
                    <w:t>60</w:t>
                  </w:r>
                </w:p>
              </w:tc>
              <w:tc>
                <w:tcPr>
                  <w:tcW w:w="641"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9.9966E-03</w:t>
                  </w:r>
                </w:p>
              </w:tc>
              <w:tc>
                <w:tcPr>
                  <w:tcW w:w="496" w:type="pct"/>
                  <w:vMerge w:val="restart"/>
                  <w:vAlign w:val="center"/>
                </w:tcPr>
                <w:p>
                  <w:pPr>
                    <w:widowControl/>
                    <w:jc w:val="center"/>
                    <w:rPr>
                      <w:szCs w:val="21"/>
                    </w:rPr>
                  </w:pPr>
                </w:p>
              </w:tc>
              <w:tc>
                <w:tcPr>
                  <w:tcW w:w="738"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60</w:t>
                  </w:r>
                </w:p>
              </w:tc>
              <w:tc>
                <w:tcPr>
                  <w:tcW w:w="615"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9.9966E-03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6" w:type="pct"/>
                  <w:vMerge w:val="continue"/>
                  <w:vAlign w:val="center"/>
                </w:tcPr>
                <w:p>
                  <w:pPr>
                    <w:pStyle w:val="5"/>
                    <w:widowControl w:val="0"/>
                    <w:adjustRightInd w:val="0"/>
                    <w:spacing w:before="0" w:after="0" w:line="240" w:lineRule="auto"/>
                    <w:ind w:right="0"/>
                    <w:jc w:val="center"/>
                    <w:rPr>
                      <w:sz w:val="21"/>
                      <w:szCs w:val="21"/>
                    </w:rPr>
                  </w:pPr>
                </w:p>
              </w:tc>
              <w:tc>
                <w:tcPr>
                  <w:tcW w:w="506" w:type="pct"/>
                  <w:vAlign w:val="center"/>
                </w:tcPr>
                <w:p>
                  <w:pPr>
                    <w:pStyle w:val="5"/>
                    <w:widowControl w:val="0"/>
                    <w:adjustRightInd w:val="0"/>
                    <w:spacing w:before="0" w:after="0" w:line="240" w:lineRule="auto"/>
                    <w:ind w:right="0"/>
                    <w:jc w:val="center"/>
                    <w:rPr>
                      <w:sz w:val="21"/>
                      <w:szCs w:val="21"/>
                    </w:rPr>
                  </w:pPr>
                  <w:r>
                    <w:rPr>
                      <w:rFonts w:hint="eastAsia"/>
                      <w:sz w:val="21"/>
                      <w:szCs w:val="21"/>
                    </w:rPr>
                    <w:t>S</w:t>
                  </w:r>
                  <w:r>
                    <w:rPr>
                      <w:sz w:val="21"/>
                      <w:szCs w:val="21"/>
                    </w:rPr>
                    <w:t>S</w:t>
                  </w:r>
                </w:p>
              </w:tc>
              <w:tc>
                <w:tcPr>
                  <w:tcW w:w="582" w:type="pct"/>
                  <w:vMerge w:val="continue"/>
                  <w:vAlign w:val="center"/>
                </w:tcPr>
                <w:p>
                  <w:pPr>
                    <w:pStyle w:val="5"/>
                    <w:widowControl w:val="0"/>
                    <w:adjustRightInd w:val="0"/>
                    <w:spacing w:before="0" w:after="0" w:line="240" w:lineRule="auto"/>
                    <w:ind w:right="0"/>
                    <w:jc w:val="center"/>
                    <w:rPr>
                      <w:sz w:val="21"/>
                      <w:szCs w:val="21"/>
                    </w:rPr>
                  </w:pPr>
                </w:p>
              </w:tc>
              <w:tc>
                <w:tcPr>
                  <w:tcW w:w="766" w:type="pct"/>
                  <w:vAlign w:val="center"/>
                </w:tcPr>
                <w:p>
                  <w:pPr>
                    <w:pStyle w:val="5"/>
                    <w:widowControl w:val="0"/>
                    <w:adjustRightInd w:val="0"/>
                    <w:spacing w:before="0" w:after="0" w:line="240" w:lineRule="auto"/>
                    <w:ind w:right="0"/>
                    <w:jc w:val="center"/>
                    <w:rPr>
                      <w:sz w:val="21"/>
                      <w:szCs w:val="21"/>
                    </w:rPr>
                  </w:pPr>
                  <w:r>
                    <w:rPr>
                      <w:rFonts w:eastAsia="等线"/>
                      <w:color w:val="000000"/>
                      <w:sz w:val="21"/>
                      <w:szCs w:val="21"/>
                    </w:rPr>
                    <w:t>60</w:t>
                  </w:r>
                </w:p>
              </w:tc>
              <w:tc>
                <w:tcPr>
                  <w:tcW w:w="641"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9.9966E-03</w:t>
                  </w:r>
                </w:p>
              </w:tc>
              <w:tc>
                <w:tcPr>
                  <w:tcW w:w="496" w:type="pct"/>
                  <w:vMerge w:val="continue"/>
                  <w:vAlign w:val="center"/>
                </w:tcPr>
                <w:p>
                  <w:pPr>
                    <w:pStyle w:val="5"/>
                    <w:widowControl w:val="0"/>
                    <w:adjustRightInd w:val="0"/>
                    <w:spacing w:before="0" w:after="0" w:line="240" w:lineRule="auto"/>
                    <w:ind w:right="0"/>
                    <w:jc w:val="center"/>
                    <w:rPr>
                      <w:sz w:val="21"/>
                      <w:szCs w:val="21"/>
                    </w:rPr>
                  </w:pPr>
                </w:p>
              </w:tc>
              <w:tc>
                <w:tcPr>
                  <w:tcW w:w="738"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60</w:t>
                  </w:r>
                </w:p>
              </w:tc>
              <w:tc>
                <w:tcPr>
                  <w:tcW w:w="615" w:type="pct"/>
                  <w:vAlign w:val="center"/>
                </w:tcPr>
                <w:p>
                  <w:pPr>
                    <w:pStyle w:val="5"/>
                    <w:widowControl w:val="0"/>
                    <w:adjustRightInd w:val="0"/>
                    <w:spacing w:before="0" w:after="0" w:line="240" w:lineRule="auto"/>
                    <w:ind w:right="0"/>
                    <w:jc w:val="center"/>
                    <w:rPr>
                      <w:rFonts w:eastAsia="等线"/>
                      <w:color w:val="000000"/>
                      <w:sz w:val="21"/>
                      <w:szCs w:val="21"/>
                    </w:rPr>
                  </w:pPr>
                  <w:r>
                    <w:rPr>
                      <w:rFonts w:eastAsia="等线"/>
                      <w:color w:val="000000"/>
                      <w:sz w:val="21"/>
                      <w:szCs w:val="21"/>
                    </w:rPr>
                    <w:t>9.9966E-03</w:t>
                  </w:r>
                </w:p>
              </w:tc>
            </w:tr>
          </w:tbl>
          <w:p>
            <w:pPr>
              <w:pStyle w:val="16"/>
              <w:adjustRightInd w:val="0"/>
              <w:snapToGrid w:val="0"/>
              <w:spacing w:after="0" w:line="240" w:lineRule="auto"/>
              <w:jc w:val="center"/>
              <w:rPr>
                <w:b/>
                <w:bCs/>
                <w:szCs w:val="21"/>
                <w:u w:val="single"/>
              </w:rPr>
            </w:pPr>
            <w:r>
              <w:rPr>
                <w:rFonts w:hint="eastAsia"/>
                <w:b/>
                <w:bCs/>
                <w:szCs w:val="21"/>
                <w:u w:val="single"/>
              </w:rPr>
              <w:t>表4</w:t>
            </w:r>
            <w:r>
              <w:rPr>
                <w:b/>
                <w:bCs/>
                <w:szCs w:val="21"/>
                <w:u w:val="single"/>
              </w:rPr>
              <w:t xml:space="preserve">-6  </w:t>
            </w:r>
            <w:r>
              <w:rPr>
                <w:rFonts w:hint="eastAsia"/>
                <w:b/>
                <w:bCs/>
                <w:szCs w:val="21"/>
                <w:u w:val="single"/>
              </w:rPr>
              <w:t>废水类别、污染物及污染治理设施信息表</w:t>
            </w:r>
          </w:p>
          <w:tbl>
            <w:tblPr>
              <w:tblStyle w:val="1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5" w:type="dxa"/>
                <w:left w:w="15" w:type="dxa"/>
                <w:bottom w:w="15" w:type="dxa"/>
                <w:right w:w="15" w:type="dxa"/>
              </w:tblCellMar>
            </w:tblPr>
            <w:tblGrid>
              <w:gridCol w:w="667"/>
              <w:gridCol w:w="668"/>
              <w:gridCol w:w="823"/>
              <w:gridCol w:w="559"/>
              <w:gridCol w:w="1107"/>
              <w:gridCol w:w="559"/>
              <w:gridCol w:w="684"/>
              <w:gridCol w:w="662"/>
              <w:gridCol w:w="505"/>
              <w:gridCol w:w="707"/>
              <w:gridCol w:w="1316"/>
              <w:gridCol w:w="66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374" w:type="pct"/>
                  <w:vMerge w:val="restart"/>
                  <w:tcBorders>
                    <w:tl2br w:val="nil"/>
                    <w:tr2bl w:val="nil"/>
                  </w:tcBorders>
                  <w:vAlign w:val="center"/>
                </w:tcPr>
                <w:p>
                  <w:pPr>
                    <w:autoSpaceDE w:val="0"/>
                    <w:autoSpaceDN w:val="0"/>
                    <w:adjustRightInd w:val="0"/>
                    <w:jc w:val="center"/>
                    <w:rPr>
                      <w:szCs w:val="21"/>
                    </w:rPr>
                  </w:pPr>
                  <w:r>
                    <w:rPr>
                      <w:szCs w:val="21"/>
                    </w:rPr>
                    <w:t>产排污环节</w:t>
                  </w:r>
                </w:p>
              </w:tc>
              <w:tc>
                <w:tcPr>
                  <w:tcW w:w="374" w:type="pct"/>
                  <w:vMerge w:val="restart"/>
                  <w:tcBorders>
                    <w:tl2br w:val="nil"/>
                    <w:tr2bl w:val="nil"/>
                  </w:tcBorders>
                  <w:vAlign w:val="center"/>
                </w:tcPr>
                <w:p>
                  <w:pPr>
                    <w:autoSpaceDE w:val="0"/>
                    <w:autoSpaceDN w:val="0"/>
                    <w:adjustRightInd w:val="0"/>
                    <w:jc w:val="center"/>
                    <w:rPr>
                      <w:szCs w:val="21"/>
                    </w:rPr>
                  </w:pPr>
                  <w:r>
                    <w:rPr>
                      <w:szCs w:val="21"/>
                    </w:rPr>
                    <w:t>类别</w:t>
                  </w:r>
                </w:p>
              </w:tc>
              <w:tc>
                <w:tcPr>
                  <w:tcW w:w="461" w:type="pct"/>
                  <w:vMerge w:val="restart"/>
                  <w:tcBorders>
                    <w:tl2br w:val="nil"/>
                    <w:tr2bl w:val="nil"/>
                  </w:tcBorders>
                  <w:vAlign w:val="center"/>
                </w:tcPr>
                <w:p>
                  <w:pPr>
                    <w:autoSpaceDE w:val="0"/>
                    <w:autoSpaceDN w:val="0"/>
                    <w:adjustRightInd w:val="0"/>
                    <w:jc w:val="center"/>
                    <w:rPr>
                      <w:color w:val="000000"/>
                      <w:szCs w:val="21"/>
                    </w:rPr>
                  </w:pPr>
                  <w:r>
                    <w:rPr>
                      <w:szCs w:val="21"/>
                    </w:rPr>
                    <w:t>污染物种类</w:t>
                  </w:r>
                </w:p>
              </w:tc>
              <w:tc>
                <w:tcPr>
                  <w:tcW w:w="313" w:type="pct"/>
                  <w:vMerge w:val="restart"/>
                  <w:tcBorders>
                    <w:tl2br w:val="nil"/>
                    <w:tr2bl w:val="nil"/>
                  </w:tcBorders>
                  <w:vAlign w:val="center"/>
                </w:tcPr>
                <w:p>
                  <w:pPr>
                    <w:jc w:val="center"/>
                    <w:rPr>
                      <w:szCs w:val="21"/>
                    </w:rPr>
                  </w:pPr>
                  <w:r>
                    <w:rPr>
                      <w:color w:val="000000"/>
                      <w:szCs w:val="21"/>
                    </w:rPr>
                    <w:t>排放方式</w:t>
                  </w:r>
                </w:p>
              </w:tc>
              <w:tc>
                <w:tcPr>
                  <w:tcW w:w="620" w:type="pct"/>
                  <w:vMerge w:val="restart"/>
                  <w:tcBorders>
                    <w:tl2br w:val="nil"/>
                    <w:tr2bl w:val="nil"/>
                  </w:tcBorders>
                  <w:vAlign w:val="center"/>
                </w:tcPr>
                <w:p>
                  <w:pPr>
                    <w:autoSpaceDE w:val="0"/>
                    <w:autoSpaceDN w:val="0"/>
                    <w:adjustRightInd w:val="0"/>
                    <w:jc w:val="center"/>
                    <w:rPr>
                      <w:szCs w:val="21"/>
                    </w:rPr>
                  </w:pPr>
                  <w:r>
                    <w:rPr>
                      <w:szCs w:val="21"/>
                    </w:rPr>
                    <w:t>排放去向</w:t>
                  </w:r>
                </w:p>
              </w:tc>
              <w:tc>
                <w:tcPr>
                  <w:tcW w:w="313" w:type="pct"/>
                  <w:vMerge w:val="restart"/>
                  <w:tcBorders>
                    <w:tl2br w:val="nil"/>
                    <w:tr2bl w:val="nil"/>
                  </w:tcBorders>
                  <w:vAlign w:val="center"/>
                </w:tcPr>
                <w:p>
                  <w:pPr>
                    <w:autoSpaceDE w:val="0"/>
                    <w:autoSpaceDN w:val="0"/>
                    <w:adjustRightInd w:val="0"/>
                    <w:jc w:val="center"/>
                    <w:rPr>
                      <w:szCs w:val="21"/>
                    </w:rPr>
                  </w:pPr>
                  <w:r>
                    <w:rPr>
                      <w:szCs w:val="21"/>
                    </w:rPr>
                    <w:t>排放规律</w:t>
                  </w:r>
                </w:p>
              </w:tc>
              <w:tc>
                <w:tcPr>
                  <w:tcW w:w="1037" w:type="pct"/>
                  <w:gridSpan w:val="3"/>
                  <w:tcBorders>
                    <w:tl2br w:val="nil"/>
                    <w:tr2bl w:val="nil"/>
                  </w:tcBorders>
                  <w:vAlign w:val="center"/>
                </w:tcPr>
                <w:p>
                  <w:pPr>
                    <w:autoSpaceDE w:val="0"/>
                    <w:autoSpaceDN w:val="0"/>
                    <w:adjustRightInd w:val="0"/>
                    <w:jc w:val="center"/>
                    <w:rPr>
                      <w:szCs w:val="21"/>
                    </w:rPr>
                  </w:pPr>
                  <w:r>
                    <w:rPr>
                      <w:szCs w:val="21"/>
                    </w:rPr>
                    <w:t>污染治理设施</w:t>
                  </w:r>
                </w:p>
              </w:tc>
              <w:tc>
                <w:tcPr>
                  <w:tcW w:w="396" w:type="pct"/>
                  <w:vMerge w:val="restart"/>
                  <w:tcBorders>
                    <w:tl2br w:val="nil"/>
                    <w:tr2bl w:val="nil"/>
                  </w:tcBorders>
                  <w:vAlign w:val="center"/>
                </w:tcPr>
                <w:p>
                  <w:pPr>
                    <w:autoSpaceDE w:val="0"/>
                    <w:autoSpaceDN w:val="0"/>
                    <w:adjustRightInd w:val="0"/>
                    <w:jc w:val="center"/>
                    <w:rPr>
                      <w:szCs w:val="21"/>
                    </w:rPr>
                  </w:pPr>
                  <w:r>
                    <w:rPr>
                      <w:szCs w:val="21"/>
                    </w:rPr>
                    <w:t>排放口</w:t>
                  </w:r>
                </w:p>
                <w:p>
                  <w:pPr>
                    <w:autoSpaceDE w:val="0"/>
                    <w:autoSpaceDN w:val="0"/>
                    <w:adjustRightInd w:val="0"/>
                    <w:jc w:val="center"/>
                    <w:rPr>
                      <w:szCs w:val="21"/>
                    </w:rPr>
                  </w:pPr>
                  <w:r>
                    <w:rPr>
                      <w:szCs w:val="21"/>
                    </w:rPr>
                    <w:t>编号</w:t>
                  </w:r>
                </w:p>
              </w:tc>
              <w:tc>
                <w:tcPr>
                  <w:tcW w:w="737" w:type="pct"/>
                  <w:vMerge w:val="restart"/>
                  <w:tcBorders>
                    <w:tl2br w:val="nil"/>
                    <w:tr2bl w:val="nil"/>
                  </w:tcBorders>
                  <w:vAlign w:val="center"/>
                </w:tcPr>
                <w:p>
                  <w:pPr>
                    <w:autoSpaceDE w:val="0"/>
                    <w:autoSpaceDN w:val="0"/>
                    <w:adjustRightInd w:val="0"/>
                    <w:jc w:val="center"/>
                    <w:rPr>
                      <w:szCs w:val="21"/>
                    </w:rPr>
                  </w:pPr>
                  <w:r>
                    <w:rPr>
                      <w:szCs w:val="21"/>
                    </w:rPr>
                    <w:t>排放口设施是否符合要求</w:t>
                  </w:r>
                </w:p>
              </w:tc>
              <w:tc>
                <w:tcPr>
                  <w:tcW w:w="373" w:type="pct"/>
                  <w:vMerge w:val="restart"/>
                  <w:tcBorders>
                    <w:tl2br w:val="nil"/>
                    <w:tr2bl w:val="nil"/>
                  </w:tcBorders>
                  <w:vAlign w:val="center"/>
                </w:tcPr>
                <w:p>
                  <w:pPr>
                    <w:autoSpaceDE w:val="0"/>
                    <w:autoSpaceDN w:val="0"/>
                    <w:adjustRightInd w:val="0"/>
                    <w:jc w:val="center"/>
                    <w:rPr>
                      <w:szCs w:val="21"/>
                    </w:rPr>
                  </w:pPr>
                  <w:r>
                    <w:rPr>
                      <w:szCs w:val="21"/>
                    </w:rPr>
                    <w:t>排放口类型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374" w:type="pct"/>
                  <w:vMerge w:val="continue"/>
                  <w:tcBorders>
                    <w:tl2br w:val="nil"/>
                    <w:tr2bl w:val="nil"/>
                  </w:tcBorders>
                  <w:vAlign w:val="center"/>
                </w:tcPr>
                <w:p>
                  <w:pPr>
                    <w:jc w:val="center"/>
                    <w:rPr>
                      <w:szCs w:val="21"/>
                    </w:rPr>
                  </w:pPr>
                </w:p>
              </w:tc>
              <w:tc>
                <w:tcPr>
                  <w:tcW w:w="374" w:type="pct"/>
                  <w:vMerge w:val="continue"/>
                  <w:tcBorders>
                    <w:tl2br w:val="nil"/>
                    <w:tr2bl w:val="nil"/>
                  </w:tcBorders>
                  <w:vAlign w:val="center"/>
                </w:tcPr>
                <w:p>
                  <w:pPr>
                    <w:jc w:val="center"/>
                    <w:rPr>
                      <w:color w:val="000000"/>
                      <w:szCs w:val="21"/>
                    </w:rPr>
                  </w:pPr>
                </w:p>
              </w:tc>
              <w:tc>
                <w:tcPr>
                  <w:tcW w:w="461" w:type="pct"/>
                  <w:vMerge w:val="continue"/>
                  <w:tcBorders>
                    <w:tl2br w:val="nil"/>
                    <w:tr2bl w:val="nil"/>
                  </w:tcBorders>
                  <w:vAlign w:val="center"/>
                </w:tcPr>
                <w:p>
                  <w:pPr>
                    <w:jc w:val="center"/>
                    <w:rPr>
                      <w:color w:val="000000"/>
                      <w:szCs w:val="21"/>
                    </w:rPr>
                  </w:pPr>
                </w:p>
              </w:tc>
              <w:tc>
                <w:tcPr>
                  <w:tcW w:w="313" w:type="pct"/>
                  <w:vMerge w:val="continue"/>
                  <w:tcBorders>
                    <w:tl2br w:val="nil"/>
                    <w:tr2bl w:val="nil"/>
                  </w:tcBorders>
                  <w:vAlign w:val="center"/>
                </w:tcPr>
                <w:p>
                  <w:pPr>
                    <w:jc w:val="center"/>
                    <w:rPr>
                      <w:color w:val="000000"/>
                      <w:szCs w:val="21"/>
                    </w:rPr>
                  </w:pPr>
                </w:p>
              </w:tc>
              <w:tc>
                <w:tcPr>
                  <w:tcW w:w="620" w:type="pct"/>
                  <w:vMerge w:val="continue"/>
                  <w:tcBorders>
                    <w:tl2br w:val="nil"/>
                    <w:tr2bl w:val="nil"/>
                  </w:tcBorders>
                  <w:vAlign w:val="center"/>
                </w:tcPr>
                <w:p>
                  <w:pPr>
                    <w:jc w:val="center"/>
                    <w:rPr>
                      <w:color w:val="000000"/>
                      <w:szCs w:val="21"/>
                    </w:rPr>
                  </w:pPr>
                </w:p>
              </w:tc>
              <w:tc>
                <w:tcPr>
                  <w:tcW w:w="313" w:type="pct"/>
                  <w:vMerge w:val="continue"/>
                  <w:tcBorders>
                    <w:tl2br w:val="nil"/>
                    <w:tr2bl w:val="nil"/>
                  </w:tcBorders>
                  <w:vAlign w:val="center"/>
                </w:tcPr>
                <w:p>
                  <w:pPr>
                    <w:jc w:val="center"/>
                    <w:rPr>
                      <w:color w:val="000000"/>
                      <w:szCs w:val="21"/>
                    </w:rPr>
                  </w:pPr>
                </w:p>
              </w:tc>
              <w:tc>
                <w:tcPr>
                  <w:tcW w:w="383" w:type="pct"/>
                  <w:tcBorders>
                    <w:tl2br w:val="nil"/>
                    <w:tr2bl w:val="nil"/>
                  </w:tcBorders>
                  <w:vAlign w:val="center"/>
                </w:tcPr>
                <w:p>
                  <w:pPr>
                    <w:jc w:val="center"/>
                    <w:rPr>
                      <w:color w:val="000000"/>
                      <w:szCs w:val="21"/>
                    </w:rPr>
                  </w:pPr>
                  <w:r>
                    <w:rPr>
                      <w:szCs w:val="21"/>
                    </w:rPr>
                    <w:t>编号</w:t>
                  </w:r>
                </w:p>
              </w:tc>
              <w:tc>
                <w:tcPr>
                  <w:tcW w:w="371" w:type="pct"/>
                  <w:tcBorders>
                    <w:tl2br w:val="nil"/>
                    <w:tr2bl w:val="nil"/>
                  </w:tcBorders>
                  <w:vAlign w:val="center"/>
                </w:tcPr>
                <w:p>
                  <w:pPr>
                    <w:jc w:val="center"/>
                    <w:rPr>
                      <w:color w:val="000000"/>
                      <w:szCs w:val="21"/>
                    </w:rPr>
                  </w:pPr>
                  <w:r>
                    <w:rPr>
                      <w:szCs w:val="21"/>
                    </w:rPr>
                    <w:t>名称</w:t>
                  </w:r>
                </w:p>
              </w:tc>
              <w:tc>
                <w:tcPr>
                  <w:tcW w:w="283" w:type="pct"/>
                  <w:tcBorders>
                    <w:tl2br w:val="nil"/>
                    <w:tr2bl w:val="nil"/>
                  </w:tcBorders>
                  <w:vAlign w:val="center"/>
                </w:tcPr>
                <w:p>
                  <w:pPr>
                    <w:jc w:val="center"/>
                    <w:rPr>
                      <w:color w:val="000000"/>
                      <w:szCs w:val="21"/>
                    </w:rPr>
                  </w:pPr>
                  <w:r>
                    <w:rPr>
                      <w:szCs w:val="21"/>
                    </w:rPr>
                    <w:t>工艺</w:t>
                  </w:r>
                </w:p>
              </w:tc>
              <w:tc>
                <w:tcPr>
                  <w:tcW w:w="396" w:type="pct"/>
                  <w:vMerge w:val="continue"/>
                  <w:tcBorders>
                    <w:tl2br w:val="nil"/>
                    <w:tr2bl w:val="nil"/>
                  </w:tcBorders>
                  <w:vAlign w:val="center"/>
                </w:tcPr>
                <w:p>
                  <w:pPr>
                    <w:jc w:val="center"/>
                    <w:rPr>
                      <w:color w:val="000000"/>
                      <w:szCs w:val="21"/>
                    </w:rPr>
                  </w:pPr>
                </w:p>
              </w:tc>
              <w:tc>
                <w:tcPr>
                  <w:tcW w:w="737" w:type="pct"/>
                  <w:vMerge w:val="continue"/>
                  <w:tcBorders>
                    <w:tl2br w:val="nil"/>
                    <w:tr2bl w:val="nil"/>
                  </w:tcBorders>
                  <w:vAlign w:val="center"/>
                </w:tcPr>
                <w:p>
                  <w:pPr>
                    <w:jc w:val="center"/>
                    <w:rPr>
                      <w:color w:val="000000"/>
                      <w:szCs w:val="21"/>
                    </w:rPr>
                  </w:pPr>
                </w:p>
              </w:tc>
              <w:tc>
                <w:tcPr>
                  <w:tcW w:w="373" w:type="pct"/>
                  <w:vMerge w:val="continue"/>
                  <w:tcBorders>
                    <w:tl2br w:val="nil"/>
                    <w:tr2bl w:val="nil"/>
                  </w:tcBorders>
                  <w:vAlign w:val="center"/>
                </w:tcPr>
                <w:p>
                  <w:pPr>
                    <w:jc w:val="center"/>
                    <w:rPr>
                      <w:color w:val="000000"/>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374" w:type="pct"/>
                  <w:tcBorders>
                    <w:tl2br w:val="nil"/>
                    <w:tr2bl w:val="nil"/>
                  </w:tcBorders>
                  <w:vAlign w:val="center"/>
                </w:tcPr>
                <w:p>
                  <w:pPr>
                    <w:jc w:val="center"/>
                    <w:textAlignment w:val="center"/>
                    <w:rPr>
                      <w:szCs w:val="21"/>
                    </w:rPr>
                  </w:pPr>
                  <w:r>
                    <w:rPr>
                      <w:rFonts w:hint="eastAsia"/>
                      <w:szCs w:val="21"/>
                    </w:rPr>
                    <w:t>软化水系统</w:t>
                  </w:r>
                </w:p>
              </w:tc>
              <w:tc>
                <w:tcPr>
                  <w:tcW w:w="374" w:type="pct"/>
                  <w:tcBorders>
                    <w:tl2br w:val="nil"/>
                    <w:tr2bl w:val="nil"/>
                  </w:tcBorders>
                  <w:vAlign w:val="center"/>
                </w:tcPr>
                <w:p>
                  <w:pPr>
                    <w:jc w:val="center"/>
                    <w:textAlignment w:val="center"/>
                    <w:rPr>
                      <w:szCs w:val="21"/>
                    </w:rPr>
                  </w:pPr>
                  <w:r>
                    <w:rPr>
                      <w:rFonts w:hint="eastAsia"/>
                      <w:szCs w:val="21"/>
                    </w:rPr>
                    <w:t>软化水系统排水</w:t>
                  </w:r>
                </w:p>
              </w:tc>
              <w:tc>
                <w:tcPr>
                  <w:tcW w:w="461" w:type="pct"/>
                  <w:tcBorders>
                    <w:tl2br w:val="nil"/>
                    <w:tr2bl w:val="nil"/>
                  </w:tcBorders>
                  <w:vAlign w:val="center"/>
                </w:tcPr>
                <w:p>
                  <w:pPr>
                    <w:jc w:val="center"/>
                    <w:textAlignment w:val="center"/>
                    <w:rPr>
                      <w:color w:val="000000"/>
                      <w:szCs w:val="21"/>
                      <w:lang w:bidi="ar"/>
                    </w:rPr>
                  </w:pPr>
                  <w:r>
                    <w:rPr>
                      <w:color w:val="000000"/>
                      <w:szCs w:val="21"/>
                      <w:lang w:bidi="ar"/>
                    </w:rPr>
                    <w:t>COD</w:t>
                  </w:r>
                </w:p>
                <w:p>
                  <w:pPr>
                    <w:jc w:val="center"/>
                    <w:textAlignment w:val="center"/>
                    <w:rPr>
                      <w:color w:val="000000"/>
                      <w:szCs w:val="21"/>
                      <w:lang w:bidi="ar"/>
                    </w:rPr>
                  </w:pPr>
                  <w:r>
                    <w:rPr>
                      <w:szCs w:val="21"/>
                      <w:lang w:bidi="ar"/>
                    </w:rPr>
                    <w:t>SS</w:t>
                  </w:r>
                </w:p>
              </w:tc>
              <w:tc>
                <w:tcPr>
                  <w:tcW w:w="313" w:type="pct"/>
                  <w:vMerge w:val="restart"/>
                  <w:tcBorders>
                    <w:tl2br w:val="nil"/>
                    <w:tr2bl w:val="nil"/>
                  </w:tcBorders>
                  <w:vAlign w:val="center"/>
                </w:tcPr>
                <w:p>
                  <w:pPr>
                    <w:jc w:val="center"/>
                    <w:textAlignment w:val="center"/>
                    <w:rPr>
                      <w:color w:val="000000"/>
                      <w:szCs w:val="21"/>
                      <w:lang w:bidi="ar"/>
                    </w:rPr>
                  </w:pPr>
                  <w:r>
                    <w:rPr>
                      <w:rFonts w:hint="eastAsia"/>
                      <w:color w:val="000000"/>
                      <w:szCs w:val="21"/>
                      <w:lang w:bidi="ar"/>
                    </w:rPr>
                    <w:t>不外排</w:t>
                  </w:r>
                </w:p>
              </w:tc>
              <w:tc>
                <w:tcPr>
                  <w:tcW w:w="620" w:type="pct"/>
                  <w:vMerge w:val="restart"/>
                  <w:tcBorders>
                    <w:tl2br w:val="nil"/>
                    <w:tr2bl w:val="nil"/>
                  </w:tcBorders>
                  <w:vAlign w:val="center"/>
                </w:tcPr>
                <w:p>
                  <w:pPr>
                    <w:jc w:val="center"/>
                    <w:textAlignment w:val="center"/>
                    <w:rPr>
                      <w:szCs w:val="21"/>
                    </w:rPr>
                  </w:pPr>
                  <w:r>
                    <w:rPr>
                      <w:rFonts w:hint="eastAsia"/>
                      <w:szCs w:val="21"/>
                    </w:rPr>
                    <w:t>排入市政污水管网</w:t>
                  </w:r>
                </w:p>
                <w:p>
                  <w:pPr>
                    <w:jc w:val="center"/>
                    <w:textAlignment w:val="center"/>
                    <w:rPr>
                      <w:szCs w:val="21"/>
                    </w:rPr>
                  </w:pPr>
                </w:p>
              </w:tc>
              <w:tc>
                <w:tcPr>
                  <w:tcW w:w="313" w:type="pct"/>
                  <w:vMerge w:val="continue"/>
                  <w:tcBorders>
                    <w:tl2br w:val="nil"/>
                    <w:tr2bl w:val="nil"/>
                  </w:tcBorders>
                  <w:vAlign w:val="center"/>
                </w:tcPr>
                <w:p>
                  <w:pPr>
                    <w:jc w:val="center"/>
                    <w:textAlignment w:val="center"/>
                    <w:rPr>
                      <w:szCs w:val="21"/>
                      <w:lang w:bidi="ar"/>
                    </w:rPr>
                  </w:pPr>
                </w:p>
              </w:tc>
              <w:tc>
                <w:tcPr>
                  <w:tcW w:w="383" w:type="pct"/>
                  <w:tcBorders>
                    <w:tl2br w:val="nil"/>
                    <w:tr2bl w:val="nil"/>
                  </w:tcBorders>
                  <w:vAlign w:val="center"/>
                </w:tcPr>
                <w:p>
                  <w:pPr>
                    <w:jc w:val="center"/>
                    <w:textAlignment w:val="center"/>
                    <w:rPr>
                      <w:color w:val="000000"/>
                      <w:szCs w:val="21"/>
                      <w:lang w:bidi="ar"/>
                    </w:rPr>
                  </w:pPr>
                  <w:r>
                    <w:rPr>
                      <w:rFonts w:hint="eastAsia"/>
                      <w:szCs w:val="21"/>
                    </w:rPr>
                    <w:t>/</w:t>
                  </w:r>
                </w:p>
              </w:tc>
              <w:tc>
                <w:tcPr>
                  <w:tcW w:w="371" w:type="pct"/>
                  <w:tcBorders>
                    <w:tl2br w:val="nil"/>
                    <w:tr2bl w:val="nil"/>
                  </w:tcBorders>
                  <w:vAlign w:val="center"/>
                </w:tcPr>
                <w:p>
                  <w:pPr>
                    <w:jc w:val="center"/>
                    <w:textAlignment w:val="center"/>
                    <w:rPr>
                      <w:color w:val="000000"/>
                      <w:szCs w:val="21"/>
                      <w:lang w:bidi="ar"/>
                    </w:rPr>
                  </w:pPr>
                  <w:r>
                    <w:rPr>
                      <w:rFonts w:hint="eastAsia"/>
                      <w:szCs w:val="21"/>
                    </w:rPr>
                    <w:t>/</w:t>
                  </w:r>
                </w:p>
              </w:tc>
              <w:tc>
                <w:tcPr>
                  <w:tcW w:w="283" w:type="pct"/>
                  <w:tcBorders>
                    <w:tl2br w:val="nil"/>
                    <w:tr2bl w:val="nil"/>
                  </w:tcBorders>
                  <w:vAlign w:val="center"/>
                </w:tcPr>
                <w:p>
                  <w:pPr>
                    <w:jc w:val="center"/>
                    <w:textAlignment w:val="center"/>
                    <w:rPr>
                      <w:color w:val="000000"/>
                      <w:szCs w:val="21"/>
                      <w:lang w:bidi="ar"/>
                    </w:rPr>
                  </w:pPr>
                  <w:r>
                    <w:rPr>
                      <w:rFonts w:hint="eastAsia"/>
                      <w:szCs w:val="21"/>
                    </w:rPr>
                    <w:t>/</w:t>
                  </w:r>
                </w:p>
              </w:tc>
              <w:tc>
                <w:tcPr>
                  <w:tcW w:w="396" w:type="pct"/>
                  <w:vMerge w:val="continue"/>
                  <w:tcBorders>
                    <w:tl2br w:val="nil"/>
                    <w:tr2bl w:val="nil"/>
                  </w:tcBorders>
                  <w:vAlign w:val="center"/>
                </w:tcPr>
                <w:p>
                  <w:pPr>
                    <w:jc w:val="center"/>
                    <w:textAlignment w:val="center"/>
                    <w:rPr>
                      <w:color w:val="000000"/>
                      <w:szCs w:val="21"/>
                      <w:lang w:bidi="ar"/>
                    </w:rPr>
                  </w:pPr>
                </w:p>
              </w:tc>
              <w:tc>
                <w:tcPr>
                  <w:tcW w:w="737" w:type="pct"/>
                  <w:vMerge w:val="continue"/>
                  <w:tcBorders>
                    <w:tl2br w:val="nil"/>
                    <w:tr2bl w:val="nil"/>
                  </w:tcBorders>
                  <w:vAlign w:val="center"/>
                </w:tcPr>
                <w:p>
                  <w:pPr>
                    <w:jc w:val="center"/>
                    <w:textAlignment w:val="center"/>
                    <w:rPr>
                      <w:color w:val="000000"/>
                      <w:szCs w:val="21"/>
                      <w:lang w:bidi="ar"/>
                    </w:rPr>
                  </w:pPr>
                </w:p>
              </w:tc>
              <w:tc>
                <w:tcPr>
                  <w:tcW w:w="373" w:type="pct"/>
                  <w:vMerge w:val="continue"/>
                  <w:tcBorders>
                    <w:tl2br w:val="nil"/>
                    <w:tr2bl w:val="nil"/>
                  </w:tcBorders>
                  <w:vAlign w:val="center"/>
                </w:tcPr>
                <w:p>
                  <w:pPr>
                    <w:jc w:val="center"/>
                    <w:textAlignment w:val="center"/>
                    <w:rPr>
                      <w:color w:val="000000"/>
                      <w:szCs w:val="21"/>
                      <w:lang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374" w:type="pct"/>
                  <w:tcBorders>
                    <w:tl2br w:val="nil"/>
                    <w:tr2bl w:val="nil"/>
                  </w:tcBorders>
                  <w:vAlign w:val="center"/>
                </w:tcPr>
                <w:p>
                  <w:pPr>
                    <w:jc w:val="center"/>
                    <w:textAlignment w:val="center"/>
                    <w:rPr>
                      <w:szCs w:val="21"/>
                    </w:rPr>
                  </w:pPr>
                  <w:r>
                    <w:rPr>
                      <w:rFonts w:hint="eastAsia"/>
                      <w:szCs w:val="21"/>
                    </w:rPr>
                    <w:t>软化水系统</w:t>
                  </w:r>
                </w:p>
              </w:tc>
              <w:tc>
                <w:tcPr>
                  <w:tcW w:w="374" w:type="pct"/>
                  <w:tcBorders>
                    <w:tl2br w:val="nil"/>
                    <w:tr2bl w:val="nil"/>
                  </w:tcBorders>
                  <w:vAlign w:val="center"/>
                </w:tcPr>
                <w:p>
                  <w:pPr>
                    <w:jc w:val="center"/>
                    <w:textAlignment w:val="center"/>
                    <w:rPr>
                      <w:szCs w:val="21"/>
                    </w:rPr>
                  </w:pPr>
                  <w:r>
                    <w:rPr>
                      <w:rFonts w:hint="eastAsia"/>
                      <w:szCs w:val="21"/>
                    </w:rPr>
                    <w:t>锅炉排水</w:t>
                  </w:r>
                </w:p>
              </w:tc>
              <w:tc>
                <w:tcPr>
                  <w:tcW w:w="461" w:type="pct"/>
                  <w:tcBorders>
                    <w:tl2br w:val="nil"/>
                    <w:tr2bl w:val="nil"/>
                  </w:tcBorders>
                  <w:vAlign w:val="center"/>
                </w:tcPr>
                <w:p>
                  <w:pPr>
                    <w:jc w:val="center"/>
                    <w:textAlignment w:val="center"/>
                    <w:rPr>
                      <w:color w:val="000000"/>
                      <w:szCs w:val="21"/>
                      <w:lang w:bidi="ar"/>
                    </w:rPr>
                  </w:pPr>
                  <w:r>
                    <w:rPr>
                      <w:color w:val="000000"/>
                      <w:szCs w:val="21"/>
                      <w:lang w:bidi="ar"/>
                    </w:rPr>
                    <w:t>COD</w:t>
                  </w:r>
                </w:p>
                <w:p>
                  <w:pPr>
                    <w:jc w:val="center"/>
                    <w:textAlignment w:val="center"/>
                    <w:rPr>
                      <w:color w:val="000000"/>
                      <w:szCs w:val="21"/>
                      <w:lang w:bidi="ar"/>
                    </w:rPr>
                  </w:pPr>
                  <w:r>
                    <w:rPr>
                      <w:szCs w:val="21"/>
                      <w:lang w:bidi="ar"/>
                    </w:rPr>
                    <w:t>SS</w:t>
                  </w:r>
                </w:p>
              </w:tc>
              <w:tc>
                <w:tcPr>
                  <w:tcW w:w="313" w:type="pct"/>
                  <w:vMerge w:val="continue"/>
                  <w:tcBorders>
                    <w:tl2br w:val="nil"/>
                    <w:tr2bl w:val="nil"/>
                  </w:tcBorders>
                  <w:vAlign w:val="center"/>
                </w:tcPr>
                <w:p>
                  <w:pPr>
                    <w:jc w:val="center"/>
                    <w:textAlignment w:val="center"/>
                    <w:rPr>
                      <w:color w:val="000000"/>
                      <w:szCs w:val="21"/>
                      <w:lang w:bidi="ar"/>
                    </w:rPr>
                  </w:pPr>
                </w:p>
              </w:tc>
              <w:tc>
                <w:tcPr>
                  <w:tcW w:w="620" w:type="pct"/>
                  <w:vMerge w:val="continue"/>
                  <w:tcBorders>
                    <w:tl2br w:val="nil"/>
                    <w:tr2bl w:val="nil"/>
                  </w:tcBorders>
                  <w:vAlign w:val="center"/>
                </w:tcPr>
                <w:p>
                  <w:pPr>
                    <w:jc w:val="center"/>
                    <w:textAlignment w:val="center"/>
                    <w:rPr>
                      <w:szCs w:val="21"/>
                    </w:rPr>
                  </w:pPr>
                </w:p>
              </w:tc>
              <w:tc>
                <w:tcPr>
                  <w:tcW w:w="313" w:type="pct"/>
                  <w:vMerge w:val="continue"/>
                  <w:tcBorders>
                    <w:tl2br w:val="nil"/>
                    <w:tr2bl w:val="nil"/>
                  </w:tcBorders>
                  <w:vAlign w:val="center"/>
                </w:tcPr>
                <w:p>
                  <w:pPr>
                    <w:jc w:val="center"/>
                    <w:textAlignment w:val="center"/>
                    <w:rPr>
                      <w:szCs w:val="21"/>
                      <w:lang w:bidi="ar"/>
                    </w:rPr>
                  </w:pPr>
                </w:p>
              </w:tc>
              <w:tc>
                <w:tcPr>
                  <w:tcW w:w="383" w:type="pct"/>
                  <w:tcBorders>
                    <w:tl2br w:val="nil"/>
                    <w:tr2bl w:val="nil"/>
                  </w:tcBorders>
                  <w:vAlign w:val="center"/>
                </w:tcPr>
                <w:p>
                  <w:pPr>
                    <w:jc w:val="center"/>
                    <w:textAlignment w:val="center"/>
                    <w:rPr>
                      <w:color w:val="000000"/>
                      <w:szCs w:val="21"/>
                      <w:lang w:bidi="ar"/>
                    </w:rPr>
                  </w:pPr>
                  <w:r>
                    <w:rPr>
                      <w:rFonts w:hint="eastAsia"/>
                      <w:szCs w:val="21"/>
                    </w:rPr>
                    <w:t>/</w:t>
                  </w:r>
                </w:p>
              </w:tc>
              <w:tc>
                <w:tcPr>
                  <w:tcW w:w="371" w:type="pct"/>
                  <w:tcBorders>
                    <w:tl2br w:val="nil"/>
                    <w:tr2bl w:val="nil"/>
                  </w:tcBorders>
                  <w:vAlign w:val="center"/>
                </w:tcPr>
                <w:p>
                  <w:pPr>
                    <w:jc w:val="center"/>
                    <w:textAlignment w:val="center"/>
                    <w:rPr>
                      <w:color w:val="000000"/>
                      <w:szCs w:val="21"/>
                      <w:lang w:bidi="ar"/>
                    </w:rPr>
                  </w:pPr>
                  <w:r>
                    <w:rPr>
                      <w:rFonts w:hint="eastAsia"/>
                      <w:szCs w:val="21"/>
                    </w:rPr>
                    <w:t>/</w:t>
                  </w:r>
                </w:p>
              </w:tc>
              <w:tc>
                <w:tcPr>
                  <w:tcW w:w="283" w:type="pct"/>
                  <w:tcBorders>
                    <w:tl2br w:val="nil"/>
                    <w:tr2bl w:val="nil"/>
                  </w:tcBorders>
                  <w:vAlign w:val="center"/>
                </w:tcPr>
                <w:p>
                  <w:pPr>
                    <w:jc w:val="center"/>
                    <w:textAlignment w:val="center"/>
                    <w:rPr>
                      <w:color w:val="000000"/>
                      <w:szCs w:val="21"/>
                      <w:lang w:bidi="ar"/>
                    </w:rPr>
                  </w:pPr>
                  <w:r>
                    <w:rPr>
                      <w:rFonts w:hint="eastAsia"/>
                      <w:szCs w:val="21"/>
                    </w:rPr>
                    <w:t>/</w:t>
                  </w:r>
                </w:p>
              </w:tc>
              <w:tc>
                <w:tcPr>
                  <w:tcW w:w="396" w:type="pct"/>
                  <w:vMerge w:val="continue"/>
                  <w:tcBorders>
                    <w:tl2br w:val="nil"/>
                    <w:tr2bl w:val="nil"/>
                  </w:tcBorders>
                  <w:vAlign w:val="center"/>
                </w:tcPr>
                <w:p>
                  <w:pPr>
                    <w:jc w:val="center"/>
                    <w:textAlignment w:val="center"/>
                    <w:rPr>
                      <w:color w:val="000000"/>
                      <w:szCs w:val="21"/>
                      <w:lang w:bidi="ar"/>
                    </w:rPr>
                  </w:pPr>
                </w:p>
              </w:tc>
              <w:tc>
                <w:tcPr>
                  <w:tcW w:w="737" w:type="pct"/>
                  <w:vMerge w:val="continue"/>
                  <w:tcBorders>
                    <w:tl2br w:val="nil"/>
                    <w:tr2bl w:val="nil"/>
                  </w:tcBorders>
                  <w:vAlign w:val="center"/>
                </w:tcPr>
                <w:p>
                  <w:pPr>
                    <w:jc w:val="center"/>
                    <w:textAlignment w:val="center"/>
                    <w:rPr>
                      <w:color w:val="000000"/>
                      <w:szCs w:val="21"/>
                      <w:lang w:bidi="ar"/>
                    </w:rPr>
                  </w:pPr>
                </w:p>
              </w:tc>
              <w:tc>
                <w:tcPr>
                  <w:tcW w:w="373" w:type="pct"/>
                  <w:vMerge w:val="continue"/>
                  <w:tcBorders>
                    <w:tl2br w:val="nil"/>
                    <w:tr2bl w:val="nil"/>
                  </w:tcBorders>
                  <w:vAlign w:val="center"/>
                </w:tcPr>
                <w:p>
                  <w:pPr>
                    <w:jc w:val="center"/>
                    <w:textAlignment w:val="center"/>
                    <w:rPr>
                      <w:color w:val="000000"/>
                      <w:szCs w:val="21"/>
                      <w:lang w:bidi="ar"/>
                    </w:rPr>
                  </w:pPr>
                </w:p>
              </w:tc>
            </w:tr>
          </w:tbl>
          <w:p>
            <w:pPr>
              <w:pStyle w:val="46"/>
              <w:widowControl w:val="0"/>
              <w:ind w:firstLine="422"/>
              <w:rPr>
                <w:rFonts w:cs="Times New Roman"/>
                <w:b/>
              </w:rPr>
            </w:pPr>
            <w:r>
              <w:rPr>
                <w:rFonts w:hint="eastAsia" w:cs="Times New Roman"/>
                <w:b/>
              </w:rPr>
              <w:t>2</w:t>
            </w:r>
            <w:r>
              <w:rPr>
                <w:rFonts w:cs="Times New Roman"/>
                <w:b/>
              </w:rPr>
              <w:t xml:space="preserve">.2 </w:t>
            </w:r>
            <w:r>
              <w:rPr>
                <w:rFonts w:hint="eastAsia" w:cs="Times New Roman"/>
                <w:b/>
              </w:rPr>
              <w:t>依托可行性分析</w:t>
            </w:r>
          </w:p>
          <w:p>
            <w:pPr>
              <w:pStyle w:val="46"/>
              <w:widowControl w:val="0"/>
              <w:ind w:firstLine="420"/>
              <w:rPr>
                <w:rFonts w:cs="Times New Roman"/>
                <w:bCs/>
              </w:rPr>
            </w:pPr>
            <w:bookmarkStart w:id="10" w:name="_Hlk149223556"/>
            <w:r>
              <w:rPr>
                <w:rFonts w:hint="eastAsia" w:cs="Times New Roman"/>
                <w:bCs/>
              </w:rPr>
              <w:t>长春高新技术产业开发区北区污水处理厂</w:t>
            </w:r>
            <w:bookmarkEnd w:id="10"/>
            <w:r>
              <w:rPr>
                <w:rFonts w:hint="eastAsia" w:cs="Times New Roman"/>
                <w:bCs/>
              </w:rPr>
              <w:t>于2011年建设，建设地点位于长春高新技术产业开发区长东北核心区，吉林长春高新技术产业开发区北区污水处理厂采用较为先进的污水处理工艺，其中</w:t>
            </w:r>
            <w:r>
              <w:t>一期设计规模达到2.5万m</w:t>
            </w:r>
            <w:r>
              <w:rPr>
                <w:vertAlign w:val="superscript"/>
              </w:rPr>
              <w:t>3</w:t>
            </w:r>
            <w:r>
              <w:t>/d，二期设计规模达到3.5万m</w:t>
            </w:r>
            <w:r>
              <w:rPr>
                <w:vertAlign w:val="superscript"/>
              </w:rPr>
              <w:t>3</w:t>
            </w:r>
            <w:r>
              <w:t>/d</w:t>
            </w:r>
            <w:r>
              <w:rPr>
                <w:rFonts w:hint="eastAsia"/>
              </w:rPr>
              <w:t>，</w:t>
            </w:r>
            <w:r>
              <w:rPr>
                <w:rFonts w:hint="eastAsia" w:cs="Times New Roman"/>
                <w:bCs/>
              </w:rPr>
              <w:t>污水处理厂剩余污水处理规模为3</w:t>
            </w:r>
            <w:r>
              <w:rPr>
                <w:rFonts w:cs="Times New Roman"/>
                <w:bCs/>
              </w:rPr>
              <w:t>.5</w:t>
            </w:r>
            <w:r>
              <w:t>万m</w:t>
            </w:r>
            <w:r>
              <w:rPr>
                <w:vertAlign w:val="superscript"/>
              </w:rPr>
              <w:t>3</w:t>
            </w:r>
            <w:r>
              <w:t>/d</w:t>
            </w:r>
            <w:r>
              <w:rPr>
                <w:rFonts w:hint="eastAsia" w:cs="Times New Roman"/>
                <w:bCs/>
              </w:rPr>
              <w:t>，本项目日均废水排放量为</w:t>
            </w:r>
            <w:r>
              <w:rPr>
                <w:rFonts w:cs="Times New Roman"/>
                <w:bCs/>
              </w:rPr>
              <w:t>0.56</w:t>
            </w:r>
            <w:r>
              <w:rPr>
                <w:rFonts w:hint="eastAsia" w:cs="Times New Roman"/>
                <w:bCs/>
              </w:rPr>
              <w:t>m</w:t>
            </w:r>
            <w:r>
              <w:rPr>
                <w:rFonts w:cs="Times New Roman"/>
                <w:bCs/>
                <w:vertAlign w:val="superscript"/>
              </w:rPr>
              <w:t>3</w:t>
            </w:r>
            <w:r>
              <w:rPr>
                <w:rFonts w:hint="eastAsia" w:cs="Times New Roman"/>
                <w:bCs/>
              </w:rPr>
              <w:t>，废水排放量不足以造成该污水处理厂的运行负担，污水设计进水指标为C</w:t>
            </w:r>
            <w:r>
              <w:rPr>
                <w:rFonts w:cs="Times New Roman"/>
                <w:bCs/>
              </w:rPr>
              <w:t>OD</w:t>
            </w:r>
            <w:r>
              <w:rPr>
                <w:rFonts w:hint="eastAsia" w:cs="Times New Roman"/>
                <w:bCs/>
              </w:rPr>
              <w:t>：</w:t>
            </w:r>
            <w:r>
              <w:rPr>
                <w:rFonts w:cs="Times New Roman"/>
                <w:bCs/>
              </w:rPr>
              <w:t>500</w:t>
            </w:r>
            <w:r>
              <w:rPr>
                <w:rFonts w:hint="eastAsia" w:cs="Times New Roman"/>
                <w:bCs/>
              </w:rPr>
              <w:t>mg/L、</w:t>
            </w:r>
            <w:r>
              <w:rPr>
                <w:rFonts w:cs="Times New Roman"/>
                <w:bCs/>
              </w:rPr>
              <w:t>BOD</w:t>
            </w:r>
            <w:r>
              <w:rPr>
                <w:rFonts w:cs="Times New Roman"/>
                <w:bCs/>
                <w:vertAlign w:val="subscript"/>
              </w:rPr>
              <w:t>5</w:t>
            </w:r>
            <w:r>
              <w:rPr>
                <w:rFonts w:hint="eastAsia" w:cs="Times New Roman"/>
                <w:bCs/>
              </w:rPr>
              <w:t>：</w:t>
            </w:r>
            <w:r>
              <w:rPr>
                <w:rFonts w:cs="Times New Roman"/>
                <w:bCs/>
              </w:rPr>
              <w:t>300</w:t>
            </w:r>
            <w:r>
              <w:rPr>
                <w:rFonts w:hint="eastAsia" w:cs="Times New Roman"/>
                <w:bCs/>
              </w:rPr>
              <w:t>mg/L、</w:t>
            </w:r>
            <w:r>
              <w:rPr>
                <w:rFonts w:cs="Times New Roman"/>
                <w:bCs/>
              </w:rPr>
              <w:t>NH</w:t>
            </w:r>
            <w:r>
              <w:rPr>
                <w:rFonts w:cs="Times New Roman"/>
                <w:bCs/>
                <w:vertAlign w:val="subscript"/>
              </w:rPr>
              <w:t>3</w:t>
            </w:r>
            <w:r>
              <w:rPr>
                <w:rFonts w:cs="Times New Roman"/>
                <w:bCs/>
              </w:rPr>
              <w:t>-N</w:t>
            </w:r>
            <w:r>
              <w:rPr>
                <w:rFonts w:hint="eastAsia" w:cs="Times New Roman"/>
                <w:bCs/>
              </w:rPr>
              <w:t>：</w:t>
            </w:r>
            <w:r>
              <w:rPr>
                <w:rFonts w:cs="Times New Roman"/>
                <w:bCs/>
              </w:rPr>
              <w:t>45</w:t>
            </w:r>
            <w:r>
              <w:rPr>
                <w:rFonts w:hint="eastAsia" w:cs="Times New Roman"/>
                <w:bCs/>
              </w:rPr>
              <w:t>mg/L、</w:t>
            </w:r>
            <w:r>
              <w:rPr>
                <w:rFonts w:cs="Times New Roman"/>
                <w:bCs/>
              </w:rPr>
              <w:t>SS</w:t>
            </w:r>
            <w:r>
              <w:rPr>
                <w:rFonts w:hint="eastAsia" w:cs="Times New Roman"/>
                <w:bCs/>
              </w:rPr>
              <w:t>：</w:t>
            </w:r>
            <w:r>
              <w:rPr>
                <w:rFonts w:cs="Times New Roman"/>
                <w:bCs/>
              </w:rPr>
              <w:t>300</w:t>
            </w:r>
            <w:r>
              <w:rPr>
                <w:rFonts w:hint="eastAsia" w:cs="Times New Roman"/>
                <w:bCs/>
              </w:rPr>
              <w:t>mg/L、T</w:t>
            </w:r>
            <w:r>
              <w:rPr>
                <w:rFonts w:cs="Times New Roman"/>
                <w:bCs/>
              </w:rPr>
              <w:t>N</w:t>
            </w:r>
            <w:r>
              <w:rPr>
                <w:rFonts w:hint="eastAsia" w:cs="Times New Roman"/>
                <w:bCs/>
              </w:rPr>
              <w:t>：7</w:t>
            </w:r>
            <w:r>
              <w:rPr>
                <w:rFonts w:cs="Times New Roman"/>
                <w:bCs/>
              </w:rPr>
              <w:t>0</w:t>
            </w:r>
            <w:r>
              <w:rPr>
                <w:rFonts w:hint="eastAsia" w:cs="Times New Roman"/>
                <w:bCs/>
              </w:rPr>
              <w:t>mg/L、T</w:t>
            </w:r>
            <w:r>
              <w:rPr>
                <w:rFonts w:cs="Times New Roman"/>
                <w:bCs/>
              </w:rPr>
              <w:t>P</w:t>
            </w:r>
            <w:r>
              <w:rPr>
                <w:rFonts w:hint="eastAsia" w:cs="Times New Roman"/>
                <w:bCs/>
              </w:rPr>
              <w:t>：8mg/L；本项目污水排放浓度远低于污水处理厂进水指标且水质简单，不会对污水处理厂造成冲击，</w:t>
            </w:r>
            <w:r>
              <w:rPr>
                <w:rFonts w:hint="eastAsia"/>
              </w:rPr>
              <w:t>本项目位于长春高新技术产业开发区北区污水处理厂收水范围内，且本项目厂区至长春高新技术产业开发区北区污水处理厂的污水管线已敷设完成，</w:t>
            </w:r>
            <w:r>
              <w:rPr>
                <w:rFonts w:hint="eastAsia" w:cs="Times New Roman"/>
                <w:bCs/>
              </w:rPr>
              <w:t>因此，依托长春高新技术产业开发区北区污水处理厂可行。</w:t>
            </w:r>
          </w:p>
          <w:p>
            <w:pPr>
              <w:pStyle w:val="46"/>
              <w:widowControl w:val="0"/>
              <w:ind w:firstLine="422"/>
              <w:rPr>
                <w:rFonts w:cs="Times New Roman"/>
                <w:b/>
              </w:rPr>
            </w:pPr>
            <w:r>
              <w:rPr>
                <w:rFonts w:hint="eastAsia" w:cs="Times New Roman"/>
                <w:b/>
              </w:rPr>
              <w:t>2</w:t>
            </w:r>
            <w:r>
              <w:rPr>
                <w:rFonts w:cs="Times New Roman"/>
                <w:b/>
              </w:rPr>
              <w:t xml:space="preserve">.3 </w:t>
            </w:r>
            <w:r>
              <w:rPr>
                <w:rFonts w:hint="eastAsia" w:cs="Times New Roman"/>
                <w:b/>
              </w:rPr>
              <w:t>监测计划</w:t>
            </w:r>
          </w:p>
          <w:p>
            <w:pPr>
              <w:pStyle w:val="46"/>
              <w:adjustRightInd w:val="0"/>
              <w:snapToGrid w:val="0"/>
              <w:ind w:firstLine="420"/>
            </w:pPr>
            <w:r>
              <w:t>根据</w:t>
            </w:r>
            <w:r>
              <w:rPr>
                <w:rFonts w:hint="eastAsia"/>
              </w:rPr>
              <w:t xml:space="preserve">《排污单位自行监测技术指南 总则》（HJ </w:t>
            </w:r>
            <w:r>
              <w:t>819-</w:t>
            </w:r>
            <w:r>
              <w:rPr>
                <w:rFonts w:hint="eastAsia"/>
              </w:rPr>
              <w:t>20</w:t>
            </w:r>
            <w:r>
              <w:t>17</w:t>
            </w:r>
            <w:r>
              <w:rPr>
                <w:rFonts w:hint="eastAsia"/>
              </w:rPr>
              <w:t>）</w:t>
            </w:r>
            <w:r>
              <w:t>制定</w:t>
            </w:r>
            <w:r>
              <w:rPr>
                <w:rFonts w:hint="eastAsia"/>
              </w:rPr>
              <w:t>本项目废水污染物</w:t>
            </w:r>
            <w:r>
              <w:t>监测计划如下</w:t>
            </w:r>
            <w:r>
              <w:rPr>
                <w:rFonts w:hint="eastAsia"/>
              </w:rPr>
              <w:t>。</w:t>
            </w:r>
          </w:p>
          <w:p>
            <w:pPr>
              <w:pStyle w:val="46"/>
              <w:adjustRightInd w:val="0"/>
              <w:snapToGrid w:val="0"/>
              <w:spacing w:line="240" w:lineRule="auto"/>
              <w:ind w:firstLine="0" w:firstLineChars="0"/>
              <w:jc w:val="center"/>
              <w:rPr>
                <w:b/>
                <w:bCs/>
                <w:u w:val="single"/>
              </w:rPr>
            </w:pPr>
            <w:r>
              <w:rPr>
                <w:rFonts w:hint="eastAsia"/>
                <w:b/>
                <w:bCs/>
                <w:u w:val="single"/>
              </w:rPr>
              <w:t>表4</w:t>
            </w:r>
            <w:r>
              <w:rPr>
                <w:b/>
                <w:bCs/>
                <w:u w:val="single"/>
              </w:rPr>
              <w:t xml:space="preserve">-9  </w:t>
            </w:r>
            <w:r>
              <w:rPr>
                <w:rFonts w:hint="eastAsia"/>
                <w:b/>
                <w:bCs/>
                <w:u w:val="single"/>
              </w:rPr>
              <w:t>本项目废水排放</w:t>
            </w:r>
            <w:r>
              <w:rPr>
                <w:b/>
                <w:bCs/>
                <w:u w:val="single"/>
              </w:rPr>
              <w:t>口设置及</w:t>
            </w:r>
            <w:r>
              <w:rPr>
                <w:rFonts w:hint="eastAsia"/>
                <w:b/>
                <w:bCs/>
                <w:u w:val="single"/>
              </w:rPr>
              <w:t>水</w:t>
            </w:r>
            <w:r>
              <w:rPr>
                <w:b/>
                <w:bCs/>
                <w:u w:val="single"/>
              </w:rPr>
              <w:t>污染物监测计划</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87"/>
              <w:gridCol w:w="708"/>
              <w:gridCol w:w="2570"/>
              <w:gridCol w:w="987"/>
              <w:gridCol w:w="3070"/>
              <w:gridCol w:w="60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390" w:type="pct"/>
                  <w:gridSpan w:val="3"/>
                  <w:tcMar>
                    <w:left w:w="28" w:type="dxa"/>
                    <w:right w:w="28" w:type="dxa"/>
                  </w:tcMar>
                  <w:vAlign w:val="center"/>
                </w:tcPr>
                <w:p>
                  <w:pPr>
                    <w:pStyle w:val="46"/>
                    <w:spacing w:line="240" w:lineRule="auto"/>
                    <w:ind w:firstLine="0" w:firstLineChars="0"/>
                    <w:jc w:val="center"/>
                  </w:pPr>
                  <w:r>
                    <w:t>排放口基本情况</w:t>
                  </w:r>
                </w:p>
              </w:tc>
              <w:tc>
                <w:tcPr>
                  <w:tcW w:w="2610" w:type="pct"/>
                  <w:gridSpan w:val="3"/>
                  <w:tcMar>
                    <w:left w:w="28" w:type="dxa"/>
                    <w:right w:w="28" w:type="dxa"/>
                  </w:tcMar>
                  <w:vAlign w:val="center"/>
                </w:tcPr>
                <w:p>
                  <w:pPr>
                    <w:pStyle w:val="46"/>
                    <w:spacing w:line="240" w:lineRule="auto"/>
                    <w:ind w:firstLine="0" w:firstLineChars="0"/>
                    <w:jc w:val="center"/>
                  </w:pPr>
                  <w:r>
                    <w:t>监测计划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53" w:type="pct"/>
                  <w:tcMar>
                    <w:left w:w="28" w:type="dxa"/>
                    <w:right w:w="28" w:type="dxa"/>
                  </w:tcMar>
                  <w:vAlign w:val="center"/>
                </w:tcPr>
                <w:p>
                  <w:pPr>
                    <w:pStyle w:val="46"/>
                    <w:spacing w:line="240" w:lineRule="auto"/>
                    <w:ind w:firstLine="0" w:firstLineChars="0"/>
                    <w:jc w:val="center"/>
                  </w:pPr>
                  <w:r>
                    <w:t>编号及名称</w:t>
                  </w:r>
                </w:p>
              </w:tc>
              <w:tc>
                <w:tcPr>
                  <w:tcW w:w="397" w:type="pct"/>
                  <w:tcMar>
                    <w:left w:w="28" w:type="dxa"/>
                    <w:right w:w="28" w:type="dxa"/>
                  </w:tcMar>
                  <w:vAlign w:val="center"/>
                </w:tcPr>
                <w:p>
                  <w:pPr>
                    <w:pStyle w:val="46"/>
                    <w:spacing w:line="240" w:lineRule="auto"/>
                    <w:ind w:firstLine="0" w:firstLineChars="0"/>
                    <w:jc w:val="center"/>
                  </w:pPr>
                  <w:r>
                    <w:t>类型</w:t>
                  </w:r>
                </w:p>
              </w:tc>
              <w:tc>
                <w:tcPr>
                  <w:tcW w:w="1440" w:type="pct"/>
                  <w:tcMar>
                    <w:left w:w="28" w:type="dxa"/>
                    <w:right w:w="28" w:type="dxa"/>
                  </w:tcMar>
                  <w:vAlign w:val="center"/>
                </w:tcPr>
                <w:p>
                  <w:pPr>
                    <w:pStyle w:val="46"/>
                    <w:spacing w:line="240" w:lineRule="auto"/>
                    <w:ind w:firstLine="0" w:firstLineChars="0"/>
                    <w:jc w:val="center"/>
                  </w:pPr>
                  <w:r>
                    <w:t>坐标</w:t>
                  </w:r>
                </w:p>
              </w:tc>
              <w:tc>
                <w:tcPr>
                  <w:tcW w:w="553" w:type="pct"/>
                  <w:tcMar>
                    <w:left w:w="28" w:type="dxa"/>
                    <w:right w:w="28" w:type="dxa"/>
                  </w:tcMar>
                  <w:vAlign w:val="center"/>
                </w:tcPr>
                <w:p>
                  <w:pPr>
                    <w:pStyle w:val="46"/>
                    <w:spacing w:line="240" w:lineRule="auto"/>
                    <w:ind w:firstLine="0" w:firstLineChars="0"/>
                    <w:jc w:val="center"/>
                  </w:pPr>
                  <w:r>
                    <w:t>监测点位</w:t>
                  </w:r>
                </w:p>
              </w:tc>
              <w:tc>
                <w:tcPr>
                  <w:tcW w:w="1720" w:type="pct"/>
                  <w:tcMar>
                    <w:left w:w="28" w:type="dxa"/>
                    <w:right w:w="28" w:type="dxa"/>
                  </w:tcMar>
                  <w:vAlign w:val="center"/>
                </w:tcPr>
                <w:p>
                  <w:pPr>
                    <w:pStyle w:val="46"/>
                    <w:spacing w:line="240" w:lineRule="auto"/>
                    <w:ind w:firstLine="0" w:firstLineChars="0"/>
                    <w:jc w:val="center"/>
                  </w:pPr>
                  <w:r>
                    <w:t>监测因子</w:t>
                  </w:r>
                </w:p>
              </w:tc>
              <w:tc>
                <w:tcPr>
                  <w:tcW w:w="338" w:type="pct"/>
                  <w:tcMar>
                    <w:left w:w="28" w:type="dxa"/>
                    <w:right w:w="28" w:type="dxa"/>
                  </w:tcMar>
                  <w:vAlign w:val="center"/>
                </w:tcPr>
                <w:p>
                  <w:pPr>
                    <w:pStyle w:val="46"/>
                    <w:spacing w:line="240" w:lineRule="auto"/>
                    <w:ind w:firstLine="0" w:firstLineChars="0"/>
                    <w:jc w:val="center"/>
                  </w:pPr>
                  <w:r>
                    <w:t>监测频次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53" w:type="pct"/>
                  <w:tcMar>
                    <w:left w:w="28" w:type="dxa"/>
                    <w:right w:w="28" w:type="dxa"/>
                  </w:tcMar>
                  <w:vAlign w:val="center"/>
                </w:tcPr>
                <w:p>
                  <w:pPr>
                    <w:pStyle w:val="46"/>
                    <w:spacing w:line="240" w:lineRule="auto"/>
                    <w:ind w:firstLine="0" w:firstLineChars="0"/>
                    <w:jc w:val="center"/>
                  </w:pPr>
                  <w:r>
                    <w:t>DW001</w:t>
                  </w:r>
                </w:p>
                <w:p>
                  <w:pPr>
                    <w:pStyle w:val="46"/>
                    <w:spacing w:line="240" w:lineRule="auto"/>
                    <w:ind w:firstLine="0" w:firstLineChars="0"/>
                    <w:jc w:val="center"/>
                  </w:pPr>
                  <w:r>
                    <w:t>企业总排口</w:t>
                  </w:r>
                </w:p>
              </w:tc>
              <w:tc>
                <w:tcPr>
                  <w:tcW w:w="397" w:type="pct"/>
                  <w:tcMar>
                    <w:left w:w="28" w:type="dxa"/>
                    <w:right w:w="28" w:type="dxa"/>
                  </w:tcMar>
                  <w:vAlign w:val="center"/>
                </w:tcPr>
                <w:p>
                  <w:pPr>
                    <w:pStyle w:val="46"/>
                    <w:spacing w:line="240" w:lineRule="auto"/>
                    <w:ind w:firstLine="0" w:firstLineChars="0"/>
                    <w:jc w:val="center"/>
                  </w:pPr>
                  <w:r>
                    <w:t>间接排放口</w:t>
                  </w:r>
                </w:p>
              </w:tc>
              <w:tc>
                <w:tcPr>
                  <w:tcW w:w="1440" w:type="pct"/>
                  <w:tcMar>
                    <w:left w:w="28" w:type="dxa"/>
                    <w:right w:w="28" w:type="dxa"/>
                  </w:tcMar>
                  <w:vAlign w:val="center"/>
                </w:tcPr>
                <w:p>
                  <w:pPr>
                    <w:pStyle w:val="46"/>
                    <w:spacing w:line="240" w:lineRule="auto"/>
                    <w:ind w:firstLine="0" w:firstLineChars="0"/>
                    <w:jc w:val="center"/>
                  </w:pPr>
                  <w:r>
                    <w:rPr>
                      <w:color w:val="000000" w:themeColor="text1"/>
                      <w14:textFill>
                        <w14:solidFill>
                          <w14:schemeClr w14:val="tx1"/>
                        </w14:solidFill>
                      </w14:textFill>
                    </w:rPr>
                    <w:t>125°15′2.31″，43°52′18.45″</w:t>
                  </w:r>
                </w:p>
              </w:tc>
              <w:tc>
                <w:tcPr>
                  <w:tcW w:w="553" w:type="pct"/>
                  <w:tcMar>
                    <w:left w:w="28" w:type="dxa"/>
                    <w:right w:w="28" w:type="dxa"/>
                  </w:tcMar>
                  <w:vAlign w:val="center"/>
                </w:tcPr>
                <w:p>
                  <w:pPr>
                    <w:pStyle w:val="46"/>
                    <w:spacing w:line="240" w:lineRule="auto"/>
                    <w:ind w:firstLine="0" w:firstLineChars="0"/>
                    <w:jc w:val="center"/>
                  </w:pPr>
                  <w:r>
                    <w:t>DW001</w:t>
                  </w:r>
                </w:p>
                <w:p>
                  <w:pPr>
                    <w:pStyle w:val="46"/>
                    <w:spacing w:line="240" w:lineRule="auto"/>
                    <w:ind w:firstLine="0" w:firstLineChars="0"/>
                    <w:jc w:val="center"/>
                  </w:pPr>
                  <w:r>
                    <w:t>企业总排口</w:t>
                  </w:r>
                </w:p>
              </w:tc>
              <w:tc>
                <w:tcPr>
                  <w:tcW w:w="1720" w:type="pct"/>
                  <w:tcMar>
                    <w:left w:w="28" w:type="dxa"/>
                    <w:right w:w="28" w:type="dxa"/>
                  </w:tcMar>
                  <w:vAlign w:val="center"/>
                </w:tcPr>
                <w:p>
                  <w:pPr>
                    <w:widowControl/>
                    <w:jc w:val="center"/>
                    <w:textAlignment w:val="center"/>
                  </w:pPr>
                  <w:r>
                    <w:rPr>
                      <w:rFonts w:hint="eastAsia"/>
                      <w:bCs/>
                      <w:iCs/>
                      <w:szCs w:val="21"/>
                    </w:rPr>
                    <w:t>COD、S</w:t>
                  </w:r>
                  <w:r>
                    <w:rPr>
                      <w:bCs/>
                      <w:iCs/>
                      <w:szCs w:val="21"/>
                    </w:rPr>
                    <w:t>S</w:t>
                  </w:r>
                </w:p>
              </w:tc>
              <w:tc>
                <w:tcPr>
                  <w:tcW w:w="338" w:type="pct"/>
                  <w:tcMar>
                    <w:left w:w="28" w:type="dxa"/>
                    <w:right w:w="28" w:type="dxa"/>
                  </w:tcMar>
                  <w:vAlign w:val="center"/>
                </w:tcPr>
                <w:p>
                  <w:pPr>
                    <w:pStyle w:val="46"/>
                    <w:spacing w:line="240" w:lineRule="auto"/>
                    <w:ind w:firstLine="0" w:firstLineChars="0"/>
                    <w:jc w:val="center"/>
                  </w:pPr>
                  <w:r>
                    <w:t>1次/</w:t>
                  </w:r>
                  <w:r>
                    <w:rPr>
                      <w:rFonts w:hint="eastAsia"/>
                    </w:rPr>
                    <w:t>半年</w:t>
                  </w:r>
                </w:p>
              </w:tc>
            </w:tr>
          </w:tbl>
          <w:p>
            <w:pPr>
              <w:adjustRightInd w:val="0"/>
              <w:snapToGrid w:val="0"/>
              <w:jc w:val="center"/>
              <w:rPr>
                <w:b/>
                <w:bCs/>
                <w:szCs w:val="21"/>
                <w:u w:val="single"/>
              </w:rPr>
            </w:pPr>
            <w:r>
              <w:rPr>
                <w:rFonts w:hint="eastAsia"/>
                <w:b/>
                <w:bCs/>
                <w:szCs w:val="21"/>
                <w:u w:val="single"/>
                <w:lang w:val="zh-CN"/>
              </w:rPr>
              <w:t>表4</w:t>
            </w:r>
            <w:r>
              <w:rPr>
                <w:b/>
                <w:bCs/>
                <w:szCs w:val="21"/>
                <w:u w:val="single"/>
                <w:lang w:val="zh-CN"/>
              </w:rPr>
              <w:t xml:space="preserve">-10  </w:t>
            </w:r>
            <w:r>
              <w:rPr>
                <w:rFonts w:hint="eastAsia"/>
                <w:b/>
                <w:bCs/>
                <w:szCs w:val="21"/>
                <w:u w:val="single"/>
                <w:lang w:val="zh-CN"/>
              </w:rPr>
              <w:t>非正常工况</w:t>
            </w:r>
            <w:r>
              <w:rPr>
                <w:rFonts w:hint="eastAsia"/>
                <w:b/>
                <w:bCs/>
                <w:iCs/>
                <w:szCs w:val="21"/>
                <w:u w:val="single"/>
              </w:rPr>
              <w:t>水</w:t>
            </w:r>
            <w:r>
              <w:rPr>
                <w:b/>
                <w:bCs/>
                <w:iCs/>
                <w:szCs w:val="21"/>
                <w:u w:val="single"/>
              </w:rPr>
              <w:t>污染物监测计划</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28"/>
              <w:gridCol w:w="1726"/>
              <w:gridCol w:w="3657"/>
              <w:gridCol w:w="20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adjustRightInd w:val="0"/>
                    <w:snapToGrid w:val="0"/>
                    <w:jc w:val="center"/>
                  </w:pPr>
                  <w:r>
                    <w:rPr>
                      <w:rFonts w:hint="eastAsia"/>
                    </w:rPr>
                    <w:t>监测内容</w:t>
                  </w:r>
                </w:p>
              </w:tc>
              <w:tc>
                <w:tcPr>
                  <w:tcW w:w="408" w:type="pct"/>
                  <w:vAlign w:val="center"/>
                </w:tcPr>
                <w:p>
                  <w:pPr>
                    <w:adjustRightInd w:val="0"/>
                    <w:snapToGrid w:val="0"/>
                    <w:jc w:val="center"/>
                  </w:pPr>
                  <w:r>
                    <w:rPr>
                      <w:rFonts w:hint="eastAsia"/>
                    </w:rPr>
                    <w:t>监测布点</w:t>
                  </w:r>
                </w:p>
              </w:tc>
              <w:tc>
                <w:tcPr>
                  <w:tcW w:w="967" w:type="pct"/>
                  <w:vAlign w:val="center"/>
                </w:tcPr>
                <w:p>
                  <w:pPr>
                    <w:adjustRightInd w:val="0"/>
                    <w:snapToGrid w:val="0"/>
                    <w:jc w:val="center"/>
                  </w:pPr>
                  <w:r>
                    <w:rPr>
                      <w:rFonts w:hint="eastAsia"/>
                    </w:rPr>
                    <w:t>监测项目</w:t>
                  </w:r>
                </w:p>
              </w:tc>
              <w:tc>
                <w:tcPr>
                  <w:tcW w:w="2049" w:type="pct"/>
                  <w:vAlign w:val="center"/>
                </w:tcPr>
                <w:p>
                  <w:pPr>
                    <w:adjustRightInd w:val="0"/>
                    <w:snapToGrid w:val="0"/>
                    <w:jc w:val="center"/>
                  </w:pPr>
                  <w:r>
                    <w:rPr>
                      <w:rFonts w:hint="eastAsia"/>
                    </w:rPr>
                    <w:t>监测频次</w:t>
                  </w:r>
                </w:p>
              </w:tc>
              <w:tc>
                <w:tcPr>
                  <w:tcW w:w="1156" w:type="pct"/>
                  <w:vAlign w:val="center"/>
                </w:tcPr>
                <w:p>
                  <w:pPr>
                    <w:adjustRightInd w:val="0"/>
                    <w:snapToGrid w:val="0"/>
                    <w:jc w:val="center"/>
                  </w:pPr>
                  <w:r>
                    <w:rPr>
                      <w:rFonts w:hint="eastAsia"/>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0" w:type="pct"/>
                  <w:vAlign w:val="center"/>
                </w:tcPr>
                <w:p>
                  <w:pPr>
                    <w:adjustRightInd w:val="0"/>
                    <w:snapToGrid w:val="0"/>
                    <w:jc w:val="center"/>
                  </w:pPr>
                  <w:r>
                    <w:rPr>
                      <w:rFonts w:hint="eastAsia"/>
                    </w:rPr>
                    <w:t>废水</w:t>
                  </w:r>
                </w:p>
              </w:tc>
              <w:tc>
                <w:tcPr>
                  <w:tcW w:w="408" w:type="pct"/>
                  <w:vAlign w:val="center"/>
                </w:tcPr>
                <w:p>
                  <w:pPr>
                    <w:adjustRightInd w:val="0"/>
                    <w:snapToGrid w:val="0"/>
                    <w:jc w:val="center"/>
                  </w:pPr>
                  <w:r>
                    <w:rPr>
                      <w:rFonts w:hint="eastAsia"/>
                    </w:rPr>
                    <w:t>污水处理设施出口</w:t>
                  </w:r>
                </w:p>
              </w:tc>
              <w:tc>
                <w:tcPr>
                  <w:tcW w:w="967" w:type="pct"/>
                  <w:vAlign w:val="center"/>
                </w:tcPr>
                <w:p>
                  <w:pPr>
                    <w:adjustRightInd w:val="0"/>
                    <w:snapToGrid w:val="0"/>
                    <w:jc w:val="center"/>
                  </w:pPr>
                  <w:r>
                    <w:rPr>
                      <w:rFonts w:hint="eastAsia"/>
                      <w:szCs w:val="21"/>
                    </w:rPr>
                    <w:t>C</w:t>
                  </w:r>
                  <w:r>
                    <w:rPr>
                      <w:szCs w:val="21"/>
                    </w:rPr>
                    <w:t>OD</w:t>
                  </w:r>
                  <w:r>
                    <w:rPr>
                      <w:rFonts w:hint="eastAsia"/>
                      <w:szCs w:val="21"/>
                    </w:rPr>
                    <w:t>、S</w:t>
                  </w:r>
                  <w:r>
                    <w:rPr>
                      <w:szCs w:val="21"/>
                    </w:rPr>
                    <w:t>S</w:t>
                  </w:r>
                </w:p>
              </w:tc>
              <w:tc>
                <w:tcPr>
                  <w:tcW w:w="2049" w:type="pct"/>
                  <w:vAlign w:val="center"/>
                </w:tcPr>
                <w:p>
                  <w:pPr>
                    <w:adjustRightInd w:val="0"/>
                    <w:snapToGrid w:val="0"/>
                    <w:jc w:val="center"/>
                  </w:pPr>
                  <w:r>
                    <w:rPr>
                      <w:rFonts w:hint="eastAsia"/>
                    </w:rPr>
                    <w:t>事故发生后尽快进行监测，事故发生1小时内每15分钟取样进行监测，事故后 4小时、10小时、24小时各监测一次</w:t>
                  </w:r>
                </w:p>
              </w:tc>
              <w:tc>
                <w:tcPr>
                  <w:tcW w:w="1156" w:type="pct"/>
                  <w:vAlign w:val="center"/>
                </w:tcPr>
                <w:p>
                  <w:pPr>
                    <w:adjustRightInd w:val="0"/>
                    <w:snapToGrid w:val="0"/>
                    <w:jc w:val="center"/>
                  </w:pPr>
                  <w:r>
                    <w:rPr>
                      <w:rFonts w:hint="eastAsia"/>
                    </w:rPr>
                    <w:t>掌握厂内污水水质状况，不符合协议标准的废水不得外运</w:t>
                  </w:r>
                </w:p>
              </w:tc>
            </w:tr>
          </w:tbl>
          <w:p>
            <w:pPr>
              <w:pStyle w:val="46"/>
              <w:widowControl w:val="0"/>
              <w:ind w:firstLine="422"/>
              <w:rPr>
                <w:rFonts w:cs="Times New Roman"/>
                <w:b/>
              </w:rPr>
            </w:pPr>
            <w:r>
              <w:rPr>
                <w:rFonts w:hint="eastAsia" w:cs="Times New Roman"/>
                <w:b/>
              </w:rPr>
              <w:t>3、噪声</w:t>
            </w:r>
          </w:p>
          <w:p>
            <w:pPr>
              <w:adjustRightInd w:val="0"/>
              <w:snapToGrid w:val="0"/>
              <w:spacing w:line="360" w:lineRule="auto"/>
              <w:ind w:firstLine="422" w:firstLineChars="200"/>
              <w:rPr>
                <w:b/>
                <w:bCs/>
                <w:szCs w:val="21"/>
              </w:rPr>
            </w:pPr>
            <w:r>
              <w:rPr>
                <w:rFonts w:hint="eastAsia"/>
                <w:b/>
                <w:bCs/>
                <w:szCs w:val="21"/>
              </w:rPr>
              <w:t>3</w:t>
            </w:r>
            <w:r>
              <w:rPr>
                <w:b/>
                <w:bCs/>
                <w:szCs w:val="21"/>
              </w:rPr>
              <w:t xml:space="preserve">.1 </w:t>
            </w:r>
            <w:r>
              <w:rPr>
                <w:rFonts w:hint="eastAsia"/>
                <w:b/>
                <w:bCs/>
                <w:szCs w:val="21"/>
              </w:rPr>
              <w:t>主要噪声源</w:t>
            </w:r>
          </w:p>
          <w:p>
            <w:pPr>
              <w:adjustRightInd w:val="0"/>
              <w:snapToGrid w:val="0"/>
              <w:spacing w:line="360" w:lineRule="auto"/>
              <w:ind w:firstLine="422" w:firstLineChars="200"/>
              <w:rPr>
                <w:b/>
                <w:bCs/>
                <w:i/>
                <w:iCs/>
                <w:szCs w:val="21"/>
                <w:u w:val="single"/>
              </w:rPr>
            </w:pPr>
            <w:r>
              <w:rPr>
                <w:b/>
                <w:bCs/>
                <w:i/>
                <w:iCs/>
                <w:szCs w:val="21"/>
                <w:u w:val="single"/>
              </w:rPr>
              <w:t>项目生产过程中噪声源主要为</w:t>
            </w:r>
            <w:r>
              <w:rPr>
                <w:rFonts w:hint="eastAsia"/>
                <w:b/>
                <w:bCs/>
                <w:i/>
                <w:iCs/>
                <w:color w:val="000000"/>
                <w:szCs w:val="21"/>
                <w:u w:val="single"/>
              </w:rPr>
              <w:t>麦芽粉碎机制冷机组、风机和泵机产生的噪声，</w:t>
            </w:r>
            <w:r>
              <w:rPr>
                <w:b/>
                <w:bCs/>
                <w:i/>
                <w:iCs/>
                <w:szCs w:val="21"/>
                <w:u w:val="single"/>
              </w:rPr>
              <w:t>根据类比调查，噪声强度一般在70-80dB（A）之间。</w:t>
            </w:r>
          </w:p>
          <w:p>
            <w:pPr>
              <w:adjustRightInd w:val="0"/>
              <w:snapToGrid w:val="0"/>
              <w:jc w:val="center"/>
              <w:rPr>
                <w:b/>
                <w:bCs/>
                <w:i/>
                <w:iCs/>
                <w:szCs w:val="21"/>
                <w:u w:val="single"/>
              </w:rPr>
            </w:pPr>
            <w:r>
              <w:rPr>
                <w:rFonts w:hint="eastAsia"/>
                <w:b/>
                <w:bCs/>
                <w:i/>
                <w:iCs/>
                <w:szCs w:val="21"/>
                <w:u w:val="single"/>
              </w:rPr>
              <w:t>表4</w:t>
            </w:r>
            <w:r>
              <w:rPr>
                <w:b/>
                <w:bCs/>
                <w:i/>
                <w:iCs/>
                <w:szCs w:val="21"/>
                <w:u w:val="single"/>
              </w:rPr>
              <w:t xml:space="preserve">-11  </w:t>
            </w:r>
            <w:r>
              <w:rPr>
                <w:b/>
                <w:bCs/>
                <w:i/>
                <w:iCs/>
                <w:szCs w:val="21"/>
                <w:u w:val="single"/>
                <w:lang w:val="zh-CN"/>
              </w:rPr>
              <w:t>主要噪声产生、治理情况表</w:t>
            </w:r>
          </w:p>
          <w:tbl>
            <w:tblPr>
              <w:tblStyle w:val="1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7" w:type="dxa"/>
                <w:left w:w="17" w:type="dxa"/>
                <w:bottom w:w="17" w:type="dxa"/>
                <w:right w:w="17" w:type="dxa"/>
              </w:tblCellMar>
            </w:tblPr>
            <w:tblGrid>
              <w:gridCol w:w="453"/>
              <w:gridCol w:w="716"/>
              <w:gridCol w:w="901"/>
              <w:gridCol w:w="553"/>
              <w:gridCol w:w="785"/>
              <w:gridCol w:w="637"/>
              <w:gridCol w:w="532"/>
              <w:gridCol w:w="551"/>
              <w:gridCol w:w="555"/>
              <w:gridCol w:w="551"/>
              <w:gridCol w:w="616"/>
              <w:gridCol w:w="694"/>
              <w:gridCol w:w="694"/>
              <w:gridCol w:w="6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556" w:hRule="atLeast"/>
                <w:jc w:val="center"/>
              </w:trPr>
              <w:tc>
                <w:tcPr>
                  <w:tcW w:w="254" w:type="pct"/>
                  <w:vMerge w:val="restart"/>
                  <w:vAlign w:val="center"/>
                </w:tcPr>
                <w:p>
                  <w:pPr>
                    <w:widowControl/>
                    <w:jc w:val="center"/>
                    <w:textAlignment w:val="center"/>
                    <w:rPr>
                      <w:b/>
                      <w:bCs/>
                      <w:i/>
                      <w:iCs/>
                      <w:u w:val="single"/>
                    </w:rPr>
                  </w:pPr>
                  <w:r>
                    <w:rPr>
                      <w:rFonts w:hint="eastAsia"/>
                      <w:b/>
                      <w:bCs/>
                      <w:i/>
                      <w:iCs/>
                      <w:u w:val="single"/>
                    </w:rPr>
                    <w:t>建筑物名称</w:t>
                  </w:r>
                </w:p>
              </w:tc>
              <w:tc>
                <w:tcPr>
                  <w:tcW w:w="401" w:type="pct"/>
                  <w:vMerge w:val="restart"/>
                  <w:vAlign w:val="center"/>
                </w:tcPr>
                <w:p>
                  <w:pPr>
                    <w:widowControl/>
                    <w:jc w:val="center"/>
                    <w:textAlignment w:val="center"/>
                    <w:rPr>
                      <w:b/>
                      <w:bCs/>
                      <w:i/>
                      <w:iCs/>
                      <w:u w:val="single"/>
                    </w:rPr>
                  </w:pPr>
                  <w:r>
                    <w:rPr>
                      <w:rFonts w:hint="eastAsia"/>
                      <w:b/>
                      <w:bCs/>
                      <w:i/>
                      <w:iCs/>
                      <w:u w:val="single"/>
                    </w:rPr>
                    <w:t>声源名称</w:t>
                  </w:r>
                </w:p>
              </w:tc>
              <w:tc>
                <w:tcPr>
                  <w:tcW w:w="505" w:type="pct"/>
                  <w:vMerge w:val="restart"/>
                  <w:vAlign w:val="center"/>
                </w:tcPr>
                <w:p>
                  <w:pPr>
                    <w:widowControl/>
                    <w:jc w:val="center"/>
                    <w:textAlignment w:val="center"/>
                    <w:rPr>
                      <w:b/>
                      <w:bCs/>
                      <w:i/>
                      <w:iCs/>
                      <w:u w:val="single"/>
                    </w:rPr>
                  </w:pPr>
                  <w:r>
                    <w:rPr>
                      <w:rFonts w:hint="eastAsia"/>
                      <w:b/>
                      <w:bCs/>
                      <w:i/>
                      <w:iCs/>
                      <w:u w:val="single"/>
                    </w:rPr>
                    <w:t>型号</w:t>
                  </w:r>
                </w:p>
              </w:tc>
              <w:tc>
                <w:tcPr>
                  <w:tcW w:w="310" w:type="pct"/>
                  <w:vMerge w:val="restart"/>
                  <w:vAlign w:val="center"/>
                </w:tcPr>
                <w:p>
                  <w:pPr>
                    <w:widowControl/>
                    <w:jc w:val="center"/>
                    <w:textAlignment w:val="center"/>
                    <w:rPr>
                      <w:b/>
                      <w:bCs/>
                      <w:i/>
                      <w:iCs/>
                      <w:u w:val="single"/>
                    </w:rPr>
                  </w:pPr>
                  <w:r>
                    <w:rPr>
                      <w:rFonts w:hint="eastAsia"/>
                      <w:b/>
                      <w:bCs/>
                      <w:i/>
                      <w:iCs/>
                      <w:u w:val="single"/>
                    </w:rPr>
                    <w:t>声源源强</w:t>
                  </w:r>
                </w:p>
              </w:tc>
              <w:tc>
                <w:tcPr>
                  <w:tcW w:w="440" w:type="pct"/>
                  <w:vMerge w:val="restart"/>
                  <w:vAlign w:val="center"/>
                </w:tcPr>
                <w:p>
                  <w:pPr>
                    <w:widowControl/>
                    <w:jc w:val="center"/>
                    <w:textAlignment w:val="center"/>
                    <w:rPr>
                      <w:b/>
                      <w:bCs/>
                      <w:i/>
                      <w:iCs/>
                      <w:u w:val="single"/>
                    </w:rPr>
                  </w:pPr>
                  <w:r>
                    <w:rPr>
                      <w:rFonts w:hint="eastAsia"/>
                      <w:b/>
                      <w:bCs/>
                      <w:i/>
                      <w:iCs/>
                      <w:u w:val="single"/>
                    </w:rPr>
                    <w:t>声源控制措施</w:t>
                  </w:r>
                </w:p>
              </w:tc>
              <w:tc>
                <w:tcPr>
                  <w:tcW w:w="964" w:type="pct"/>
                  <w:gridSpan w:val="3"/>
                  <w:vAlign w:val="center"/>
                </w:tcPr>
                <w:p>
                  <w:pPr>
                    <w:widowControl/>
                    <w:jc w:val="center"/>
                    <w:textAlignment w:val="center"/>
                    <w:rPr>
                      <w:b/>
                      <w:bCs/>
                      <w:i/>
                      <w:iCs/>
                      <w:u w:val="single"/>
                    </w:rPr>
                  </w:pPr>
                  <w:r>
                    <w:rPr>
                      <w:rFonts w:hint="eastAsia"/>
                      <w:b/>
                      <w:bCs/>
                      <w:i/>
                      <w:iCs/>
                      <w:u w:val="single"/>
                    </w:rPr>
                    <w:t>空间相对位置/m</w:t>
                  </w:r>
                </w:p>
              </w:tc>
              <w:tc>
                <w:tcPr>
                  <w:tcW w:w="311" w:type="pct"/>
                  <w:vMerge w:val="restart"/>
                  <w:vAlign w:val="center"/>
                </w:tcPr>
                <w:p>
                  <w:pPr>
                    <w:widowControl/>
                    <w:jc w:val="center"/>
                    <w:textAlignment w:val="center"/>
                    <w:rPr>
                      <w:b/>
                      <w:bCs/>
                      <w:i/>
                      <w:iCs/>
                      <w:u w:val="single"/>
                    </w:rPr>
                  </w:pPr>
                  <w:r>
                    <w:rPr>
                      <w:rFonts w:hint="eastAsia"/>
                      <w:b/>
                      <w:bCs/>
                      <w:i/>
                      <w:iCs/>
                      <w:u w:val="single"/>
                    </w:rPr>
                    <w:t>距室内边界距离</w:t>
                  </w:r>
                </w:p>
              </w:tc>
              <w:tc>
                <w:tcPr>
                  <w:tcW w:w="309" w:type="pct"/>
                  <w:vMerge w:val="restart"/>
                  <w:vAlign w:val="center"/>
                </w:tcPr>
                <w:p>
                  <w:pPr>
                    <w:widowControl/>
                    <w:jc w:val="center"/>
                    <w:textAlignment w:val="center"/>
                    <w:rPr>
                      <w:b/>
                      <w:bCs/>
                      <w:i/>
                      <w:iCs/>
                      <w:u w:val="single"/>
                    </w:rPr>
                  </w:pPr>
                  <w:r>
                    <w:rPr>
                      <w:rFonts w:hint="eastAsia"/>
                      <w:b/>
                      <w:bCs/>
                      <w:i/>
                      <w:iCs/>
                      <w:u w:val="single"/>
                    </w:rPr>
                    <w:t>室内边界声级</w:t>
                  </w:r>
                </w:p>
              </w:tc>
              <w:tc>
                <w:tcPr>
                  <w:tcW w:w="345" w:type="pct"/>
                  <w:vMerge w:val="restart"/>
                  <w:vAlign w:val="center"/>
                </w:tcPr>
                <w:p>
                  <w:pPr>
                    <w:widowControl/>
                    <w:jc w:val="center"/>
                    <w:textAlignment w:val="center"/>
                    <w:rPr>
                      <w:b/>
                      <w:bCs/>
                      <w:i/>
                      <w:iCs/>
                      <w:u w:val="single"/>
                    </w:rPr>
                  </w:pPr>
                  <w:r>
                    <w:rPr>
                      <w:rFonts w:hint="eastAsia"/>
                      <w:b/>
                      <w:bCs/>
                      <w:i/>
                      <w:iCs/>
                      <w:u w:val="single"/>
                    </w:rPr>
                    <w:t>运行时段（h）</w:t>
                  </w:r>
                </w:p>
              </w:tc>
              <w:tc>
                <w:tcPr>
                  <w:tcW w:w="389" w:type="pct"/>
                  <w:vMerge w:val="restart"/>
                  <w:vAlign w:val="center"/>
                </w:tcPr>
                <w:p>
                  <w:pPr>
                    <w:widowControl/>
                    <w:jc w:val="center"/>
                    <w:textAlignment w:val="center"/>
                    <w:rPr>
                      <w:b/>
                      <w:bCs/>
                      <w:i/>
                      <w:iCs/>
                      <w:u w:val="single"/>
                    </w:rPr>
                  </w:pPr>
                  <w:r>
                    <w:rPr>
                      <w:rFonts w:hint="eastAsia"/>
                      <w:b/>
                      <w:bCs/>
                      <w:i/>
                      <w:iCs/>
                      <w:u w:val="single"/>
                    </w:rPr>
                    <w:t>建筑物插入损失dB（A）</w:t>
                  </w:r>
                </w:p>
              </w:tc>
              <w:tc>
                <w:tcPr>
                  <w:tcW w:w="772" w:type="pct"/>
                  <w:gridSpan w:val="2"/>
                  <w:vAlign w:val="center"/>
                </w:tcPr>
                <w:p>
                  <w:pPr>
                    <w:widowControl/>
                    <w:jc w:val="center"/>
                    <w:textAlignment w:val="center"/>
                    <w:rPr>
                      <w:b/>
                      <w:bCs/>
                      <w:i/>
                      <w:iCs/>
                      <w:u w:val="single"/>
                    </w:rPr>
                  </w:pPr>
                  <w:r>
                    <w:rPr>
                      <w:rFonts w:hint="eastAsia"/>
                      <w:b/>
                      <w:bCs/>
                      <w:i/>
                      <w:iCs/>
                      <w:u w:val="single"/>
                    </w:rPr>
                    <w:t>建筑物外噪声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556" w:hRule="atLeast"/>
                <w:jc w:val="center"/>
              </w:trPr>
              <w:tc>
                <w:tcPr>
                  <w:tcW w:w="254" w:type="pct"/>
                  <w:vMerge w:val="continue"/>
                  <w:vAlign w:val="center"/>
                </w:tcPr>
                <w:p>
                  <w:pPr>
                    <w:widowControl/>
                    <w:jc w:val="center"/>
                    <w:textAlignment w:val="center"/>
                    <w:rPr>
                      <w:b/>
                      <w:bCs/>
                      <w:i/>
                      <w:iCs/>
                      <w:u w:val="single"/>
                    </w:rPr>
                  </w:pPr>
                </w:p>
              </w:tc>
              <w:tc>
                <w:tcPr>
                  <w:tcW w:w="401" w:type="pct"/>
                  <w:vMerge w:val="continue"/>
                  <w:vAlign w:val="center"/>
                </w:tcPr>
                <w:p>
                  <w:pPr>
                    <w:widowControl/>
                    <w:jc w:val="center"/>
                    <w:textAlignment w:val="center"/>
                    <w:rPr>
                      <w:b/>
                      <w:bCs/>
                      <w:i/>
                      <w:iCs/>
                      <w:u w:val="single"/>
                    </w:rPr>
                  </w:pPr>
                </w:p>
              </w:tc>
              <w:tc>
                <w:tcPr>
                  <w:tcW w:w="505" w:type="pct"/>
                  <w:vMerge w:val="continue"/>
                  <w:vAlign w:val="center"/>
                </w:tcPr>
                <w:p>
                  <w:pPr>
                    <w:widowControl/>
                    <w:jc w:val="center"/>
                    <w:textAlignment w:val="center"/>
                    <w:rPr>
                      <w:b/>
                      <w:bCs/>
                      <w:i/>
                      <w:iCs/>
                      <w:u w:val="single"/>
                    </w:rPr>
                  </w:pPr>
                </w:p>
              </w:tc>
              <w:tc>
                <w:tcPr>
                  <w:tcW w:w="310" w:type="pct"/>
                  <w:vMerge w:val="continue"/>
                  <w:vAlign w:val="center"/>
                </w:tcPr>
                <w:p>
                  <w:pPr>
                    <w:widowControl/>
                    <w:jc w:val="center"/>
                    <w:textAlignment w:val="center"/>
                    <w:rPr>
                      <w:b/>
                      <w:bCs/>
                      <w:i/>
                      <w:iCs/>
                      <w:u w:val="single"/>
                    </w:rPr>
                  </w:pPr>
                </w:p>
              </w:tc>
              <w:tc>
                <w:tcPr>
                  <w:tcW w:w="440" w:type="pct"/>
                  <w:vMerge w:val="continue"/>
                  <w:vAlign w:val="center"/>
                </w:tcPr>
                <w:p>
                  <w:pPr>
                    <w:widowControl/>
                    <w:jc w:val="center"/>
                    <w:textAlignment w:val="center"/>
                    <w:rPr>
                      <w:b/>
                      <w:bCs/>
                      <w:i/>
                      <w:iCs/>
                      <w:u w:val="single"/>
                    </w:rPr>
                  </w:pPr>
                </w:p>
              </w:tc>
              <w:tc>
                <w:tcPr>
                  <w:tcW w:w="357" w:type="pct"/>
                  <w:vAlign w:val="center"/>
                </w:tcPr>
                <w:p>
                  <w:pPr>
                    <w:widowControl/>
                    <w:jc w:val="center"/>
                    <w:textAlignment w:val="center"/>
                    <w:rPr>
                      <w:b/>
                      <w:bCs/>
                      <w:i/>
                      <w:iCs/>
                      <w:u w:val="single"/>
                    </w:rPr>
                  </w:pPr>
                  <w:r>
                    <w:rPr>
                      <w:rFonts w:hint="eastAsia"/>
                      <w:b/>
                      <w:bCs/>
                      <w:i/>
                      <w:iCs/>
                      <w:u w:val="single"/>
                    </w:rPr>
                    <w:t>X</w:t>
                  </w:r>
                </w:p>
              </w:tc>
              <w:tc>
                <w:tcPr>
                  <w:tcW w:w="298" w:type="pct"/>
                  <w:vAlign w:val="center"/>
                </w:tcPr>
                <w:p>
                  <w:pPr>
                    <w:widowControl/>
                    <w:jc w:val="center"/>
                    <w:textAlignment w:val="center"/>
                    <w:rPr>
                      <w:b/>
                      <w:bCs/>
                      <w:i/>
                      <w:iCs/>
                      <w:u w:val="single"/>
                    </w:rPr>
                  </w:pPr>
                  <w:r>
                    <w:rPr>
                      <w:rFonts w:hint="eastAsia"/>
                      <w:b/>
                      <w:bCs/>
                      <w:i/>
                      <w:iCs/>
                      <w:u w:val="single"/>
                    </w:rPr>
                    <w:t>Y</w:t>
                  </w:r>
                </w:p>
              </w:tc>
              <w:tc>
                <w:tcPr>
                  <w:tcW w:w="309" w:type="pct"/>
                  <w:vAlign w:val="center"/>
                </w:tcPr>
                <w:p>
                  <w:pPr>
                    <w:widowControl/>
                    <w:jc w:val="center"/>
                    <w:textAlignment w:val="center"/>
                    <w:rPr>
                      <w:b/>
                      <w:bCs/>
                      <w:i/>
                      <w:iCs/>
                      <w:u w:val="single"/>
                    </w:rPr>
                  </w:pPr>
                  <w:r>
                    <w:rPr>
                      <w:rFonts w:hint="eastAsia"/>
                      <w:b/>
                      <w:bCs/>
                      <w:i/>
                      <w:iCs/>
                      <w:u w:val="single"/>
                    </w:rPr>
                    <w:t>Z</w:t>
                  </w:r>
                </w:p>
              </w:tc>
              <w:tc>
                <w:tcPr>
                  <w:tcW w:w="311" w:type="pct"/>
                  <w:vMerge w:val="continue"/>
                  <w:vAlign w:val="center"/>
                </w:tcPr>
                <w:p>
                  <w:pPr>
                    <w:widowControl/>
                    <w:jc w:val="center"/>
                    <w:textAlignment w:val="center"/>
                    <w:rPr>
                      <w:b/>
                      <w:bCs/>
                      <w:i/>
                      <w:iCs/>
                      <w:u w:val="single"/>
                    </w:rPr>
                  </w:pPr>
                </w:p>
              </w:tc>
              <w:tc>
                <w:tcPr>
                  <w:tcW w:w="309" w:type="pct"/>
                  <w:vMerge w:val="continue"/>
                  <w:vAlign w:val="center"/>
                </w:tcPr>
                <w:p>
                  <w:pPr>
                    <w:widowControl/>
                    <w:jc w:val="center"/>
                    <w:textAlignment w:val="center"/>
                    <w:rPr>
                      <w:b/>
                      <w:bCs/>
                      <w:i/>
                      <w:iCs/>
                      <w:u w:val="single"/>
                    </w:rPr>
                  </w:pPr>
                </w:p>
              </w:tc>
              <w:tc>
                <w:tcPr>
                  <w:tcW w:w="345" w:type="pct"/>
                  <w:vMerge w:val="continue"/>
                  <w:vAlign w:val="center"/>
                </w:tcPr>
                <w:p>
                  <w:pPr>
                    <w:widowControl/>
                    <w:jc w:val="center"/>
                    <w:textAlignment w:val="center"/>
                    <w:rPr>
                      <w:b/>
                      <w:bCs/>
                      <w:i/>
                      <w:iCs/>
                      <w:u w:val="single"/>
                    </w:rPr>
                  </w:pPr>
                </w:p>
              </w:tc>
              <w:tc>
                <w:tcPr>
                  <w:tcW w:w="389" w:type="pct"/>
                  <w:vMerge w:val="continue"/>
                  <w:vAlign w:val="center"/>
                </w:tcPr>
                <w:p>
                  <w:pPr>
                    <w:widowControl/>
                    <w:jc w:val="center"/>
                    <w:textAlignment w:val="center"/>
                    <w:rPr>
                      <w:b/>
                      <w:bCs/>
                      <w:i/>
                      <w:iCs/>
                      <w:u w:val="single"/>
                    </w:rPr>
                  </w:pPr>
                </w:p>
              </w:tc>
              <w:tc>
                <w:tcPr>
                  <w:tcW w:w="389" w:type="pct"/>
                  <w:vAlign w:val="center"/>
                </w:tcPr>
                <w:p>
                  <w:pPr>
                    <w:widowControl/>
                    <w:jc w:val="center"/>
                    <w:textAlignment w:val="center"/>
                    <w:rPr>
                      <w:b/>
                      <w:bCs/>
                      <w:i/>
                      <w:iCs/>
                      <w:u w:val="single"/>
                    </w:rPr>
                  </w:pPr>
                  <w:r>
                    <w:rPr>
                      <w:rFonts w:hint="eastAsia"/>
                      <w:b/>
                      <w:bCs/>
                      <w:i/>
                      <w:iCs/>
                      <w:u w:val="single"/>
                    </w:rPr>
                    <w:t>声压级/dB（A）</w:t>
                  </w:r>
                </w:p>
              </w:tc>
              <w:tc>
                <w:tcPr>
                  <w:tcW w:w="383" w:type="pct"/>
                  <w:vAlign w:val="center"/>
                </w:tcPr>
                <w:p>
                  <w:pPr>
                    <w:widowControl/>
                    <w:jc w:val="center"/>
                    <w:textAlignment w:val="center"/>
                    <w:rPr>
                      <w:b/>
                      <w:bCs/>
                      <w:i/>
                      <w:iCs/>
                      <w:u w:val="single"/>
                    </w:rPr>
                  </w:pPr>
                  <w:r>
                    <w:rPr>
                      <w:rFonts w:hint="eastAsia"/>
                      <w:b/>
                      <w:bCs/>
                      <w:i/>
                      <w:iCs/>
                      <w:u w:val="single"/>
                    </w:rPr>
                    <w:t>建筑物外距离（m）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81" w:hRule="atLeast"/>
                <w:jc w:val="center"/>
              </w:trPr>
              <w:tc>
                <w:tcPr>
                  <w:tcW w:w="254" w:type="pct"/>
                  <w:vAlign w:val="center"/>
                </w:tcPr>
                <w:p>
                  <w:pPr>
                    <w:widowControl/>
                    <w:jc w:val="center"/>
                    <w:textAlignment w:val="center"/>
                    <w:rPr>
                      <w:b/>
                      <w:bCs/>
                      <w:i/>
                      <w:iCs/>
                      <w:szCs w:val="20"/>
                      <w:u w:val="single"/>
                    </w:rPr>
                  </w:pPr>
                  <w:r>
                    <w:rPr>
                      <w:rFonts w:hint="eastAsia"/>
                      <w:b/>
                      <w:bCs/>
                      <w:i/>
                      <w:iCs/>
                      <w:szCs w:val="20"/>
                      <w:u w:val="single"/>
                    </w:rPr>
                    <w:t>1号厂房</w:t>
                  </w:r>
                </w:p>
              </w:tc>
              <w:tc>
                <w:tcPr>
                  <w:tcW w:w="401" w:type="pct"/>
                  <w:vAlign w:val="center"/>
                </w:tcPr>
                <w:p>
                  <w:pPr>
                    <w:jc w:val="center"/>
                    <w:rPr>
                      <w:b/>
                      <w:bCs/>
                      <w:i/>
                      <w:iCs/>
                      <w:szCs w:val="21"/>
                      <w:u w:val="single"/>
                    </w:rPr>
                  </w:pPr>
                  <w:r>
                    <w:rPr>
                      <w:rFonts w:hint="eastAsia"/>
                      <w:b/>
                      <w:bCs/>
                      <w:i/>
                      <w:iCs/>
                      <w:u w:val="single"/>
                    </w:rPr>
                    <w:t>风机</w:t>
                  </w:r>
                </w:p>
              </w:tc>
              <w:tc>
                <w:tcPr>
                  <w:tcW w:w="505" w:type="pct"/>
                  <w:vAlign w:val="center"/>
                </w:tcPr>
                <w:p>
                  <w:pPr>
                    <w:jc w:val="center"/>
                    <w:rPr>
                      <w:b/>
                      <w:bCs/>
                      <w:i/>
                      <w:iCs/>
                      <w:u w:val="single"/>
                    </w:rPr>
                  </w:pPr>
                  <w:r>
                    <w:rPr>
                      <w:rFonts w:hint="eastAsia"/>
                      <w:b/>
                      <w:bCs/>
                      <w:i/>
                      <w:iCs/>
                      <w:u w:val="single"/>
                    </w:rPr>
                    <w:t>/</w:t>
                  </w:r>
                </w:p>
              </w:tc>
              <w:tc>
                <w:tcPr>
                  <w:tcW w:w="310" w:type="pct"/>
                  <w:vAlign w:val="center"/>
                </w:tcPr>
                <w:p>
                  <w:pPr>
                    <w:widowControl/>
                    <w:jc w:val="center"/>
                    <w:textAlignment w:val="center"/>
                    <w:rPr>
                      <w:b/>
                      <w:bCs/>
                      <w:i/>
                      <w:iCs/>
                      <w:szCs w:val="20"/>
                      <w:u w:val="single"/>
                    </w:rPr>
                  </w:pPr>
                  <w:r>
                    <w:rPr>
                      <w:rFonts w:eastAsia="等线"/>
                      <w:b/>
                      <w:bCs/>
                      <w:i/>
                      <w:iCs/>
                      <w:color w:val="000000"/>
                      <w:szCs w:val="21"/>
                      <w:u w:val="single"/>
                    </w:rPr>
                    <w:t>80</w:t>
                  </w:r>
                </w:p>
              </w:tc>
              <w:tc>
                <w:tcPr>
                  <w:tcW w:w="440" w:type="pct"/>
                  <w:vMerge w:val="restart"/>
                  <w:vAlign w:val="center"/>
                </w:tcPr>
                <w:p>
                  <w:pPr>
                    <w:widowControl/>
                    <w:jc w:val="center"/>
                    <w:textAlignment w:val="center"/>
                    <w:rPr>
                      <w:b/>
                      <w:bCs/>
                      <w:i/>
                      <w:iCs/>
                      <w:szCs w:val="20"/>
                      <w:u w:val="single"/>
                    </w:rPr>
                  </w:pPr>
                  <w:r>
                    <w:rPr>
                      <w:rFonts w:hint="eastAsia"/>
                      <w:b/>
                      <w:bCs/>
                      <w:i/>
                      <w:iCs/>
                      <w:szCs w:val="20"/>
                      <w:u w:val="single"/>
                    </w:rPr>
                    <w:t>基础减震、厂房隔声</w:t>
                  </w:r>
                </w:p>
              </w:tc>
              <w:tc>
                <w:tcPr>
                  <w:tcW w:w="357" w:type="pct"/>
                  <w:vAlign w:val="center"/>
                </w:tcPr>
                <w:p>
                  <w:pPr>
                    <w:widowControl/>
                    <w:jc w:val="center"/>
                    <w:textAlignment w:val="center"/>
                    <w:rPr>
                      <w:b/>
                      <w:bCs/>
                      <w:i/>
                      <w:iCs/>
                      <w:u w:val="single"/>
                    </w:rPr>
                  </w:pPr>
                  <w:r>
                    <w:rPr>
                      <w:b/>
                      <w:bCs/>
                      <w:i/>
                      <w:iCs/>
                      <w:u w:val="single"/>
                    </w:rPr>
                    <w:t>58</w:t>
                  </w:r>
                </w:p>
              </w:tc>
              <w:tc>
                <w:tcPr>
                  <w:tcW w:w="298" w:type="pct"/>
                  <w:vAlign w:val="center"/>
                </w:tcPr>
                <w:p>
                  <w:pPr>
                    <w:widowControl/>
                    <w:jc w:val="center"/>
                    <w:textAlignment w:val="center"/>
                    <w:rPr>
                      <w:b/>
                      <w:bCs/>
                      <w:i/>
                      <w:iCs/>
                      <w:u w:val="single"/>
                    </w:rPr>
                  </w:pPr>
                  <w:r>
                    <w:rPr>
                      <w:rFonts w:hint="eastAsia"/>
                      <w:b/>
                      <w:bCs/>
                      <w:i/>
                      <w:iCs/>
                      <w:u w:val="single"/>
                    </w:rPr>
                    <w:t>-</w:t>
                  </w:r>
                  <w:r>
                    <w:rPr>
                      <w:b/>
                      <w:bCs/>
                      <w:i/>
                      <w:iCs/>
                      <w:u w:val="single"/>
                    </w:rPr>
                    <w:t>28</w:t>
                  </w:r>
                </w:p>
              </w:tc>
              <w:tc>
                <w:tcPr>
                  <w:tcW w:w="309" w:type="pct"/>
                  <w:vAlign w:val="center"/>
                </w:tcPr>
                <w:p>
                  <w:pPr>
                    <w:widowControl/>
                    <w:jc w:val="center"/>
                    <w:textAlignment w:val="center"/>
                    <w:rPr>
                      <w:b/>
                      <w:bCs/>
                      <w:i/>
                      <w:iCs/>
                      <w:u w:val="single"/>
                    </w:rPr>
                  </w:pPr>
                  <w:r>
                    <w:rPr>
                      <w:rFonts w:hint="eastAsia"/>
                      <w:b/>
                      <w:bCs/>
                      <w:i/>
                      <w:iCs/>
                      <w:u w:val="single"/>
                    </w:rPr>
                    <w:t>8</w:t>
                  </w:r>
                </w:p>
              </w:tc>
              <w:tc>
                <w:tcPr>
                  <w:tcW w:w="311" w:type="pct"/>
                  <w:vAlign w:val="center"/>
                </w:tcPr>
                <w:p>
                  <w:pPr>
                    <w:widowControl/>
                    <w:jc w:val="center"/>
                    <w:textAlignment w:val="center"/>
                    <w:rPr>
                      <w:b/>
                      <w:bCs/>
                      <w:i/>
                      <w:iCs/>
                      <w:u w:val="single"/>
                    </w:rPr>
                  </w:pPr>
                  <w:r>
                    <w:rPr>
                      <w:rFonts w:hint="eastAsia"/>
                      <w:b/>
                      <w:bCs/>
                      <w:i/>
                      <w:iCs/>
                      <w:u w:val="single"/>
                    </w:rPr>
                    <w:t>5</w:t>
                  </w:r>
                </w:p>
              </w:tc>
              <w:tc>
                <w:tcPr>
                  <w:tcW w:w="309" w:type="pct"/>
                  <w:vAlign w:val="center"/>
                </w:tcPr>
                <w:p>
                  <w:pPr>
                    <w:widowControl/>
                    <w:jc w:val="center"/>
                    <w:textAlignment w:val="center"/>
                    <w:rPr>
                      <w:b/>
                      <w:bCs/>
                      <w:i/>
                      <w:iCs/>
                      <w:u w:val="single"/>
                    </w:rPr>
                  </w:pPr>
                  <w:r>
                    <w:rPr>
                      <w:rFonts w:hint="eastAsia"/>
                      <w:b/>
                      <w:bCs/>
                      <w:i/>
                      <w:iCs/>
                      <w:u w:val="single"/>
                    </w:rPr>
                    <w:t>53.97</w:t>
                  </w:r>
                </w:p>
              </w:tc>
              <w:tc>
                <w:tcPr>
                  <w:tcW w:w="345" w:type="pct"/>
                  <w:vMerge w:val="restart"/>
                  <w:vAlign w:val="center"/>
                </w:tcPr>
                <w:p>
                  <w:pPr>
                    <w:widowControl/>
                    <w:jc w:val="center"/>
                    <w:textAlignment w:val="center"/>
                    <w:rPr>
                      <w:b/>
                      <w:bCs/>
                      <w:i/>
                      <w:iCs/>
                      <w:u w:val="single"/>
                    </w:rPr>
                  </w:pPr>
                  <w:r>
                    <w:rPr>
                      <w:rFonts w:hint="eastAsia"/>
                      <w:b/>
                      <w:bCs/>
                      <w:i/>
                      <w:iCs/>
                      <w:u w:val="single"/>
                    </w:rPr>
                    <w:t>7</w:t>
                  </w:r>
                  <w:r>
                    <w:rPr>
                      <w:b/>
                      <w:bCs/>
                      <w:i/>
                      <w:iCs/>
                      <w:u w:val="single"/>
                    </w:rPr>
                    <w:t>200</w:t>
                  </w:r>
                </w:p>
              </w:tc>
              <w:tc>
                <w:tcPr>
                  <w:tcW w:w="389" w:type="pct"/>
                  <w:vMerge w:val="restart"/>
                  <w:vAlign w:val="center"/>
                </w:tcPr>
                <w:p>
                  <w:pPr>
                    <w:widowControl/>
                    <w:jc w:val="center"/>
                    <w:textAlignment w:val="center"/>
                    <w:rPr>
                      <w:b/>
                      <w:bCs/>
                      <w:i/>
                      <w:iCs/>
                      <w:u w:val="single"/>
                    </w:rPr>
                  </w:pPr>
                  <w:r>
                    <w:rPr>
                      <w:b/>
                      <w:bCs/>
                      <w:i/>
                      <w:iCs/>
                      <w:u w:val="single"/>
                    </w:rPr>
                    <w:t>3</w:t>
                  </w:r>
                  <w:r>
                    <w:rPr>
                      <w:rFonts w:hint="eastAsia"/>
                      <w:b/>
                      <w:bCs/>
                      <w:i/>
                      <w:iCs/>
                      <w:u w:val="single"/>
                    </w:rPr>
                    <w:t>0</w:t>
                  </w:r>
                </w:p>
              </w:tc>
              <w:tc>
                <w:tcPr>
                  <w:tcW w:w="389" w:type="pct"/>
                  <w:vAlign w:val="center"/>
                </w:tcPr>
                <w:p>
                  <w:pPr>
                    <w:widowControl/>
                    <w:jc w:val="center"/>
                    <w:textAlignment w:val="center"/>
                    <w:rPr>
                      <w:b/>
                      <w:bCs/>
                      <w:i/>
                      <w:iCs/>
                      <w:u w:val="single"/>
                    </w:rPr>
                  </w:pPr>
                  <w:r>
                    <w:rPr>
                      <w:rFonts w:hint="eastAsia"/>
                      <w:b/>
                      <w:bCs/>
                      <w:i/>
                      <w:iCs/>
                      <w:u w:val="single"/>
                    </w:rPr>
                    <w:t>23.97</w:t>
                  </w:r>
                </w:p>
              </w:tc>
              <w:tc>
                <w:tcPr>
                  <w:tcW w:w="383" w:type="pct"/>
                  <w:vAlign w:val="center"/>
                </w:tcPr>
                <w:p>
                  <w:pPr>
                    <w:widowControl/>
                    <w:jc w:val="center"/>
                    <w:textAlignment w:val="center"/>
                    <w:rPr>
                      <w:b/>
                      <w:bCs/>
                      <w:i/>
                      <w:iCs/>
                      <w:u w:val="single"/>
                    </w:rPr>
                  </w:pPr>
                  <w:r>
                    <w:rPr>
                      <w:rFonts w:hint="eastAsia"/>
                      <w:b/>
                      <w:bCs/>
                      <w:i/>
                      <w:iCs/>
                      <w:u w:val="single"/>
                    </w:rPr>
                    <w:t>1</w:t>
                  </w:r>
                  <w:r>
                    <w:rPr>
                      <w:b/>
                      <w:bCs/>
                      <w:i/>
                      <w:iCs/>
                      <w:u w:val="single"/>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81" w:hRule="atLeast"/>
                <w:jc w:val="center"/>
              </w:trPr>
              <w:tc>
                <w:tcPr>
                  <w:tcW w:w="254" w:type="pct"/>
                  <w:vAlign w:val="center"/>
                </w:tcPr>
                <w:p>
                  <w:pPr>
                    <w:widowControl/>
                    <w:jc w:val="center"/>
                    <w:textAlignment w:val="center"/>
                    <w:rPr>
                      <w:b/>
                      <w:bCs/>
                      <w:i/>
                      <w:iCs/>
                      <w:szCs w:val="20"/>
                      <w:u w:val="single"/>
                    </w:rPr>
                  </w:pPr>
                  <w:r>
                    <w:rPr>
                      <w:rFonts w:hint="eastAsia"/>
                      <w:b/>
                      <w:bCs/>
                      <w:i/>
                      <w:iCs/>
                      <w:szCs w:val="20"/>
                      <w:u w:val="single"/>
                    </w:rPr>
                    <w:t>2号厂房</w:t>
                  </w:r>
                </w:p>
              </w:tc>
              <w:tc>
                <w:tcPr>
                  <w:tcW w:w="401" w:type="pct"/>
                  <w:vAlign w:val="center"/>
                </w:tcPr>
                <w:p>
                  <w:pPr>
                    <w:jc w:val="center"/>
                    <w:rPr>
                      <w:b/>
                      <w:bCs/>
                      <w:i/>
                      <w:iCs/>
                      <w:u w:val="single"/>
                    </w:rPr>
                  </w:pPr>
                  <w:r>
                    <w:rPr>
                      <w:rFonts w:hint="eastAsia"/>
                      <w:b/>
                      <w:bCs/>
                      <w:i/>
                      <w:iCs/>
                      <w:u w:val="single"/>
                    </w:rPr>
                    <w:t>风机</w:t>
                  </w:r>
                </w:p>
              </w:tc>
              <w:tc>
                <w:tcPr>
                  <w:tcW w:w="505" w:type="pct"/>
                  <w:vAlign w:val="center"/>
                </w:tcPr>
                <w:p>
                  <w:pPr>
                    <w:jc w:val="center"/>
                    <w:rPr>
                      <w:b/>
                      <w:bCs/>
                      <w:i/>
                      <w:iCs/>
                      <w:color w:val="000000"/>
                      <w:szCs w:val="21"/>
                      <w:u w:val="single"/>
                    </w:rPr>
                  </w:pPr>
                  <w:r>
                    <w:rPr>
                      <w:rFonts w:hint="eastAsia"/>
                      <w:b/>
                      <w:bCs/>
                      <w:i/>
                      <w:iCs/>
                      <w:u w:val="single"/>
                    </w:rPr>
                    <w:t>/</w:t>
                  </w:r>
                </w:p>
              </w:tc>
              <w:tc>
                <w:tcPr>
                  <w:tcW w:w="310" w:type="pct"/>
                  <w:vAlign w:val="center"/>
                </w:tcPr>
                <w:p>
                  <w:pPr>
                    <w:widowControl/>
                    <w:jc w:val="center"/>
                    <w:textAlignment w:val="center"/>
                    <w:rPr>
                      <w:b/>
                      <w:bCs/>
                      <w:i/>
                      <w:iCs/>
                      <w:szCs w:val="20"/>
                      <w:u w:val="single"/>
                    </w:rPr>
                  </w:pPr>
                  <w:r>
                    <w:rPr>
                      <w:rFonts w:eastAsia="等线"/>
                      <w:b/>
                      <w:bCs/>
                      <w:i/>
                      <w:iCs/>
                      <w:color w:val="000000"/>
                      <w:szCs w:val="21"/>
                      <w:u w:val="single"/>
                    </w:rPr>
                    <w:t>90</w:t>
                  </w:r>
                </w:p>
              </w:tc>
              <w:tc>
                <w:tcPr>
                  <w:tcW w:w="440" w:type="pct"/>
                  <w:vMerge w:val="continue"/>
                  <w:vAlign w:val="center"/>
                </w:tcPr>
                <w:p>
                  <w:pPr>
                    <w:widowControl/>
                    <w:jc w:val="center"/>
                    <w:textAlignment w:val="center"/>
                    <w:rPr>
                      <w:b/>
                      <w:bCs/>
                      <w:i/>
                      <w:iCs/>
                      <w:szCs w:val="20"/>
                      <w:u w:val="single"/>
                    </w:rPr>
                  </w:pPr>
                </w:p>
              </w:tc>
              <w:tc>
                <w:tcPr>
                  <w:tcW w:w="357" w:type="pct"/>
                  <w:vAlign w:val="center"/>
                </w:tcPr>
                <w:p>
                  <w:pPr>
                    <w:widowControl/>
                    <w:jc w:val="center"/>
                    <w:textAlignment w:val="center"/>
                    <w:rPr>
                      <w:b/>
                      <w:bCs/>
                      <w:i/>
                      <w:iCs/>
                      <w:u w:val="single"/>
                    </w:rPr>
                  </w:pPr>
                  <w:r>
                    <w:rPr>
                      <w:rFonts w:hint="eastAsia"/>
                      <w:b/>
                      <w:bCs/>
                      <w:i/>
                      <w:iCs/>
                      <w:u w:val="single"/>
                    </w:rPr>
                    <w:t>-</w:t>
                  </w:r>
                  <w:r>
                    <w:rPr>
                      <w:b/>
                      <w:bCs/>
                      <w:i/>
                      <w:iCs/>
                      <w:u w:val="single"/>
                    </w:rPr>
                    <w:t>13</w:t>
                  </w:r>
                </w:p>
              </w:tc>
              <w:tc>
                <w:tcPr>
                  <w:tcW w:w="298" w:type="pct"/>
                  <w:vAlign w:val="center"/>
                </w:tcPr>
                <w:p>
                  <w:pPr>
                    <w:widowControl/>
                    <w:jc w:val="center"/>
                    <w:textAlignment w:val="center"/>
                    <w:rPr>
                      <w:b/>
                      <w:bCs/>
                      <w:i/>
                      <w:iCs/>
                      <w:u w:val="single"/>
                    </w:rPr>
                  </w:pPr>
                  <w:r>
                    <w:rPr>
                      <w:rFonts w:hint="eastAsia"/>
                      <w:b/>
                      <w:bCs/>
                      <w:i/>
                      <w:iCs/>
                      <w:u w:val="single"/>
                    </w:rPr>
                    <w:t>-</w:t>
                  </w:r>
                  <w:r>
                    <w:rPr>
                      <w:b/>
                      <w:bCs/>
                      <w:i/>
                      <w:iCs/>
                      <w:u w:val="single"/>
                    </w:rPr>
                    <w:t>10</w:t>
                  </w:r>
                </w:p>
              </w:tc>
              <w:tc>
                <w:tcPr>
                  <w:tcW w:w="309" w:type="pct"/>
                  <w:vAlign w:val="center"/>
                </w:tcPr>
                <w:p>
                  <w:pPr>
                    <w:widowControl/>
                    <w:jc w:val="center"/>
                    <w:textAlignment w:val="center"/>
                    <w:rPr>
                      <w:b/>
                      <w:bCs/>
                      <w:i/>
                      <w:iCs/>
                      <w:u w:val="single"/>
                    </w:rPr>
                  </w:pPr>
                  <w:r>
                    <w:rPr>
                      <w:rFonts w:hint="eastAsia"/>
                      <w:b/>
                      <w:bCs/>
                      <w:i/>
                      <w:iCs/>
                      <w:u w:val="single"/>
                    </w:rPr>
                    <w:t>8</w:t>
                  </w:r>
                </w:p>
              </w:tc>
              <w:tc>
                <w:tcPr>
                  <w:tcW w:w="311" w:type="pct"/>
                  <w:vAlign w:val="center"/>
                </w:tcPr>
                <w:p>
                  <w:pPr>
                    <w:widowControl/>
                    <w:jc w:val="center"/>
                    <w:textAlignment w:val="center"/>
                    <w:rPr>
                      <w:b/>
                      <w:bCs/>
                      <w:i/>
                      <w:iCs/>
                      <w:u w:val="single"/>
                    </w:rPr>
                  </w:pPr>
                  <w:r>
                    <w:rPr>
                      <w:rFonts w:hint="eastAsia"/>
                      <w:b/>
                      <w:bCs/>
                      <w:i/>
                      <w:iCs/>
                      <w:u w:val="single"/>
                    </w:rPr>
                    <w:t>1</w:t>
                  </w:r>
                  <w:r>
                    <w:rPr>
                      <w:b/>
                      <w:bCs/>
                      <w:i/>
                      <w:iCs/>
                      <w:u w:val="single"/>
                    </w:rPr>
                    <w:t>5</w:t>
                  </w:r>
                </w:p>
              </w:tc>
              <w:tc>
                <w:tcPr>
                  <w:tcW w:w="309" w:type="pct"/>
                  <w:vAlign w:val="center"/>
                </w:tcPr>
                <w:p>
                  <w:pPr>
                    <w:widowControl/>
                    <w:jc w:val="center"/>
                    <w:textAlignment w:val="center"/>
                    <w:rPr>
                      <w:b/>
                      <w:bCs/>
                      <w:i/>
                      <w:iCs/>
                      <w:u w:val="single"/>
                    </w:rPr>
                  </w:pPr>
                  <w:r>
                    <w:rPr>
                      <w:rFonts w:hint="eastAsia"/>
                      <w:b/>
                      <w:bCs/>
                      <w:i/>
                      <w:iCs/>
                      <w:u w:val="single"/>
                    </w:rPr>
                    <w:t>66.47</w:t>
                  </w:r>
                </w:p>
              </w:tc>
              <w:tc>
                <w:tcPr>
                  <w:tcW w:w="345" w:type="pct"/>
                  <w:vMerge w:val="continue"/>
                  <w:vAlign w:val="center"/>
                </w:tcPr>
                <w:p>
                  <w:pPr>
                    <w:widowControl/>
                    <w:jc w:val="center"/>
                    <w:textAlignment w:val="center"/>
                    <w:rPr>
                      <w:b/>
                      <w:bCs/>
                      <w:i/>
                      <w:iCs/>
                      <w:u w:val="single"/>
                    </w:rPr>
                  </w:pPr>
                </w:p>
              </w:tc>
              <w:tc>
                <w:tcPr>
                  <w:tcW w:w="389" w:type="pct"/>
                  <w:vMerge w:val="continue"/>
                  <w:vAlign w:val="center"/>
                </w:tcPr>
                <w:p>
                  <w:pPr>
                    <w:widowControl/>
                    <w:jc w:val="center"/>
                    <w:textAlignment w:val="center"/>
                    <w:rPr>
                      <w:b/>
                      <w:bCs/>
                      <w:i/>
                      <w:iCs/>
                      <w:u w:val="single"/>
                    </w:rPr>
                  </w:pPr>
                </w:p>
              </w:tc>
              <w:tc>
                <w:tcPr>
                  <w:tcW w:w="389" w:type="pct"/>
                  <w:vAlign w:val="center"/>
                </w:tcPr>
                <w:p>
                  <w:pPr>
                    <w:widowControl/>
                    <w:jc w:val="center"/>
                    <w:textAlignment w:val="center"/>
                    <w:rPr>
                      <w:b/>
                      <w:bCs/>
                      <w:i/>
                      <w:iCs/>
                      <w:u w:val="single"/>
                    </w:rPr>
                  </w:pPr>
                  <w:r>
                    <w:rPr>
                      <w:rFonts w:hint="eastAsia"/>
                      <w:b/>
                      <w:bCs/>
                      <w:i/>
                      <w:iCs/>
                      <w:u w:val="single"/>
                    </w:rPr>
                    <w:t>36.02</w:t>
                  </w:r>
                </w:p>
              </w:tc>
              <w:tc>
                <w:tcPr>
                  <w:tcW w:w="383" w:type="pct"/>
                  <w:vAlign w:val="center"/>
                </w:tcPr>
                <w:p>
                  <w:pPr>
                    <w:widowControl/>
                    <w:jc w:val="center"/>
                    <w:textAlignment w:val="center"/>
                    <w:rPr>
                      <w:b/>
                      <w:bCs/>
                      <w:i/>
                      <w:iCs/>
                      <w:u w:val="single"/>
                    </w:rPr>
                  </w:pPr>
                  <w:r>
                    <w:rPr>
                      <w:rFonts w:hint="eastAsia"/>
                      <w:b/>
                      <w:bCs/>
                      <w:i/>
                      <w:iCs/>
                      <w:u w:val="single"/>
                    </w:rPr>
                    <w:t>1</w:t>
                  </w:r>
                  <w:r>
                    <w:rPr>
                      <w:b/>
                      <w:bCs/>
                      <w:i/>
                      <w:iCs/>
                      <w:u w:val="single"/>
                    </w:rPr>
                    <w:t>0</w:t>
                  </w:r>
                </w:p>
              </w:tc>
            </w:tr>
          </w:tbl>
          <w:p>
            <w:pPr>
              <w:spacing w:line="360" w:lineRule="auto"/>
              <w:ind w:firstLine="413" w:firstLineChars="196"/>
              <w:rPr>
                <w:b/>
                <w:bCs/>
                <w:i/>
                <w:iCs/>
                <w:szCs w:val="21"/>
                <w:u w:val="single"/>
              </w:rPr>
            </w:pPr>
            <w:r>
              <w:rPr>
                <w:b/>
                <w:bCs/>
                <w:i/>
                <w:iCs/>
                <w:szCs w:val="21"/>
                <w:u w:val="single"/>
              </w:rPr>
              <w:t>3.2厂界和环境保护目标达标情况分析</w:t>
            </w:r>
          </w:p>
          <w:p>
            <w:pPr>
              <w:pStyle w:val="53"/>
              <w:spacing w:line="360" w:lineRule="auto"/>
              <w:ind w:firstLine="422" w:firstLineChars="200"/>
              <w:rPr>
                <w:rFonts w:ascii="Times New Roman" w:eastAsia="宋体" w:cs="Times New Roman"/>
                <w:b/>
                <w:bCs/>
                <w:i/>
                <w:iCs/>
                <w:sz w:val="21"/>
                <w:szCs w:val="21"/>
                <w:u w:val="single"/>
              </w:rPr>
            </w:pPr>
            <w:r>
              <w:rPr>
                <w:rFonts w:hint="eastAsia" w:eastAsia="宋体"/>
                <w:b/>
                <w:bCs/>
                <w:i/>
                <w:iCs/>
                <w:sz w:val="21"/>
                <w:szCs w:val="21"/>
                <w:u w:val="single"/>
              </w:rPr>
              <w:t>①</w:t>
            </w:r>
            <w:r>
              <w:rPr>
                <w:rFonts w:ascii="Times New Roman" w:eastAsia="宋体" w:cs="Times New Roman"/>
                <w:b/>
                <w:bCs/>
                <w:i/>
                <w:iCs/>
                <w:sz w:val="21"/>
                <w:szCs w:val="21"/>
                <w:u w:val="single"/>
              </w:rPr>
              <w:t>预测</w:t>
            </w:r>
            <w:r>
              <w:rPr>
                <w:rFonts w:hint="eastAsia" w:ascii="Times New Roman" w:eastAsia="宋体" w:cs="Times New Roman"/>
                <w:b/>
                <w:bCs/>
                <w:i/>
                <w:iCs/>
                <w:sz w:val="21"/>
                <w:szCs w:val="21"/>
                <w:u w:val="single"/>
              </w:rPr>
              <w:t>方法</w:t>
            </w:r>
          </w:p>
          <w:p>
            <w:pPr>
              <w:autoSpaceDE w:val="0"/>
              <w:autoSpaceDN w:val="0"/>
              <w:adjustRightInd w:val="0"/>
              <w:spacing w:line="360" w:lineRule="auto"/>
              <w:ind w:firstLine="422" w:firstLineChars="200"/>
              <w:rPr>
                <w:b/>
                <w:bCs/>
                <w:i/>
                <w:iCs/>
                <w:kern w:val="0"/>
                <w:szCs w:val="21"/>
                <w:u w:val="single"/>
              </w:rPr>
            </w:pPr>
            <w:r>
              <w:rPr>
                <w:b/>
                <w:bCs/>
                <w:i/>
                <w:iCs/>
                <w:kern w:val="0"/>
                <w:szCs w:val="21"/>
                <w:u w:val="single"/>
              </w:rPr>
              <w:t>根据生态环境部2021年12月24日发布的《环境影响价技术导则 声环境》（HJ 2.4-2021）中附录B典型行业噪声预测模型--工业噪声预测计算模型。</w:t>
            </w:r>
          </w:p>
          <w:p>
            <w:pPr>
              <w:autoSpaceDE w:val="0"/>
              <w:autoSpaceDN w:val="0"/>
              <w:adjustRightInd w:val="0"/>
              <w:spacing w:line="360" w:lineRule="auto"/>
              <w:ind w:firstLine="422" w:firstLineChars="200"/>
              <w:rPr>
                <w:b/>
                <w:bCs/>
                <w:i/>
                <w:iCs/>
                <w:kern w:val="0"/>
                <w:szCs w:val="21"/>
                <w:u w:val="single"/>
              </w:rPr>
            </w:pPr>
            <w:r>
              <w:rPr>
                <w:b/>
                <w:bCs/>
                <w:i/>
                <w:iCs/>
                <w:kern w:val="0"/>
                <w:szCs w:val="21"/>
                <w:u w:val="single"/>
              </w:rPr>
              <w:t>根据《环境影响评价技术导则声环境》（HJ2.4-2021）中的声源描述，声环境影响预测，一般采用声源的倍频带声功率级、A声功率级或靠近声源某一</w:t>
            </w:r>
            <w:r>
              <w:rPr>
                <w:rFonts w:hint="eastAsia"/>
                <w:b/>
                <w:bCs/>
                <w:i/>
                <w:iCs/>
                <w:kern w:val="0"/>
                <w:szCs w:val="21"/>
                <w:u w:val="single"/>
              </w:rPr>
              <w:t>位置的倍频带声压级、A声级来预测计算距声源不同距离的声级。工业声源有室外和室内两种声源，应分别计算。</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（1）室内声源等效室外声源声功率级计算方法</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如图</w:t>
            </w:r>
            <w:r>
              <w:rPr>
                <w:b/>
                <w:bCs/>
                <w:i/>
                <w:iCs/>
                <w:kern w:val="0"/>
                <w:szCs w:val="21"/>
                <w:u w:val="single"/>
              </w:rPr>
              <w:t>10</w:t>
            </w:r>
            <w:r>
              <w:rPr>
                <w:rFonts w:hint="eastAsia"/>
                <w:b/>
                <w:bCs/>
                <w:i/>
                <w:iCs/>
                <w:kern w:val="0"/>
                <w:szCs w:val="21"/>
                <w:u w:val="single"/>
              </w:rPr>
              <w:t>所示，声源位于室内，室内声源可采用等效室外声源声功率级法进行计算。设靠近开口处（或窗户）室内、室外某倍频带的声压级分别为Lp1和Lp2。若声源所在室内声场为近似扩散声场，则可按下式计算某一室内声源靠近围护结构处产生的倍频带声压级。</w:t>
            </w:r>
          </w:p>
          <w:p>
            <w:pPr>
              <w:autoSpaceDE w:val="0"/>
              <w:autoSpaceDN w:val="0"/>
              <w:adjustRightInd w:val="0"/>
              <w:spacing w:line="360" w:lineRule="auto"/>
              <w:ind w:firstLine="422" w:firstLineChars="200"/>
              <w:rPr>
                <w:b/>
                <w:bCs/>
                <w:i/>
                <w:iCs/>
                <w:kern w:val="0"/>
                <w:szCs w:val="21"/>
                <w:u w:val="single"/>
              </w:rPr>
            </w:pPr>
            <m:oMathPara>
              <m:oMath>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p2</m:t>
                    </m:r>
                    <m:ctrlPr>
                      <w:rPr>
                        <w:rFonts w:ascii="Cambria Math" w:hAnsi="Cambria Math"/>
                        <w:b/>
                        <w:bCs/>
                        <w:i/>
                        <w:iCs/>
                        <w:kern w:val="0"/>
                        <w:szCs w:val="21"/>
                        <w:u w:val="single"/>
                      </w:rPr>
                    </m:ctrlPr>
                  </m:sub>
                </m:sSub>
                <m:r>
                  <m:rPr>
                    <m:sty m:val="bi"/>
                  </m:rPr>
                  <w:rPr>
                    <w:rFonts w:ascii="Cambria Math" w:hAnsi="Cambria Math"/>
                    <w:kern w:val="0"/>
                    <w:szCs w:val="21"/>
                    <w:u w:val="single"/>
                  </w:rPr>
                  <m:t>=</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p1</m:t>
                    </m:r>
                    <m:ctrlPr>
                      <w:rPr>
                        <w:rFonts w:ascii="Cambria Math" w:hAnsi="Cambria Math"/>
                        <w:b/>
                        <w:bCs/>
                        <w:i/>
                        <w:iCs/>
                        <w:kern w:val="0"/>
                        <w:szCs w:val="21"/>
                        <w:u w:val="single"/>
                      </w:rPr>
                    </m:ctrlPr>
                  </m:sub>
                </m:sSub>
                <m:r>
                  <m:rPr>
                    <m:sty m:val="bi"/>
                  </m:rPr>
                  <w:rPr>
                    <w:rFonts w:ascii="Cambria Math" w:hAnsi="Cambria Math"/>
                    <w:kern w:val="0"/>
                    <w:szCs w:val="21"/>
                    <w:u w:val="single"/>
                  </w:rPr>
                  <m:t>−(TL−6)</m:t>
                </m:r>
              </m:oMath>
            </m:oMathPara>
          </w:p>
          <w:p>
            <w:pPr>
              <w:spacing w:line="360" w:lineRule="auto"/>
              <w:ind w:firstLine="422" w:firstLineChars="200"/>
              <w:rPr>
                <w:b/>
                <w:bCs/>
                <w:i/>
                <w:iCs/>
                <w:snapToGrid w:val="0"/>
                <w:u w:val="single"/>
              </w:rPr>
            </w:pPr>
            <w:r>
              <w:rPr>
                <w:b/>
                <w:bCs/>
                <w:i/>
                <w:iCs/>
                <w:snapToGrid w:val="0"/>
                <w:u w:val="single"/>
              </w:rPr>
              <w:t>式中：L</w:t>
            </w:r>
            <w:r>
              <w:rPr>
                <w:b/>
                <w:bCs/>
                <w:i/>
                <w:iCs/>
                <w:snapToGrid w:val="0"/>
                <w:u w:val="single"/>
                <w:vertAlign w:val="subscript"/>
              </w:rPr>
              <w:t>P1</w:t>
            </w:r>
            <w:r>
              <w:rPr>
                <w:rFonts w:hint="eastAsia"/>
                <w:b/>
                <w:bCs/>
                <w:i/>
                <w:iCs/>
                <w:snapToGrid w:val="0"/>
                <w:u w:val="single"/>
              </w:rPr>
              <w:t>—靠近开口处（或窗户）室内某倍频带的声压级或A声级</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b/>
                <w:bCs/>
                <w:i/>
                <w:iCs/>
                <w:snapToGrid w:val="0"/>
                <w:u w:val="single"/>
              </w:rPr>
              <w:t>L</w:t>
            </w:r>
            <w:r>
              <w:rPr>
                <w:b/>
                <w:bCs/>
                <w:i/>
                <w:iCs/>
                <w:snapToGrid w:val="0"/>
                <w:u w:val="single"/>
                <w:vertAlign w:val="subscript"/>
              </w:rPr>
              <w:t>P2</w:t>
            </w:r>
            <w:r>
              <w:rPr>
                <w:rFonts w:hint="eastAsia"/>
                <w:b/>
                <w:bCs/>
                <w:i/>
                <w:iCs/>
                <w:snapToGrid w:val="0"/>
                <w:u w:val="single"/>
              </w:rPr>
              <w:t>—靠近开口处（或窗户）室内某倍频带的声压级或A声级</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b/>
                <w:bCs/>
                <w:i/>
                <w:iCs/>
                <w:kern w:val="0"/>
                <w:szCs w:val="21"/>
                <w:u w:val="single"/>
              </w:rPr>
              <w:t>TL</w:t>
            </w:r>
            <w:r>
              <w:rPr>
                <w:rFonts w:hint="eastAsia"/>
                <w:b/>
                <w:bCs/>
                <w:i/>
                <w:iCs/>
                <w:kern w:val="0"/>
                <w:szCs w:val="21"/>
                <w:u w:val="single"/>
              </w:rPr>
              <w:t>—隔墙（或窗户）倍频带A声级的隔声量，</w:t>
            </w:r>
            <w:r>
              <w:rPr>
                <w:b/>
                <w:bCs/>
                <w:i/>
                <w:iCs/>
                <w:snapToGrid w:val="0"/>
                <w:u w:val="single"/>
              </w:rPr>
              <w:t>dB</w:t>
            </w:r>
            <w:r>
              <w:rPr>
                <w:rFonts w:hint="eastAsia"/>
                <w:b/>
                <w:bCs/>
                <w:i/>
                <w:iCs/>
                <w:snapToGrid w:val="0"/>
                <w:u w:val="single"/>
              </w:rPr>
              <w:t>。</w:t>
            </w:r>
          </w:p>
          <w:p>
            <w:pPr>
              <w:autoSpaceDE w:val="0"/>
              <w:autoSpaceDN w:val="0"/>
              <w:adjustRightInd w:val="0"/>
              <w:spacing w:line="360" w:lineRule="auto"/>
              <w:jc w:val="center"/>
              <w:rPr>
                <w:b/>
                <w:bCs/>
                <w:i/>
                <w:iCs/>
                <w:kern w:val="0"/>
                <w:szCs w:val="21"/>
                <w:u w:val="single"/>
              </w:rPr>
            </w:pPr>
            <w:r>
              <w:rPr>
                <w:b/>
                <w:bCs/>
                <w:i/>
                <w:iCs/>
                <w:kern w:val="0"/>
                <w:szCs w:val="21"/>
                <w:u w:val="single"/>
              </w:rPr>
              <mc:AlternateContent>
                <mc:Choice Requires="wpc">
                  <w:drawing>
                    <wp:inline distT="0" distB="0" distL="0" distR="0">
                      <wp:extent cx="3123565" cy="1567180"/>
                      <wp:effectExtent l="0" t="0" r="19685" b="13970"/>
                      <wp:docPr id="1610070992" name="画布 16100709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1315732749" name="矩形 1315732749"/>
                              <wps:cNvSpPr/>
                              <wps:spPr>
                                <a:xfrm>
                                  <a:off x="242850" y="213223"/>
                                  <a:ext cx="2363673" cy="117319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38846764" name="矩形 1938846764"/>
                              <wps:cNvSpPr/>
                              <wps:spPr>
                                <a:xfrm>
                                  <a:off x="2485753" y="411356"/>
                                  <a:ext cx="232619" cy="7333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4847541" name="椭圆 674847541"/>
                              <wps:cNvSpPr/>
                              <wps:spPr>
                                <a:xfrm>
                                  <a:off x="679247" y="661882"/>
                                  <a:ext cx="138023" cy="258792"/>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71207583" name="直接连接符 1371207583"/>
                              <wps:cNvCnPr/>
                              <wps:spPr>
                                <a:xfrm>
                                  <a:off x="817270" y="791278"/>
                                  <a:ext cx="1295530" cy="131"/>
                                </a:xfrm>
                                <a:prstGeom prst="line">
                                  <a:avLst/>
                                </a:prstGeom>
                              </wps:spPr>
                              <wps:style>
                                <a:lnRef idx="1">
                                  <a:schemeClr val="dk1"/>
                                </a:lnRef>
                                <a:fillRef idx="0">
                                  <a:schemeClr val="dk1"/>
                                </a:fillRef>
                                <a:effectRef idx="0">
                                  <a:schemeClr val="dk1"/>
                                </a:effectRef>
                                <a:fontRef idx="minor">
                                  <a:schemeClr val="tx1"/>
                                </a:fontRef>
                              </wps:style>
                              <wps:bodyPr/>
                            </wps:wsp>
                            <wps:wsp>
                              <wps:cNvPr id="1601522606" name="椭圆 1601522606"/>
                              <wps:cNvSpPr/>
                              <wps:spPr>
                                <a:xfrm>
                                  <a:off x="2112800" y="743963"/>
                                  <a:ext cx="94891" cy="94891"/>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3830122" name="文本框 113830122"/>
                              <wps:cNvSpPr txBox="1"/>
                              <wps:spPr>
                                <a:xfrm>
                                  <a:off x="278840" y="647371"/>
                                  <a:ext cx="492980" cy="273246"/>
                                </a:xfrm>
                                <a:prstGeom prst="rect">
                                  <a:avLst/>
                                </a:prstGeom>
                                <a:noFill/>
                                <a:ln w="6350">
                                  <a:noFill/>
                                </a:ln>
                              </wps:spPr>
                              <wps:txbx>
                                <w:txbxContent>
                                  <w:p>
                                    <w:r>
                                      <w:rPr>
                                        <w:rFonts w:hint="eastAsia"/>
                                      </w:rPr>
                                      <w:t>声源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21023853" name="文本框 1921023853"/>
                              <wps:cNvSpPr txBox="1"/>
                              <wps:spPr>
                                <a:xfrm>
                                  <a:off x="2030013" y="518016"/>
                                  <a:ext cx="392553" cy="273246"/>
                                </a:xfrm>
                                <a:prstGeom prst="rect">
                                  <a:avLst/>
                                </a:prstGeom>
                                <a:noFill/>
                                <a:ln w="6350">
                                  <a:noFill/>
                                </a:ln>
                              </wps:spPr>
                              <wps:txbx>
                                <w:txbxContent>
                                  <w:p>
                                    <w:r>
                                      <w:t>L</w:t>
                                    </w:r>
                                    <w:r>
                                      <w:rPr>
                                        <w:vertAlign w:val="subscript"/>
                                      </w:rPr>
                                      <w:t>P1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33094531" name="文本框 2133094531"/>
                              <wps:cNvSpPr txBox="1"/>
                              <wps:spPr>
                                <a:xfrm>
                                  <a:off x="2731484" y="518163"/>
                                  <a:ext cx="392553" cy="273246"/>
                                </a:xfrm>
                                <a:prstGeom prst="rect">
                                  <a:avLst/>
                                </a:prstGeom>
                                <a:noFill/>
                                <a:ln w="6350">
                                  <a:noFill/>
                                </a:ln>
                              </wps:spPr>
                              <wps:txbx>
                                <w:txbxContent>
                                  <w:p>
                                    <w:r>
                                      <w:t>L</w:t>
                                    </w:r>
                                    <w:r>
                                      <w:rPr>
                                        <w:vertAlign w:val="subscript"/>
                                      </w:rPr>
                                      <w:t>P2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4549151" name="椭圆 1134549151"/>
                              <wps:cNvSpPr/>
                              <wps:spPr>
                                <a:xfrm>
                                  <a:off x="2860945" y="743963"/>
                                  <a:ext cx="94891" cy="94891"/>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23.4pt;width:245.95pt;" coordsize="3123772,1567180" editas="canvas" o:gfxdata="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K9ldi3VAAAABQEAAA8AAAAAAAAAAQAgAAAAIgAAAGRycy9kb3ducmV2LnhtbFBL&#10;AQIUABQAAAAIAIdO4kCfd+mHFwUAAH0cAAAOAAAAAAAAAAEAIAAAACQBAABkcnMvZTJvRG9jLnht&#10;bFBLBQYAAAAABgAGAFkBAACtCAAAAAA=&#10;">
                      <o:lock v:ext="edit" aspectratio="f"/>
                      <v:shape id="_x0000_s1026" o:spid="_x0000_s1026" style="position:absolute;left:0;top:0;height:1567180;width:3123772;" fillcolor="#FFFFFF" filled="t" stroked="t" coordsize="21600,21600" o:gfxdata="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">
                        <v:fill on="t" focussize="0,0"/>
                        <v:stroke color="#000000 [3213]" joinstyle="round"/>
                        <v:imagedata o:title=""/>
                        <o:lock v:ext="edit" aspectratio="t"/>
                      </v:shape>
                      <v:rect id="_x0000_s1026" o:spid="_x0000_s1026" o:spt="1" style="position:absolute;left:242850;top:213223;height:1173192;width:2363673;v-text-anchor:middle;" filled="f" stroked="t" coordsize="21600,21600" o:gfxdata="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bLS7tYAAAAFAQAADwAAAAAAAAABACAAAAAiAAAA&#10;ZHJzL2Rvd25yZXYueG1sUEsBAhQAFAAAAAgAh07iQFu8Ofh7AgAA6AQAAA4AAAAAAAAAAQAgAAAA&#10;JQEAAGRycy9lMm9Eb2MueG1sUEsFBgAAAAAGAAYAWQEAABIGAAAAAA==&#10;">
                        <v:fill on="f" focussize="0,0"/>
                        <v:stroke weight="1pt" color="#000000 [3213]" miterlimit="8" joinstyle="miter"/>
                        <v:imagedata o:title=""/>
                        <o:lock v:ext="edit" aspectratio="f"/>
                      </v:rect>
                      <v:rect id="_x0000_s1026" o:spid="_x0000_s1026" o:spt="1" style="position:absolute;left:2485753;top:411356;height:733365;width:232619;v-text-anchor:middle;" fillcolor="#FFFFFF [3212]" filled="t" stroked="t" coordsize="21600,21600" o:gfxdata="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pYk41AAAAAUBAAAPAAAAAAAAAAEAIAAA&#10;ACIAAABkcnMvZG93bnJldi54bWxQSwECFAAUAAAACACHTuJAorWBqIICAAAQBQAADgAAAAAAAAAB&#10;ACAAAAAjAQAAZHJzL2Uyb0RvYy54bWxQSwUGAAAAAAYABgBZAQAAFwYAAAAA&#10;">
                        <v:fill on="t" focussize="0,0"/>
                        <v:stroke weight="1pt" color="#000000 [3213]" miterlimit="8" joinstyle="miter"/>
                        <v:imagedata o:title=""/>
                        <o:lock v:ext="edit" aspectratio="f"/>
                      </v:rect>
                      <v:shape id="_x0000_s1026" o:spid="_x0000_s1026" o:spt="3" type="#_x0000_t3" style="position:absolute;left:679247;top:661882;height:258792;width:138023;v-text-anchor:middle;" fillcolor="#FFFFFF [3212]" filled="t" stroked="t" coordsize="21600,21600" o:gfxdata="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d8xEP1wAAAAUBAAAPAAAAAAAAAAEAIAAA&#10;ACIAAABkcnMvZG93bnJldi54bWxQSwECFAAUAAAACACHTuJA/SMBKH8CAAAQBQAADgAAAAAAAAAB&#10;ACAAAAAmAQAAZHJzL2Uyb0RvYy54bWxQSwUGAAAAAAYABgBZAQAAFwYAAAAA&#10;">
                        <v:fill on="t" focussize="0,0"/>
                        <v:stroke weight="1pt" color="#000000 [3213]" miterlimit="8" joinstyle="miter"/>
                        <v:imagedata o:title=""/>
                        <o:lock v:ext="edit" aspectratio="f"/>
                      </v:shape>
                      <v:line id="_x0000_s1026" o:spid="_x0000_s1026" o:spt="20" style="position:absolute;left:817270;top:791278;height:131;width:1295530;" filled="f" stroked="t" coordsize="21600,21600" o:gfxdata="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yi+VdUAAAAFAQAADwAAAAAAAAABACAAAAAiAAAAZHJzL2Rvd25yZXYueG1sUEsB&#10;AhQAFAAAAAgAh07iQAxbWaz4AQAAzwMAAA4AAAAAAAAAAQAgAAAAJAEAAGRycy9lMm9Eb2MueG1s&#10;UEsFBgAAAAAGAAYAWQEAAI4FAAAAAA==&#10;">
                        <v:fill on="f" focussize="0,0"/>
                        <v:stroke weight="0.5pt" color="#000000 [3200]" miterlimit="8" joinstyle="miter"/>
                        <v:imagedata o:title=""/>
                        <o:lock v:ext="edit" aspectratio="f"/>
                      </v:line>
                      <v:shape id="_x0000_s1026" o:spid="_x0000_s1026" o:spt="3" type="#_x0000_t3" style="position:absolute;left:2112800;top:743963;height:94891;width:94891;v-text-anchor:middle;" fillcolor="#000000 [3213]" filled="t" stroked="f" coordsize="21600,21600" o:gfxdata="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YJRsNIAAAAFAQAADwAAAAAAAAABACAAAAAiAAAAZHJz&#10;L2Rvd25yZXYueG1sUEsBAhQAFAAAAAgAh07iQBEWrsJ8AgAA6AQAAA4AAAAAAAAAAQAgAAAAIQEA&#10;AGRycy9lMm9Eb2MueG1sUEsFBgAAAAAGAAYAWQEAAA8GAAAAAA==&#10;">
                        <v:fill on="t" focussize="0,0"/>
                        <v:stroke on="f" weight="1pt" miterlimit="8" joinstyle="miter"/>
                        <v:imagedata o:title=""/>
                        <o:lock v:ext="edit" aspectratio="f"/>
                      </v:shape>
                      <v:shape id="_x0000_s1026" o:spid="_x0000_s1026" o:spt="202" type="#_x0000_t202" style="position:absolute;left:278840;top:647371;height:273246;width:492980;" filled="f" stroked="f" coordsize="21600,21600" o:gfxdata="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aupdtcAAAAFAQAADwAAAAAA&#10;AAABACAAAAAiAAAAZHJzL2Rvd25yZXYueG1sUEsBAhQAFAAAAAgAh07iQLG6NcVNAgAAfwQAAA4A&#10;AAAAAAAAAQAgAAAAJgEAAGRycy9lMm9Eb2MueG1sUEsFBgAAAAAGAAYAWQEAAOUFAAAAAA==&#10;">
                        <v:fill on="f" focussize="0,0"/>
                        <v:stroke on="f" weight="0.5pt"/>
                        <v:imagedata o:title=""/>
                        <o:lock v:ext="edit" aspectratio="f"/>
                        <v:textbox>
                          <w:txbxContent>
                            <w:p>
                              <w:r>
                                <w:rPr>
                                  <w:rFonts w:hint="eastAsia"/>
                                </w:rPr>
                                <w:t>声源</w:t>
                              </w:r>
                            </w:p>
                          </w:txbxContent>
                        </v:textbox>
                      </v:shape>
                      <v:shape id="_x0000_s1026" o:spid="_x0000_s1026" o:spt="202" type="#_x0000_t202" style="position:absolute;left:2030013;top:518016;height:273246;width:392553;" filled="f" stroked="f" coordsize="21600,21600" o:gfxdata="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2rqXbXAAAABQEAAA8AAAAA&#10;AAAAAQAgAAAAIgAAAGRycy9kb3ducmV2LnhtbFBLAQIUABQAAAAIAIdO4kCQry84TgIAAIIEAAAO&#10;AAAAAAAAAAEAIAAAACYBAABkcnMvZTJvRG9jLnhtbFBLBQYAAAAABgAGAFkBAADmBQAAAAA=&#10;">
                        <v:fill on="f" focussize="0,0"/>
                        <v:stroke on="f" weight="0.5pt"/>
                        <v:imagedata o:title=""/>
                        <o:lock v:ext="edit" aspectratio="f"/>
                        <v:textbox>
                          <w:txbxContent>
                            <w:p>
                              <w:r>
                                <w:t>L</w:t>
                              </w:r>
                              <w:r>
                                <w:rPr>
                                  <w:vertAlign w:val="subscript"/>
                                </w:rPr>
                                <w:t>P1</w:t>
                              </w:r>
                            </w:p>
                          </w:txbxContent>
                        </v:textbox>
                      </v:shape>
                      <v:shape id="_x0000_s1026" o:spid="_x0000_s1026" o:spt="202" type="#_x0000_t202" style="position:absolute;left:2731484;top:518163;height:273246;width:392553;" filled="f" stroked="f" coordsize="21600,21600" o:gfxdata="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q6l21wAAAAUBAAAPAAAA&#10;AAAAAAEAIAAAACIAAABkcnMvZG93bnJldi54bWxQSwECFAAUAAAACACHTuJAxXSUWU8CAACCBAAA&#10;DgAAAAAAAAABACAAAAAmAQAAZHJzL2Uyb0RvYy54bWxQSwUGAAAAAAYABgBZAQAA5wUAAAAA&#10;">
                        <v:fill on="f" focussize="0,0"/>
                        <v:stroke on="f" weight="0.5pt"/>
                        <v:imagedata o:title=""/>
                        <o:lock v:ext="edit" aspectratio="f"/>
                        <v:textbox>
                          <w:txbxContent>
                            <w:p>
                              <w:r>
                                <w:t>L</w:t>
                              </w:r>
                              <w:r>
                                <w:rPr>
                                  <w:vertAlign w:val="subscript"/>
                                </w:rPr>
                                <w:t>P2</w:t>
                              </w:r>
                            </w:p>
                          </w:txbxContent>
                        </v:textbox>
                      </v:shape>
                      <v:shape id="_x0000_s1026" o:spid="_x0000_s1026" o:spt="3" type="#_x0000_t3" style="position:absolute;left:2860945;top:743963;height:94891;width:94891;v-text-anchor:middle;" fillcolor="#000000 [3213]" filled="t" stroked="f" coordsize="21600,21600" o:gfxdata="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JglGw0gAAAAUBAAAPAAAAAAAAAAEAIAAAACIAAABkcnMv&#10;ZG93bnJldi54bWxQSwECFAAUAAAACACHTuJAnjaWKXsCAADoBAAADgAAAAAAAAABACAAAAAhAQAA&#10;ZHJzL2Uyb0RvYy54bWxQSwUGAAAAAAYABgBZAQAADgYAAAAA&#10;">
                        <v:fill on="t" focussize="0,0"/>
                        <v:stroke on="f" weight="1pt" miterlimit="8" joinstyle="miter"/>
                        <v:imagedata o:title=""/>
                        <o:lock v:ext="edit" aspectratio="f"/>
                      </v:shape>
                      <w10:wrap type="none"/>
                      <w10:anchorlock/>
                    </v:group>
                  </w:pict>
                </mc:Fallback>
              </mc:AlternateContent>
            </w:r>
          </w:p>
          <w:p>
            <w:pPr>
              <w:autoSpaceDE w:val="0"/>
              <w:autoSpaceDN w:val="0"/>
              <w:adjustRightInd w:val="0"/>
              <w:spacing w:line="360" w:lineRule="auto"/>
              <w:jc w:val="center"/>
              <w:rPr>
                <w:b/>
                <w:bCs/>
                <w:i/>
                <w:iCs/>
                <w:kern w:val="0"/>
                <w:szCs w:val="21"/>
                <w:u w:val="single"/>
              </w:rPr>
            </w:pPr>
            <w:r>
              <w:rPr>
                <w:rFonts w:hint="eastAsia"/>
                <w:b/>
                <w:bCs/>
                <w:i/>
                <w:iCs/>
                <w:kern w:val="0"/>
                <w:szCs w:val="21"/>
                <w:u w:val="single"/>
              </w:rPr>
              <w:t>图</w:t>
            </w:r>
            <w:r>
              <w:rPr>
                <w:b/>
                <w:bCs/>
                <w:i/>
                <w:iCs/>
                <w:kern w:val="0"/>
                <w:szCs w:val="21"/>
                <w:u w:val="single"/>
              </w:rPr>
              <w:t xml:space="preserve">10  </w:t>
            </w:r>
            <w:r>
              <w:rPr>
                <w:rFonts w:hint="eastAsia"/>
                <w:b/>
                <w:bCs/>
                <w:i/>
                <w:iCs/>
                <w:kern w:val="0"/>
                <w:szCs w:val="21"/>
                <w:u w:val="single"/>
              </w:rPr>
              <w:t>室内声源等效为室外声源图例</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也可按下式计算某一室内声源靠近围护结构处产生的倍频带声压级或A声级。</w:t>
            </w:r>
          </w:p>
          <w:p>
            <w:pPr>
              <w:autoSpaceDE w:val="0"/>
              <w:autoSpaceDN w:val="0"/>
              <w:adjustRightInd w:val="0"/>
              <w:spacing w:line="360" w:lineRule="auto"/>
              <w:ind w:firstLine="422" w:firstLineChars="200"/>
              <w:rPr>
                <w:b/>
                <w:bCs/>
                <w:i/>
                <w:iCs/>
                <w:kern w:val="0"/>
                <w:szCs w:val="21"/>
                <w:u w:val="single"/>
              </w:rPr>
            </w:pPr>
            <m:oMathPara>
              <m:oMath>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p1</m:t>
                    </m:r>
                    <m:ctrlPr>
                      <w:rPr>
                        <w:rFonts w:ascii="Cambria Math" w:hAnsi="Cambria Math"/>
                        <w:b/>
                        <w:bCs/>
                        <w:i/>
                        <w:iCs/>
                        <w:kern w:val="0"/>
                        <w:szCs w:val="21"/>
                        <w:u w:val="single"/>
                      </w:rPr>
                    </m:ctrlPr>
                  </m:sub>
                </m:sSub>
                <m:r>
                  <m:rPr>
                    <m:sty m:val="bi"/>
                  </m:rPr>
                  <w:rPr>
                    <w:rFonts w:ascii="Cambria Math" w:hAnsi="Cambria Math"/>
                    <w:kern w:val="0"/>
                    <w:szCs w:val="21"/>
                    <w:u w:val="single"/>
                  </w:rPr>
                  <m:t>=</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hint="eastAsia" w:ascii="Cambria Math" w:hAnsi="Cambria Math"/>
                        <w:kern w:val="0"/>
                        <w:szCs w:val="21"/>
                        <w:u w:val="single"/>
                      </w:rPr>
                      <m:t>w</m:t>
                    </m:r>
                    <m:ctrlPr>
                      <w:rPr>
                        <w:rFonts w:ascii="Cambria Math" w:hAnsi="Cambria Math"/>
                        <w:b/>
                        <w:bCs/>
                        <w:i/>
                        <w:iCs/>
                        <w:kern w:val="0"/>
                        <w:szCs w:val="21"/>
                        <w:u w:val="single"/>
                      </w:rPr>
                    </m:ctrlPr>
                  </m:sub>
                </m:sSub>
                <m:r>
                  <m:rPr>
                    <m:sty m:val="bi"/>
                  </m:rPr>
                  <w:rPr>
                    <w:rFonts w:ascii="Cambria Math" w:hAnsi="Cambria Math"/>
                    <w:kern w:val="0"/>
                    <w:szCs w:val="21"/>
                    <w:u w:val="single"/>
                  </w:rPr>
                  <m:t>+10</m:t>
                </m:r>
                <m:r>
                  <m:rPr>
                    <m:sty m:val="bi"/>
                  </m:rPr>
                  <w:rPr>
                    <w:rFonts w:hint="eastAsia" w:ascii="Cambria Math" w:hAnsi="Cambria Math"/>
                    <w:kern w:val="0"/>
                    <w:szCs w:val="21"/>
                    <w:u w:val="single"/>
                  </w:rPr>
                  <m:t>lg</m:t>
                </m:r>
                <m:d>
                  <m:dPr>
                    <m:ctrlPr>
                      <w:rPr>
                        <w:rFonts w:ascii="Cambria Math" w:hAnsi="Cambria Math"/>
                        <w:b/>
                        <w:bCs/>
                        <w:i/>
                        <w:iCs/>
                        <w:kern w:val="0"/>
                        <w:szCs w:val="21"/>
                        <w:u w:val="single"/>
                      </w:rPr>
                    </m:ctrlPr>
                  </m:dPr>
                  <m:e>
                    <m:f>
                      <m:fPr>
                        <m:ctrlPr>
                          <w:rPr>
                            <w:rFonts w:ascii="Cambria Math" w:hAnsi="Cambria Math"/>
                            <w:b/>
                            <w:bCs/>
                            <w:i/>
                            <w:iCs/>
                            <w:kern w:val="0"/>
                            <w:szCs w:val="21"/>
                            <w:u w:val="single"/>
                          </w:rPr>
                        </m:ctrlPr>
                      </m:fPr>
                      <m:num>
                        <m:r>
                          <m:rPr>
                            <m:sty m:val="bi"/>
                          </m:rPr>
                          <w:rPr>
                            <w:rFonts w:ascii="Cambria Math" w:hAnsi="Cambria Math"/>
                            <w:kern w:val="0"/>
                            <w:szCs w:val="21"/>
                            <w:u w:val="single"/>
                          </w:rPr>
                          <m:t>Q</m:t>
                        </m:r>
                        <m:ctrlPr>
                          <w:rPr>
                            <w:rFonts w:ascii="Cambria Math" w:hAnsi="Cambria Math"/>
                            <w:b/>
                            <w:bCs/>
                            <w:i/>
                            <w:iCs/>
                            <w:kern w:val="0"/>
                            <w:szCs w:val="21"/>
                            <w:u w:val="single"/>
                          </w:rPr>
                        </m:ctrlPr>
                      </m:num>
                      <m:den>
                        <m:sSup>
                          <m:sSupPr>
                            <m:ctrlPr>
                              <w:rPr>
                                <w:rFonts w:ascii="Cambria Math" w:hAnsi="Cambria Math"/>
                                <w:b/>
                                <w:bCs/>
                                <w:i/>
                                <w:iCs/>
                                <w:kern w:val="0"/>
                                <w:szCs w:val="21"/>
                                <w:u w:val="single"/>
                              </w:rPr>
                            </m:ctrlPr>
                          </m:sSupPr>
                          <m:e>
                            <m:r>
                              <m:rPr>
                                <m:sty m:val="bi"/>
                              </m:rPr>
                              <w:rPr>
                                <w:rFonts w:ascii="Cambria Math" w:hAnsi="Cambria Math"/>
                                <w:kern w:val="0"/>
                                <w:szCs w:val="21"/>
                                <w:u w:val="single"/>
                              </w:rPr>
                              <m:t>4</m:t>
                            </m:r>
                            <m:r>
                              <m:rPr>
                                <m:sty m:val="bi"/>
                              </m:rPr>
                              <w:rPr>
                                <w:rFonts w:hint="eastAsia" w:ascii="Cambria Math" w:hAnsi="Cambria Math"/>
                                <w:kern w:val="0"/>
                                <w:szCs w:val="21"/>
                                <w:u w:val="single"/>
                              </w:rPr>
                              <m:t>πr</m:t>
                            </m:r>
                            <m:ctrlPr>
                              <w:rPr>
                                <w:rFonts w:ascii="Cambria Math" w:hAnsi="Cambria Math"/>
                                <w:b/>
                                <w:bCs/>
                                <w:i/>
                                <w:iCs/>
                                <w:kern w:val="0"/>
                                <w:szCs w:val="21"/>
                                <w:u w:val="single"/>
                              </w:rPr>
                            </m:ctrlPr>
                          </m:e>
                          <m:sup>
                            <m:r>
                              <m:rPr>
                                <m:sty m:val="bi"/>
                              </m:rPr>
                              <w:rPr>
                                <w:rFonts w:ascii="Cambria Math" w:hAnsi="Cambria Math"/>
                                <w:kern w:val="0"/>
                                <w:szCs w:val="21"/>
                                <w:u w:val="single"/>
                              </w:rPr>
                              <m:t>2</m:t>
                            </m:r>
                            <m:ctrlPr>
                              <w:rPr>
                                <w:rFonts w:ascii="Cambria Math" w:hAnsi="Cambria Math"/>
                                <w:b/>
                                <w:bCs/>
                                <w:i/>
                                <w:iCs/>
                                <w:kern w:val="0"/>
                                <w:szCs w:val="21"/>
                                <w:u w:val="single"/>
                              </w:rPr>
                            </m:ctrlPr>
                          </m:sup>
                        </m:sSup>
                        <m:ctrlPr>
                          <w:rPr>
                            <w:rFonts w:ascii="Cambria Math" w:hAnsi="Cambria Math"/>
                            <w:b/>
                            <w:bCs/>
                            <w:i/>
                            <w:iCs/>
                            <w:kern w:val="0"/>
                            <w:szCs w:val="21"/>
                            <w:u w:val="single"/>
                          </w:rPr>
                        </m:ctrlPr>
                      </m:den>
                    </m:f>
                    <m:r>
                      <m:rPr>
                        <m:sty m:val="bi"/>
                      </m:rPr>
                      <w:rPr>
                        <w:rFonts w:ascii="Cambria Math" w:hAnsi="Cambria Math"/>
                        <w:kern w:val="0"/>
                        <w:szCs w:val="21"/>
                        <w:u w:val="single"/>
                      </w:rPr>
                      <m:t>+</m:t>
                    </m:r>
                    <m:f>
                      <m:fPr>
                        <m:ctrlPr>
                          <w:rPr>
                            <w:rFonts w:ascii="Cambria Math" w:hAnsi="Cambria Math"/>
                            <w:b/>
                            <w:bCs/>
                            <w:i/>
                            <w:iCs/>
                            <w:kern w:val="0"/>
                            <w:szCs w:val="21"/>
                            <w:u w:val="single"/>
                          </w:rPr>
                        </m:ctrlPr>
                      </m:fPr>
                      <m:num>
                        <m:r>
                          <m:rPr>
                            <m:sty m:val="bi"/>
                          </m:rPr>
                          <w:rPr>
                            <w:rFonts w:ascii="Cambria Math" w:hAnsi="Cambria Math"/>
                            <w:kern w:val="0"/>
                            <w:szCs w:val="21"/>
                            <w:u w:val="single"/>
                          </w:rPr>
                          <m:t>4</m:t>
                        </m:r>
                        <m:ctrlPr>
                          <w:rPr>
                            <w:rFonts w:ascii="Cambria Math" w:hAnsi="Cambria Math"/>
                            <w:b/>
                            <w:bCs/>
                            <w:i/>
                            <w:iCs/>
                            <w:kern w:val="0"/>
                            <w:szCs w:val="21"/>
                            <w:u w:val="single"/>
                          </w:rPr>
                        </m:ctrlPr>
                      </m:num>
                      <m:den>
                        <m:r>
                          <m:rPr>
                            <m:sty m:val="bi"/>
                          </m:rPr>
                          <w:rPr>
                            <w:rFonts w:ascii="Cambria Math" w:hAnsi="Cambria Math"/>
                            <w:kern w:val="0"/>
                            <w:szCs w:val="21"/>
                            <w:u w:val="single"/>
                          </w:rPr>
                          <m:t>R</m:t>
                        </m:r>
                        <m:ctrlPr>
                          <w:rPr>
                            <w:rFonts w:ascii="Cambria Math" w:hAnsi="Cambria Math"/>
                            <w:b/>
                            <w:bCs/>
                            <w:i/>
                            <w:iCs/>
                            <w:kern w:val="0"/>
                            <w:szCs w:val="21"/>
                            <w:u w:val="single"/>
                          </w:rPr>
                        </m:ctrlPr>
                      </m:den>
                    </m:f>
                    <m:ctrlPr>
                      <w:rPr>
                        <w:rFonts w:ascii="Cambria Math" w:hAnsi="Cambria Math"/>
                        <w:b/>
                        <w:bCs/>
                        <w:i/>
                        <w:iCs/>
                        <w:kern w:val="0"/>
                        <w:szCs w:val="21"/>
                        <w:u w:val="single"/>
                      </w:rPr>
                    </m:ctrlPr>
                  </m:e>
                </m:d>
              </m:oMath>
            </m:oMathPara>
          </w:p>
          <w:p>
            <w:pPr>
              <w:spacing w:line="360" w:lineRule="auto"/>
              <w:ind w:firstLine="422" w:firstLineChars="200"/>
              <w:rPr>
                <w:b/>
                <w:bCs/>
                <w:i/>
                <w:iCs/>
                <w:snapToGrid w:val="0"/>
                <w:u w:val="single"/>
              </w:rPr>
            </w:pPr>
            <w:r>
              <w:rPr>
                <w:b/>
                <w:bCs/>
                <w:i/>
                <w:iCs/>
                <w:snapToGrid w:val="0"/>
                <w:u w:val="single"/>
              </w:rPr>
              <w:t>式中：L</w:t>
            </w:r>
            <w:r>
              <w:rPr>
                <w:b/>
                <w:bCs/>
                <w:i/>
                <w:iCs/>
                <w:snapToGrid w:val="0"/>
                <w:u w:val="single"/>
                <w:vertAlign w:val="subscript"/>
              </w:rPr>
              <w:t>P1</w:t>
            </w:r>
            <w:r>
              <w:rPr>
                <w:rFonts w:hint="eastAsia"/>
                <w:b/>
                <w:bCs/>
                <w:i/>
                <w:iCs/>
                <w:snapToGrid w:val="0"/>
                <w:u w:val="single"/>
              </w:rPr>
              <w:t>—靠近开口处（或窗户）室内某倍频带的声压级或A声级</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b/>
                <w:bCs/>
                <w:i/>
                <w:iCs/>
                <w:kern w:val="0"/>
                <w:szCs w:val="21"/>
                <w:u w:val="single"/>
              </w:rPr>
              <w:t>L</w:t>
            </w:r>
            <w:r>
              <w:rPr>
                <w:rFonts w:hint="eastAsia"/>
                <w:b/>
                <w:bCs/>
                <w:i/>
                <w:iCs/>
                <w:kern w:val="0"/>
                <w:szCs w:val="21"/>
                <w:u w:val="single"/>
                <w:vertAlign w:val="subscript"/>
              </w:rPr>
              <w:t>w</w:t>
            </w:r>
            <w:r>
              <w:rPr>
                <w:rFonts w:hint="eastAsia"/>
                <w:b/>
                <w:bCs/>
                <w:i/>
                <w:iCs/>
                <w:kern w:val="0"/>
                <w:szCs w:val="21"/>
                <w:u w:val="single"/>
              </w:rPr>
              <w:t>—点声源声功率级（A计权或倍频带），</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rFonts w:hint="eastAsia"/>
                <w:b/>
                <w:bCs/>
                <w:i/>
                <w:iCs/>
                <w:kern w:val="0"/>
                <w:szCs w:val="21"/>
                <w:u w:val="single"/>
              </w:rPr>
              <w:t>Q—指向性因数；通常对无指向性声源，当声源放在房间中心时，Q</w:t>
            </w:r>
            <w:r>
              <w:rPr>
                <w:b/>
                <w:bCs/>
                <w:i/>
                <w:iCs/>
                <w:kern w:val="0"/>
                <w:szCs w:val="21"/>
                <w:u w:val="single"/>
              </w:rPr>
              <w:t>=1</w:t>
            </w:r>
            <w:r>
              <w:rPr>
                <w:rFonts w:hint="eastAsia"/>
                <w:b/>
                <w:bCs/>
                <w:i/>
                <w:iCs/>
                <w:kern w:val="0"/>
                <w:szCs w:val="21"/>
                <w:u w:val="single"/>
              </w:rPr>
              <w:t>，当放在一面墙中心时。Q</w:t>
            </w:r>
            <w:r>
              <w:rPr>
                <w:b/>
                <w:bCs/>
                <w:i/>
                <w:iCs/>
                <w:kern w:val="0"/>
                <w:szCs w:val="21"/>
                <w:u w:val="single"/>
              </w:rPr>
              <w:t>=2</w:t>
            </w:r>
            <w:r>
              <w:rPr>
                <w:rFonts w:hint="eastAsia"/>
                <w:b/>
                <w:bCs/>
                <w:i/>
                <w:iCs/>
                <w:kern w:val="0"/>
                <w:szCs w:val="21"/>
                <w:u w:val="single"/>
              </w:rPr>
              <w:t>；当放在两面墙夹角处时，Q</w:t>
            </w:r>
            <w:r>
              <w:rPr>
                <w:b/>
                <w:bCs/>
                <w:i/>
                <w:iCs/>
                <w:kern w:val="0"/>
                <w:szCs w:val="21"/>
                <w:u w:val="single"/>
              </w:rPr>
              <w:t>=4</w:t>
            </w:r>
            <w:r>
              <w:rPr>
                <w:rFonts w:hint="eastAsia"/>
                <w:b/>
                <w:bCs/>
                <w:i/>
                <w:iCs/>
                <w:kern w:val="0"/>
                <w:szCs w:val="21"/>
                <w:u w:val="single"/>
              </w:rPr>
              <w:t>，当方面三面墙夹角处时，Q</w:t>
            </w:r>
            <w:r>
              <w:rPr>
                <w:b/>
                <w:bCs/>
                <w:i/>
                <w:iCs/>
                <w:kern w:val="0"/>
                <w:szCs w:val="21"/>
                <w:u w:val="single"/>
              </w:rPr>
              <w:t>=8</w:t>
            </w:r>
            <w:r>
              <w:rPr>
                <w:rFonts w:hint="eastAsia"/>
                <w:b/>
                <w:bCs/>
                <w:i/>
                <w:iCs/>
                <w:kern w:val="0"/>
                <w:szCs w:val="21"/>
                <w:u w:val="single"/>
              </w:rPr>
              <w:t>；</w:t>
            </w:r>
          </w:p>
          <w:p>
            <w:pPr>
              <w:autoSpaceDE w:val="0"/>
              <w:autoSpaceDN w:val="0"/>
              <w:adjustRightInd w:val="0"/>
              <w:spacing w:line="360" w:lineRule="auto"/>
              <w:ind w:firstLine="1054" w:firstLineChars="500"/>
              <w:rPr>
                <w:b/>
                <w:bCs/>
                <w:i/>
                <w:iCs/>
                <w:kern w:val="0"/>
                <w:szCs w:val="21"/>
                <w:u w:val="single"/>
              </w:rPr>
            </w:pPr>
            <w:r>
              <w:rPr>
                <w:rFonts w:hint="eastAsia"/>
                <w:b/>
                <w:bCs/>
                <w:i/>
                <w:iCs/>
                <w:kern w:val="0"/>
                <w:szCs w:val="21"/>
                <w:u w:val="single"/>
              </w:rPr>
              <w:t>R—房间系数</w:t>
            </w:r>
            <w:r>
              <w:rPr>
                <w:b/>
                <w:bCs/>
                <w:i/>
                <w:iCs/>
                <w:kern w:val="0"/>
                <w:szCs w:val="21"/>
                <w:u w:val="single"/>
              </w:rPr>
              <w:t>；R=Sa/（1-α），S为房间内表面积，m</w:t>
            </w:r>
            <w:r>
              <w:rPr>
                <w:b/>
                <w:bCs/>
                <w:i/>
                <w:iCs/>
                <w:kern w:val="0"/>
                <w:szCs w:val="21"/>
                <w:u w:val="single"/>
                <w:vertAlign w:val="superscript"/>
              </w:rPr>
              <w:t>2</w:t>
            </w:r>
            <w:r>
              <w:rPr>
                <w:b/>
                <w:bCs/>
                <w:i/>
                <w:iCs/>
                <w:kern w:val="0"/>
                <w:szCs w:val="21"/>
                <w:u w:val="single"/>
              </w:rPr>
              <w:t>；α为平均吸声系数；</w:t>
            </w:r>
          </w:p>
          <w:p>
            <w:pPr>
              <w:autoSpaceDE w:val="0"/>
              <w:autoSpaceDN w:val="0"/>
              <w:adjustRightInd w:val="0"/>
              <w:spacing w:line="360" w:lineRule="auto"/>
              <w:ind w:firstLine="1054" w:firstLineChars="500"/>
              <w:rPr>
                <w:b/>
                <w:bCs/>
                <w:i/>
                <w:iCs/>
                <w:kern w:val="0"/>
                <w:szCs w:val="21"/>
                <w:u w:val="single"/>
              </w:rPr>
            </w:pPr>
            <w:r>
              <w:rPr>
                <w:rFonts w:hint="eastAsia"/>
                <w:b/>
                <w:bCs/>
                <w:i/>
                <w:iCs/>
                <w:kern w:val="0"/>
                <w:szCs w:val="21"/>
                <w:u w:val="single"/>
              </w:rPr>
              <w:t>r—声源靠近维护机构某点处的距离，m。</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然后按照下式计算出所有室内声源在围护结构处产生的i倍频带叠加声压级。</w:t>
            </w:r>
          </w:p>
          <w:p>
            <w:pPr>
              <w:autoSpaceDE w:val="0"/>
              <w:autoSpaceDN w:val="0"/>
              <w:adjustRightInd w:val="0"/>
              <w:spacing w:line="360" w:lineRule="auto"/>
              <w:ind w:firstLine="422" w:firstLineChars="200"/>
              <w:rPr>
                <w:b/>
                <w:bCs/>
                <w:i/>
                <w:iCs/>
                <w:kern w:val="0"/>
                <w:szCs w:val="21"/>
                <w:u w:val="single"/>
              </w:rPr>
            </w:pPr>
            <m:oMathPara>
              <m:oMath>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p1</m:t>
                    </m:r>
                    <m:r>
                      <m:rPr>
                        <m:sty m:val="bi"/>
                      </m:rPr>
                      <w:rPr>
                        <w:rFonts w:hint="eastAsia" w:ascii="Cambria Math" w:hAnsi="Cambria Math"/>
                        <w:kern w:val="0"/>
                        <w:szCs w:val="21"/>
                        <w:u w:val="single"/>
                      </w:rPr>
                      <m:t>i</m:t>
                    </m:r>
                    <m:ctrlPr>
                      <w:rPr>
                        <w:rFonts w:ascii="Cambria Math" w:hAnsi="Cambria Math"/>
                        <w:b/>
                        <w:bCs/>
                        <w:i/>
                        <w:iCs/>
                        <w:kern w:val="0"/>
                        <w:szCs w:val="21"/>
                        <w:u w:val="single"/>
                      </w:rPr>
                    </m:ctrlPr>
                  </m:sub>
                </m:sSub>
                <m:r>
                  <m:rPr>
                    <m:sty m:val="bi"/>
                  </m:rPr>
                  <w:rPr>
                    <w:rFonts w:ascii="Cambria Math" w:hAnsi="Cambria Math"/>
                    <w:kern w:val="0"/>
                    <w:szCs w:val="21"/>
                    <w:u w:val="single"/>
                  </w:rPr>
                  <m:t>(T)=10</m:t>
                </m:r>
                <m:r>
                  <m:rPr>
                    <m:sty m:val="bi"/>
                  </m:rPr>
                  <w:rPr>
                    <w:rFonts w:hint="eastAsia" w:ascii="Cambria Math" w:hAnsi="Cambria Math"/>
                    <w:kern w:val="0"/>
                    <w:szCs w:val="21"/>
                    <w:u w:val="single"/>
                  </w:rPr>
                  <m:t>lg</m:t>
                </m:r>
                <m:d>
                  <m:dPr>
                    <m:ctrlPr>
                      <w:rPr>
                        <w:rFonts w:ascii="Cambria Math" w:hAnsi="Cambria Math"/>
                        <w:b/>
                        <w:bCs/>
                        <w:i/>
                        <w:iCs/>
                        <w:kern w:val="0"/>
                        <w:szCs w:val="21"/>
                        <w:u w:val="single"/>
                      </w:rPr>
                    </m:ctrlPr>
                  </m:dPr>
                  <m:e>
                    <m:nary>
                      <m:naryPr>
                        <m:chr m:val="∑"/>
                        <m:limLoc m:val="undOvr"/>
                        <m:ctrlPr>
                          <w:rPr>
                            <w:rFonts w:ascii="Cambria Math" w:hAnsi="Cambria Math"/>
                            <w:b/>
                            <w:bCs/>
                            <w:i/>
                            <w:iCs/>
                            <w:kern w:val="0"/>
                            <w:szCs w:val="21"/>
                            <w:u w:val="single"/>
                          </w:rPr>
                        </m:ctrlPr>
                      </m:naryPr>
                      <m:sub>
                        <m:r>
                          <m:rPr>
                            <m:sty m:val="bi"/>
                          </m:rPr>
                          <w:rPr>
                            <w:rFonts w:ascii="Cambria Math" w:hAnsi="Cambria Math"/>
                            <w:kern w:val="0"/>
                            <w:szCs w:val="21"/>
                            <w:u w:val="single"/>
                          </w:rPr>
                          <m:t>j=1</m:t>
                        </m:r>
                        <m:ctrlPr>
                          <w:rPr>
                            <w:rFonts w:ascii="Cambria Math" w:hAnsi="Cambria Math"/>
                            <w:b/>
                            <w:bCs/>
                            <w:i/>
                            <w:iCs/>
                            <w:kern w:val="0"/>
                            <w:szCs w:val="21"/>
                            <w:u w:val="single"/>
                          </w:rPr>
                        </m:ctrlPr>
                      </m:sub>
                      <m:sup>
                        <m:r>
                          <m:rPr>
                            <m:sty m:val="bi"/>
                          </m:rPr>
                          <w:rPr>
                            <w:rFonts w:ascii="Cambria Math" w:hAnsi="Cambria Math"/>
                            <w:kern w:val="0"/>
                            <w:szCs w:val="21"/>
                            <w:u w:val="single"/>
                          </w:rPr>
                          <m:t>N</m:t>
                        </m:r>
                        <m:ctrlPr>
                          <w:rPr>
                            <w:rFonts w:ascii="Cambria Math" w:hAnsi="Cambria Math"/>
                            <w:b/>
                            <w:bCs/>
                            <w:i/>
                            <w:iCs/>
                            <w:kern w:val="0"/>
                            <w:szCs w:val="21"/>
                            <w:u w:val="single"/>
                          </w:rPr>
                        </m:ctrlPr>
                      </m:sup>
                      <m:e>
                        <m:sSup>
                          <m:sSupPr>
                            <m:ctrlPr>
                              <w:rPr>
                                <w:rFonts w:ascii="Cambria Math" w:hAnsi="Cambria Math"/>
                                <w:b/>
                                <w:bCs/>
                                <w:i/>
                                <w:iCs/>
                                <w:kern w:val="0"/>
                                <w:szCs w:val="21"/>
                                <w:u w:val="single"/>
                              </w:rPr>
                            </m:ctrlPr>
                          </m:sSupPr>
                          <m:e>
                            <m:r>
                              <m:rPr>
                                <m:sty m:val="bi"/>
                              </m:rPr>
                              <w:rPr>
                                <w:rFonts w:ascii="Cambria Math" w:hAnsi="Cambria Math"/>
                                <w:kern w:val="0"/>
                                <w:szCs w:val="21"/>
                                <w:u w:val="single"/>
                              </w:rPr>
                              <m:t>10</m:t>
                            </m:r>
                            <m:ctrlPr>
                              <w:rPr>
                                <w:rFonts w:ascii="Cambria Math" w:hAnsi="Cambria Math"/>
                                <w:b/>
                                <w:bCs/>
                                <w:i/>
                                <w:iCs/>
                                <w:kern w:val="0"/>
                                <w:szCs w:val="21"/>
                                <w:u w:val="single"/>
                              </w:rPr>
                            </m:ctrlPr>
                          </m:e>
                          <m:sup>
                            <m:r>
                              <m:rPr>
                                <m:sty m:val="bi"/>
                              </m:rPr>
                              <w:rPr>
                                <w:rFonts w:ascii="Cambria Math" w:hAnsi="Cambria Math"/>
                                <w:kern w:val="0"/>
                                <w:szCs w:val="21"/>
                                <w:u w:val="single"/>
                              </w:rPr>
                              <m:t>0.1</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p1ij</m:t>
                                </m:r>
                                <m:ctrlPr>
                                  <w:rPr>
                                    <w:rFonts w:ascii="Cambria Math" w:hAnsi="Cambria Math"/>
                                    <w:b/>
                                    <w:bCs/>
                                    <w:i/>
                                    <w:iCs/>
                                    <w:kern w:val="0"/>
                                    <w:szCs w:val="21"/>
                                    <w:u w:val="single"/>
                                  </w:rPr>
                                </m:ctrlPr>
                              </m:sub>
                            </m:sSub>
                            <m:ctrlPr>
                              <w:rPr>
                                <w:rFonts w:ascii="Cambria Math" w:hAnsi="Cambria Math"/>
                                <w:b/>
                                <w:bCs/>
                                <w:i/>
                                <w:iCs/>
                                <w:kern w:val="0"/>
                                <w:szCs w:val="21"/>
                                <w:u w:val="single"/>
                              </w:rPr>
                            </m:ctrlPr>
                          </m:sup>
                        </m:sSup>
                        <m:ctrlPr>
                          <w:rPr>
                            <w:rFonts w:ascii="Cambria Math" w:hAnsi="Cambria Math"/>
                            <w:b/>
                            <w:bCs/>
                            <w:i/>
                            <w:iCs/>
                            <w:kern w:val="0"/>
                            <w:szCs w:val="21"/>
                            <w:u w:val="single"/>
                          </w:rPr>
                        </m:ctrlPr>
                      </m:e>
                    </m:nary>
                    <m:ctrlPr>
                      <w:rPr>
                        <w:rFonts w:ascii="Cambria Math" w:hAnsi="Cambria Math"/>
                        <w:b/>
                        <w:bCs/>
                        <w:i/>
                        <w:iCs/>
                        <w:kern w:val="0"/>
                        <w:szCs w:val="21"/>
                        <w:u w:val="single"/>
                      </w:rPr>
                    </m:ctrlPr>
                  </m:e>
                </m:d>
              </m:oMath>
            </m:oMathPara>
          </w:p>
          <w:p>
            <w:pPr>
              <w:spacing w:line="360" w:lineRule="auto"/>
              <w:ind w:firstLine="422" w:firstLineChars="200"/>
              <w:rPr>
                <w:b/>
                <w:bCs/>
                <w:i/>
                <w:iCs/>
                <w:snapToGrid w:val="0"/>
                <w:u w:val="single"/>
              </w:rPr>
            </w:pPr>
            <w:r>
              <w:rPr>
                <w:b/>
                <w:bCs/>
                <w:i/>
                <w:iCs/>
                <w:snapToGrid w:val="0"/>
                <w:u w:val="single"/>
              </w:rPr>
              <w:t>式中：L</w:t>
            </w:r>
            <w:r>
              <w:rPr>
                <w:b/>
                <w:bCs/>
                <w:i/>
                <w:iCs/>
                <w:snapToGrid w:val="0"/>
                <w:u w:val="single"/>
                <w:vertAlign w:val="subscript"/>
              </w:rPr>
              <w:t>P1</w:t>
            </w:r>
            <w:r>
              <w:rPr>
                <w:rFonts w:hint="eastAsia"/>
                <w:b/>
                <w:bCs/>
                <w:i/>
                <w:iCs/>
                <w:snapToGrid w:val="0"/>
                <w:u w:val="single"/>
                <w:vertAlign w:val="subscript"/>
              </w:rPr>
              <w:t>i</w:t>
            </w:r>
            <w:r>
              <w:rPr>
                <w:rFonts w:hint="eastAsia"/>
                <w:b/>
                <w:bCs/>
                <w:i/>
                <w:iCs/>
                <w:snapToGrid w:val="0"/>
                <w:u w:val="single"/>
              </w:rPr>
              <w:t>（T）—靠近围护结构处室内N个声源i倍频带的叠加声压级</w:t>
            </w:r>
            <w:r>
              <w:rPr>
                <w:b/>
                <w:bCs/>
                <w:i/>
                <w:iCs/>
                <w:snapToGrid w:val="0"/>
                <w:u w:val="single"/>
              </w:rPr>
              <w:t>，dB；</w:t>
            </w:r>
          </w:p>
          <w:p>
            <w:pPr>
              <w:autoSpaceDE w:val="0"/>
              <w:autoSpaceDN w:val="0"/>
              <w:adjustRightInd w:val="0"/>
              <w:spacing w:line="360" w:lineRule="auto"/>
              <w:ind w:firstLine="1054" w:firstLineChars="500"/>
              <w:rPr>
                <w:b/>
                <w:bCs/>
                <w:i/>
                <w:iCs/>
                <w:snapToGrid w:val="0"/>
                <w:u w:val="single"/>
              </w:rPr>
            </w:pPr>
            <w:r>
              <w:rPr>
                <w:b/>
                <w:bCs/>
                <w:i/>
                <w:iCs/>
                <w:kern w:val="0"/>
                <w:szCs w:val="21"/>
                <w:u w:val="single"/>
              </w:rPr>
              <w:t>L</w:t>
            </w:r>
            <w:r>
              <w:rPr>
                <w:b/>
                <w:bCs/>
                <w:i/>
                <w:iCs/>
                <w:kern w:val="0"/>
                <w:szCs w:val="21"/>
                <w:u w:val="single"/>
                <w:vertAlign w:val="subscript"/>
              </w:rPr>
              <w:t>p1ij</w:t>
            </w:r>
            <w:r>
              <w:rPr>
                <w:rFonts w:hint="eastAsia"/>
                <w:b/>
                <w:bCs/>
                <w:i/>
                <w:iCs/>
                <w:kern w:val="0"/>
                <w:szCs w:val="21"/>
                <w:u w:val="single"/>
              </w:rPr>
              <w:t>—室内j声源i倍频带的声压级，</w:t>
            </w:r>
            <w:r>
              <w:rPr>
                <w:b/>
                <w:bCs/>
                <w:i/>
                <w:iCs/>
                <w:snapToGrid w:val="0"/>
                <w:u w:val="single"/>
              </w:rPr>
              <w:t>dB；</w:t>
            </w:r>
          </w:p>
          <w:p>
            <w:pPr>
              <w:autoSpaceDE w:val="0"/>
              <w:autoSpaceDN w:val="0"/>
              <w:adjustRightInd w:val="0"/>
              <w:spacing w:line="360" w:lineRule="auto"/>
              <w:ind w:firstLine="1054" w:firstLineChars="500"/>
              <w:rPr>
                <w:b/>
                <w:bCs/>
                <w:i/>
                <w:iCs/>
                <w:snapToGrid w:val="0"/>
                <w:u w:val="single"/>
              </w:rPr>
            </w:pPr>
            <w:r>
              <w:rPr>
                <w:rFonts w:hint="eastAsia"/>
                <w:b/>
                <w:bCs/>
                <w:i/>
                <w:iCs/>
                <w:snapToGrid w:val="0"/>
                <w:u w:val="single"/>
              </w:rPr>
              <w:t>N—室内声源总数。</w:t>
            </w:r>
          </w:p>
          <w:p>
            <w:pPr>
              <w:autoSpaceDE w:val="0"/>
              <w:autoSpaceDN w:val="0"/>
              <w:adjustRightInd w:val="0"/>
              <w:spacing w:line="360" w:lineRule="auto"/>
              <w:ind w:firstLine="422" w:firstLineChars="200"/>
              <w:rPr>
                <w:b/>
                <w:bCs/>
                <w:i/>
                <w:iCs/>
                <w:kern w:val="0"/>
                <w:szCs w:val="21"/>
                <w:u w:val="single"/>
              </w:rPr>
            </w:pPr>
            <w:r>
              <w:rPr>
                <w:rFonts w:hint="eastAsia"/>
                <w:b/>
                <w:bCs/>
                <w:i/>
                <w:iCs/>
                <w:snapToGrid w:val="0"/>
                <w:u w:val="single"/>
              </w:rPr>
              <w:t>在室内近似为扩散声场时，按下式计算靠近室外维护结构处的声压级：</w:t>
            </w:r>
          </w:p>
          <w:p>
            <w:pPr>
              <w:autoSpaceDE w:val="0"/>
              <w:autoSpaceDN w:val="0"/>
              <w:adjustRightInd w:val="0"/>
              <w:spacing w:line="360" w:lineRule="auto"/>
              <w:ind w:firstLine="422" w:firstLineChars="200"/>
              <w:rPr>
                <w:b/>
                <w:bCs/>
                <w:i/>
                <w:iCs/>
                <w:kern w:val="0"/>
                <w:szCs w:val="21"/>
                <w:u w:val="single"/>
              </w:rPr>
            </w:pPr>
            <m:oMathPara>
              <m:oMath>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p2i</m:t>
                    </m:r>
                    <m:ctrlPr>
                      <w:rPr>
                        <w:rFonts w:ascii="Cambria Math" w:hAnsi="Cambria Math"/>
                        <w:b/>
                        <w:bCs/>
                        <w:i/>
                        <w:iCs/>
                        <w:kern w:val="0"/>
                        <w:szCs w:val="21"/>
                        <w:u w:val="single"/>
                      </w:rPr>
                    </m:ctrlPr>
                  </m:sub>
                </m:sSub>
                <m:d>
                  <m:dPr>
                    <m:ctrlPr>
                      <w:rPr>
                        <w:rFonts w:ascii="Cambria Math" w:hAnsi="Cambria Math"/>
                        <w:b/>
                        <w:bCs/>
                        <w:i/>
                        <w:iCs/>
                        <w:kern w:val="0"/>
                        <w:szCs w:val="21"/>
                        <w:u w:val="single"/>
                      </w:rPr>
                    </m:ctrlPr>
                  </m:dPr>
                  <m:e>
                    <m:r>
                      <m:rPr>
                        <m:sty m:val="bi"/>
                      </m:rPr>
                      <w:rPr>
                        <w:rFonts w:ascii="Cambria Math" w:hAnsi="Cambria Math"/>
                        <w:kern w:val="0"/>
                        <w:szCs w:val="21"/>
                        <w:u w:val="single"/>
                      </w:rPr>
                      <m:t>T</m:t>
                    </m:r>
                    <m:ctrlPr>
                      <w:rPr>
                        <w:rFonts w:ascii="Cambria Math" w:hAnsi="Cambria Math"/>
                        <w:b/>
                        <w:bCs/>
                        <w:i/>
                        <w:iCs/>
                        <w:kern w:val="0"/>
                        <w:szCs w:val="21"/>
                        <w:u w:val="single"/>
                      </w:rPr>
                    </m:ctrlPr>
                  </m:e>
                </m:d>
                <m:r>
                  <m:rPr>
                    <m:sty m:val="bi"/>
                  </m:rPr>
                  <w:rPr>
                    <w:rFonts w:ascii="Cambria Math" w:hAnsi="Cambria Math"/>
                    <w:kern w:val="0"/>
                    <w:szCs w:val="21"/>
                    <w:u w:val="single"/>
                  </w:rPr>
                  <m:t>=</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p1i</m:t>
                    </m:r>
                    <m:ctrlPr>
                      <w:rPr>
                        <w:rFonts w:ascii="Cambria Math" w:hAnsi="Cambria Math"/>
                        <w:b/>
                        <w:bCs/>
                        <w:i/>
                        <w:iCs/>
                        <w:kern w:val="0"/>
                        <w:szCs w:val="21"/>
                        <w:u w:val="single"/>
                      </w:rPr>
                    </m:ctrlPr>
                  </m:sub>
                </m:sSub>
                <m:d>
                  <m:dPr>
                    <m:ctrlPr>
                      <w:rPr>
                        <w:rFonts w:ascii="Cambria Math" w:hAnsi="Cambria Math"/>
                        <w:b/>
                        <w:bCs/>
                        <w:i/>
                        <w:iCs/>
                        <w:kern w:val="0"/>
                        <w:szCs w:val="21"/>
                        <w:u w:val="single"/>
                      </w:rPr>
                    </m:ctrlPr>
                  </m:dPr>
                  <m:e>
                    <m:r>
                      <m:rPr>
                        <m:sty m:val="bi"/>
                      </m:rPr>
                      <w:rPr>
                        <w:rFonts w:ascii="Cambria Math" w:hAnsi="Cambria Math"/>
                        <w:kern w:val="0"/>
                        <w:szCs w:val="21"/>
                        <w:u w:val="single"/>
                      </w:rPr>
                      <m:t>T</m:t>
                    </m:r>
                    <m:ctrlPr>
                      <w:rPr>
                        <w:rFonts w:ascii="Cambria Math" w:hAnsi="Cambria Math"/>
                        <w:b/>
                        <w:bCs/>
                        <w:i/>
                        <w:iCs/>
                        <w:kern w:val="0"/>
                        <w:szCs w:val="21"/>
                        <w:u w:val="single"/>
                      </w:rPr>
                    </m:ctrlPr>
                  </m:e>
                </m:d>
                <m:r>
                  <m:rPr>
                    <m:sty m:val="bi"/>
                  </m:rPr>
                  <w:rPr>
                    <w:rFonts w:ascii="Cambria Math" w:hAnsi="Cambria Math"/>
                    <w:kern w:val="0"/>
                    <w:szCs w:val="21"/>
                    <w:u w:val="single"/>
                  </w:rPr>
                  <m:t>−(T</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i</m:t>
                    </m:r>
                    <m:ctrlPr>
                      <w:rPr>
                        <w:rFonts w:ascii="Cambria Math" w:hAnsi="Cambria Math"/>
                        <w:b/>
                        <w:bCs/>
                        <w:i/>
                        <w:iCs/>
                        <w:kern w:val="0"/>
                        <w:szCs w:val="21"/>
                        <w:u w:val="single"/>
                      </w:rPr>
                    </m:ctrlPr>
                  </m:sub>
                </m:sSub>
                <m:r>
                  <m:rPr>
                    <m:sty m:val="bi"/>
                  </m:rPr>
                  <w:rPr>
                    <w:rFonts w:ascii="Cambria Math" w:hAnsi="Cambria Math"/>
                    <w:kern w:val="0"/>
                    <w:szCs w:val="21"/>
                    <w:u w:val="single"/>
                  </w:rPr>
                  <m:t>+6)</m:t>
                </m:r>
              </m:oMath>
            </m:oMathPara>
          </w:p>
          <w:p>
            <w:pPr>
              <w:spacing w:line="360" w:lineRule="auto"/>
              <w:ind w:firstLine="422" w:firstLineChars="200"/>
              <w:rPr>
                <w:b/>
                <w:bCs/>
                <w:i/>
                <w:iCs/>
                <w:snapToGrid w:val="0"/>
                <w:u w:val="single"/>
              </w:rPr>
            </w:pPr>
            <w:r>
              <w:rPr>
                <w:b/>
                <w:bCs/>
                <w:i/>
                <w:iCs/>
                <w:snapToGrid w:val="0"/>
                <w:u w:val="single"/>
              </w:rPr>
              <w:t>式中：L</w:t>
            </w:r>
            <w:r>
              <w:rPr>
                <w:b/>
                <w:bCs/>
                <w:i/>
                <w:iCs/>
                <w:snapToGrid w:val="0"/>
                <w:u w:val="single"/>
                <w:vertAlign w:val="subscript"/>
              </w:rPr>
              <w:t>P2</w:t>
            </w:r>
            <w:r>
              <w:rPr>
                <w:rFonts w:hint="eastAsia"/>
                <w:b/>
                <w:bCs/>
                <w:i/>
                <w:iCs/>
                <w:snapToGrid w:val="0"/>
                <w:u w:val="single"/>
                <w:vertAlign w:val="subscript"/>
              </w:rPr>
              <w:t>i</w:t>
            </w:r>
            <w:r>
              <w:rPr>
                <w:rFonts w:hint="eastAsia"/>
                <w:b/>
                <w:bCs/>
                <w:i/>
                <w:iCs/>
                <w:snapToGrid w:val="0"/>
                <w:u w:val="single"/>
              </w:rPr>
              <w:t>（T）—靠近围护结构处室内N个声源i倍频带的叠加声压级</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b/>
                <w:bCs/>
                <w:i/>
                <w:iCs/>
                <w:snapToGrid w:val="0"/>
                <w:u w:val="single"/>
              </w:rPr>
              <w:t>L</w:t>
            </w:r>
            <w:r>
              <w:rPr>
                <w:b/>
                <w:bCs/>
                <w:i/>
                <w:iCs/>
                <w:snapToGrid w:val="0"/>
                <w:u w:val="single"/>
                <w:vertAlign w:val="subscript"/>
              </w:rPr>
              <w:t>P1</w:t>
            </w:r>
            <w:r>
              <w:rPr>
                <w:rFonts w:hint="eastAsia"/>
                <w:b/>
                <w:bCs/>
                <w:i/>
                <w:iCs/>
                <w:snapToGrid w:val="0"/>
                <w:u w:val="single"/>
                <w:vertAlign w:val="subscript"/>
              </w:rPr>
              <w:t>i</w:t>
            </w:r>
            <w:r>
              <w:rPr>
                <w:rFonts w:hint="eastAsia"/>
                <w:b/>
                <w:bCs/>
                <w:i/>
                <w:iCs/>
                <w:snapToGrid w:val="0"/>
                <w:u w:val="single"/>
              </w:rPr>
              <w:t>（T）—靠近围护结构处室内N个声源i倍频带的叠加声压级</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b/>
                <w:bCs/>
                <w:i/>
                <w:iCs/>
                <w:kern w:val="0"/>
                <w:szCs w:val="21"/>
                <w:u w:val="single"/>
              </w:rPr>
              <w:t>TL</w:t>
            </w:r>
            <w:r>
              <w:rPr>
                <w:b/>
                <w:bCs/>
                <w:i/>
                <w:iCs/>
                <w:kern w:val="0"/>
                <w:szCs w:val="21"/>
                <w:u w:val="single"/>
                <w:vertAlign w:val="subscript"/>
              </w:rPr>
              <w:t>i</w:t>
            </w:r>
            <w:r>
              <w:rPr>
                <w:rFonts w:hint="eastAsia"/>
                <w:b/>
                <w:bCs/>
                <w:i/>
                <w:iCs/>
                <w:kern w:val="0"/>
                <w:szCs w:val="21"/>
                <w:u w:val="single"/>
              </w:rPr>
              <w:t>—围护结构i倍频带的隔声量，dB。</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然后按下式将室外声源的声压级和透过面积换算成等效的室外声源，计算出中心位置位于透声面积（S）出的等效声源的倍频带声功率级。</w:t>
            </w:r>
          </w:p>
          <w:p>
            <w:pPr>
              <w:autoSpaceDE w:val="0"/>
              <w:autoSpaceDN w:val="0"/>
              <w:adjustRightInd w:val="0"/>
              <w:spacing w:line="360" w:lineRule="auto"/>
              <w:ind w:firstLine="422" w:firstLineChars="200"/>
              <w:rPr>
                <w:b/>
                <w:bCs/>
                <w:i/>
                <w:iCs/>
                <w:kern w:val="0"/>
                <w:szCs w:val="21"/>
                <w:u w:val="single"/>
              </w:rPr>
            </w:pPr>
            <m:oMathPara>
              <m:oMath>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w</m:t>
                    </m:r>
                    <m:ctrlPr>
                      <w:rPr>
                        <w:rFonts w:ascii="Cambria Math" w:hAnsi="Cambria Math"/>
                        <w:b/>
                        <w:bCs/>
                        <w:i/>
                        <w:iCs/>
                        <w:kern w:val="0"/>
                        <w:szCs w:val="21"/>
                        <w:u w:val="single"/>
                      </w:rPr>
                    </m:ctrlPr>
                  </m:sub>
                </m:sSub>
                <m:r>
                  <m:rPr>
                    <m:sty m:val="bi"/>
                  </m:rPr>
                  <w:rPr>
                    <w:rFonts w:ascii="Cambria Math" w:hAnsi="Cambria Math"/>
                    <w:kern w:val="0"/>
                    <w:szCs w:val="21"/>
                    <w:u w:val="single"/>
                  </w:rPr>
                  <m:t>=</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p2</m:t>
                    </m:r>
                    <m:ctrlPr>
                      <w:rPr>
                        <w:rFonts w:ascii="Cambria Math" w:hAnsi="Cambria Math"/>
                        <w:b/>
                        <w:bCs/>
                        <w:i/>
                        <w:iCs/>
                        <w:kern w:val="0"/>
                        <w:szCs w:val="21"/>
                        <w:u w:val="single"/>
                      </w:rPr>
                    </m:ctrlPr>
                  </m:sub>
                </m:sSub>
                <m:d>
                  <m:dPr>
                    <m:ctrlPr>
                      <w:rPr>
                        <w:rFonts w:ascii="Cambria Math" w:hAnsi="Cambria Math"/>
                        <w:b/>
                        <w:bCs/>
                        <w:i/>
                        <w:iCs/>
                        <w:kern w:val="0"/>
                        <w:szCs w:val="21"/>
                        <w:u w:val="single"/>
                      </w:rPr>
                    </m:ctrlPr>
                  </m:dPr>
                  <m:e>
                    <m:r>
                      <m:rPr>
                        <m:sty m:val="bi"/>
                      </m:rPr>
                      <w:rPr>
                        <w:rFonts w:ascii="Cambria Math" w:hAnsi="Cambria Math"/>
                        <w:kern w:val="0"/>
                        <w:szCs w:val="21"/>
                        <w:u w:val="single"/>
                      </w:rPr>
                      <m:t>T</m:t>
                    </m:r>
                    <m:ctrlPr>
                      <w:rPr>
                        <w:rFonts w:ascii="Cambria Math" w:hAnsi="Cambria Math"/>
                        <w:b/>
                        <w:bCs/>
                        <w:i/>
                        <w:iCs/>
                        <w:kern w:val="0"/>
                        <w:szCs w:val="21"/>
                        <w:u w:val="single"/>
                      </w:rPr>
                    </m:ctrlPr>
                  </m:e>
                </m:d>
                <m:r>
                  <m:rPr>
                    <m:sty m:val="bi"/>
                  </m:rPr>
                  <w:rPr>
                    <w:rFonts w:ascii="Cambria Math" w:hAnsi="Cambria Math"/>
                    <w:kern w:val="0"/>
                    <w:szCs w:val="21"/>
                    <w:u w:val="single"/>
                  </w:rPr>
                  <m:t>+10lgS</m:t>
                </m:r>
              </m:oMath>
            </m:oMathPara>
          </w:p>
          <w:p>
            <w:pPr>
              <w:spacing w:line="360" w:lineRule="auto"/>
              <w:ind w:firstLine="422" w:firstLineChars="200"/>
              <w:rPr>
                <w:b/>
                <w:bCs/>
                <w:i/>
                <w:iCs/>
                <w:snapToGrid w:val="0"/>
                <w:u w:val="single"/>
              </w:rPr>
            </w:pPr>
            <w:r>
              <w:rPr>
                <w:b/>
                <w:bCs/>
                <w:i/>
                <w:iCs/>
                <w:snapToGrid w:val="0"/>
                <w:u w:val="single"/>
              </w:rPr>
              <w:t>式中：L</w:t>
            </w:r>
            <w:r>
              <w:rPr>
                <w:b/>
                <w:bCs/>
                <w:i/>
                <w:iCs/>
                <w:snapToGrid w:val="0"/>
                <w:u w:val="single"/>
                <w:vertAlign w:val="subscript"/>
              </w:rPr>
              <w:t>w</w:t>
            </w:r>
            <w:r>
              <w:rPr>
                <w:rFonts w:hint="eastAsia"/>
                <w:b/>
                <w:bCs/>
                <w:i/>
                <w:iCs/>
                <w:snapToGrid w:val="0"/>
                <w:u w:val="single"/>
              </w:rPr>
              <w:t>—中心位置位于透声面积（S）处的等效声源的倍频带声功率级</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b/>
                <w:bCs/>
                <w:i/>
                <w:iCs/>
                <w:kern w:val="0"/>
                <w:szCs w:val="21"/>
                <w:u w:val="single"/>
              </w:rPr>
              <w:t>L</w:t>
            </w:r>
            <w:r>
              <w:rPr>
                <w:rFonts w:hint="eastAsia"/>
                <w:b/>
                <w:bCs/>
                <w:i/>
                <w:iCs/>
                <w:kern w:val="0"/>
                <w:szCs w:val="21"/>
                <w:u w:val="single"/>
                <w:vertAlign w:val="subscript"/>
              </w:rPr>
              <w:t>p</w:t>
            </w:r>
            <w:r>
              <w:rPr>
                <w:b/>
                <w:bCs/>
                <w:i/>
                <w:iCs/>
                <w:kern w:val="0"/>
                <w:szCs w:val="21"/>
                <w:u w:val="single"/>
                <w:vertAlign w:val="subscript"/>
              </w:rPr>
              <w:t>2</w:t>
            </w:r>
            <w:r>
              <w:rPr>
                <w:b/>
                <w:bCs/>
                <w:i/>
                <w:iCs/>
                <w:kern w:val="0"/>
                <w:szCs w:val="21"/>
                <w:u w:val="single"/>
              </w:rPr>
              <w:t>(T)</w:t>
            </w:r>
            <w:r>
              <w:rPr>
                <w:rFonts w:hint="eastAsia"/>
                <w:b/>
                <w:bCs/>
                <w:i/>
                <w:iCs/>
                <w:kern w:val="0"/>
                <w:szCs w:val="21"/>
                <w:u w:val="single"/>
              </w:rPr>
              <w:t>—靠近围护结构处室外声源的声压级，dB；</w:t>
            </w:r>
          </w:p>
          <w:p>
            <w:pPr>
              <w:autoSpaceDE w:val="0"/>
              <w:autoSpaceDN w:val="0"/>
              <w:adjustRightInd w:val="0"/>
              <w:spacing w:line="360" w:lineRule="auto"/>
              <w:ind w:firstLine="1054" w:firstLineChars="500"/>
              <w:rPr>
                <w:b/>
                <w:bCs/>
                <w:i/>
                <w:iCs/>
                <w:kern w:val="0"/>
                <w:szCs w:val="21"/>
                <w:u w:val="single"/>
              </w:rPr>
            </w:pPr>
            <w:r>
              <w:rPr>
                <w:rFonts w:hint="eastAsia"/>
                <w:b/>
                <w:bCs/>
                <w:i/>
                <w:iCs/>
                <w:kern w:val="0"/>
                <w:szCs w:val="21"/>
                <w:u w:val="single"/>
              </w:rPr>
              <w:t>S—透声面积，m</w:t>
            </w:r>
            <w:r>
              <w:rPr>
                <w:b/>
                <w:bCs/>
                <w:i/>
                <w:iCs/>
                <w:kern w:val="0"/>
                <w:szCs w:val="21"/>
                <w:u w:val="single"/>
                <w:vertAlign w:val="superscript"/>
              </w:rPr>
              <w:t>2</w:t>
            </w:r>
            <w:r>
              <w:rPr>
                <w:rFonts w:hint="eastAsia"/>
                <w:b/>
                <w:bCs/>
                <w:i/>
                <w:iCs/>
                <w:kern w:val="0"/>
                <w:szCs w:val="21"/>
                <w:u w:val="single"/>
              </w:rPr>
              <w:t>。</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然后按照室外声源预测方法计算预测点处的A声级。</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（2）靠近声源处的预测点噪声预测模型</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如预测点在靠近声源处，但不能满足点声源条件时，需按线声源或面声源模型计算。</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（3）工业企业噪声计算</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设第i个室外声源在预测点产生的A声级为L</w:t>
            </w:r>
            <w:r>
              <w:rPr>
                <w:b/>
                <w:bCs/>
                <w:i/>
                <w:iCs/>
                <w:kern w:val="0"/>
                <w:szCs w:val="21"/>
                <w:u w:val="single"/>
                <w:vertAlign w:val="subscript"/>
              </w:rPr>
              <w:t>A</w:t>
            </w:r>
            <w:r>
              <w:rPr>
                <w:rFonts w:hint="eastAsia"/>
                <w:b/>
                <w:bCs/>
                <w:i/>
                <w:iCs/>
                <w:kern w:val="0"/>
                <w:szCs w:val="21"/>
                <w:u w:val="single"/>
                <w:vertAlign w:val="subscript"/>
              </w:rPr>
              <w:t>i</w:t>
            </w:r>
            <w:r>
              <w:rPr>
                <w:rFonts w:hint="eastAsia"/>
                <w:b/>
                <w:bCs/>
                <w:i/>
                <w:iCs/>
                <w:kern w:val="0"/>
                <w:szCs w:val="21"/>
                <w:u w:val="single"/>
              </w:rPr>
              <w:t>，在T时间内该声源工作时间为t</w:t>
            </w:r>
            <w:r>
              <w:rPr>
                <w:rFonts w:hint="eastAsia"/>
                <w:b/>
                <w:bCs/>
                <w:i/>
                <w:iCs/>
                <w:kern w:val="0"/>
                <w:szCs w:val="21"/>
                <w:u w:val="single"/>
                <w:vertAlign w:val="subscript"/>
              </w:rPr>
              <w:t>i</w:t>
            </w:r>
            <w:r>
              <w:rPr>
                <w:rFonts w:hint="eastAsia"/>
                <w:b/>
                <w:bCs/>
                <w:i/>
                <w:iCs/>
                <w:kern w:val="0"/>
                <w:szCs w:val="21"/>
                <w:u w:val="single"/>
              </w:rPr>
              <w:t>，第j个等效室外声源在预测点产生的A声级为L</w:t>
            </w:r>
            <w:r>
              <w:rPr>
                <w:b/>
                <w:bCs/>
                <w:i/>
                <w:iCs/>
                <w:kern w:val="0"/>
                <w:szCs w:val="21"/>
                <w:u w:val="single"/>
                <w:vertAlign w:val="subscript"/>
              </w:rPr>
              <w:t>A</w:t>
            </w:r>
            <w:r>
              <w:rPr>
                <w:rFonts w:hint="eastAsia"/>
                <w:b/>
                <w:bCs/>
                <w:i/>
                <w:iCs/>
                <w:kern w:val="0"/>
                <w:szCs w:val="21"/>
                <w:u w:val="single"/>
                <w:vertAlign w:val="subscript"/>
              </w:rPr>
              <w:t>j</w:t>
            </w:r>
            <w:r>
              <w:rPr>
                <w:rFonts w:hint="eastAsia"/>
                <w:b/>
                <w:bCs/>
                <w:i/>
                <w:iCs/>
                <w:kern w:val="0"/>
                <w:szCs w:val="21"/>
                <w:u w:val="single"/>
              </w:rPr>
              <w:t>，在T时间内该声源工作时间为t</w:t>
            </w:r>
            <w:r>
              <w:rPr>
                <w:rFonts w:hint="eastAsia"/>
                <w:b/>
                <w:bCs/>
                <w:i/>
                <w:iCs/>
                <w:kern w:val="0"/>
                <w:szCs w:val="21"/>
                <w:u w:val="single"/>
                <w:vertAlign w:val="subscript"/>
              </w:rPr>
              <w:t>j</w:t>
            </w:r>
            <w:r>
              <w:rPr>
                <w:rFonts w:hint="eastAsia"/>
                <w:b/>
                <w:bCs/>
                <w:i/>
                <w:iCs/>
                <w:kern w:val="0"/>
                <w:szCs w:val="21"/>
                <w:u w:val="single"/>
              </w:rPr>
              <w:t>，则拟建工程声源对预测点产生的贡献值（L</w:t>
            </w:r>
            <w:r>
              <w:rPr>
                <w:rFonts w:hint="eastAsia"/>
                <w:b/>
                <w:bCs/>
                <w:i/>
                <w:iCs/>
                <w:kern w:val="0"/>
                <w:szCs w:val="21"/>
                <w:u w:val="single"/>
                <w:vertAlign w:val="subscript"/>
              </w:rPr>
              <w:t>eqg</w:t>
            </w:r>
            <w:r>
              <w:rPr>
                <w:rFonts w:hint="eastAsia"/>
                <w:b/>
                <w:bCs/>
                <w:i/>
                <w:iCs/>
                <w:kern w:val="0"/>
                <w:szCs w:val="21"/>
                <w:u w:val="single"/>
              </w:rPr>
              <w:t>）为。</w:t>
            </w:r>
          </w:p>
          <w:p>
            <w:pPr>
              <w:autoSpaceDE w:val="0"/>
              <w:autoSpaceDN w:val="0"/>
              <w:adjustRightInd w:val="0"/>
              <w:spacing w:line="360" w:lineRule="auto"/>
              <w:ind w:firstLine="422" w:firstLineChars="200"/>
              <w:rPr>
                <w:b/>
                <w:bCs/>
                <w:i/>
                <w:iCs/>
                <w:kern w:val="0"/>
                <w:szCs w:val="21"/>
                <w:u w:val="single"/>
              </w:rPr>
            </w:pPr>
            <m:oMathPara>
              <m:oMath>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e</m:t>
                    </m:r>
                    <m:r>
                      <m:rPr>
                        <m:sty m:val="bi"/>
                      </m:rPr>
                      <w:rPr>
                        <w:rFonts w:hint="eastAsia" w:ascii="Cambria Math" w:hAnsi="Cambria Math"/>
                        <w:kern w:val="0"/>
                        <w:szCs w:val="21"/>
                        <w:u w:val="single"/>
                      </w:rPr>
                      <m:t>qg</m:t>
                    </m:r>
                    <m:ctrlPr>
                      <w:rPr>
                        <w:rFonts w:ascii="Cambria Math" w:hAnsi="Cambria Math"/>
                        <w:b/>
                        <w:bCs/>
                        <w:i/>
                        <w:iCs/>
                        <w:kern w:val="0"/>
                        <w:szCs w:val="21"/>
                        <w:u w:val="single"/>
                      </w:rPr>
                    </m:ctrlPr>
                  </m:sub>
                </m:sSub>
                <m:r>
                  <m:rPr>
                    <m:sty m:val="bi"/>
                  </m:rPr>
                  <w:rPr>
                    <w:rFonts w:ascii="Cambria Math" w:hAnsi="Cambria Math"/>
                    <w:kern w:val="0"/>
                    <w:szCs w:val="21"/>
                    <w:u w:val="single"/>
                  </w:rPr>
                  <m:t>=10lg</m:t>
                </m:r>
                <m:d>
                  <m:dPr>
                    <m:begChr m:val="["/>
                    <m:endChr m:val="]"/>
                    <m:ctrlPr>
                      <w:rPr>
                        <w:rFonts w:ascii="Cambria Math" w:hAnsi="Cambria Math"/>
                        <w:b/>
                        <w:bCs/>
                        <w:i/>
                        <w:iCs/>
                        <w:kern w:val="0"/>
                        <w:szCs w:val="21"/>
                        <w:u w:val="single"/>
                      </w:rPr>
                    </m:ctrlPr>
                  </m:dPr>
                  <m:e>
                    <m:f>
                      <m:fPr>
                        <m:ctrlPr>
                          <w:rPr>
                            <w:rFonts w:ascii="Cambria Math" w:hAnsi="Cambria Math"/>
                            <w:b/>
                            <w:bCs/>
                            <w:i/>
                            <w:iCs/>
                            <w:kern w:val="0"/>
                            <w:szCs w:val="21"/>
                            <w:u w:val="single"/>
                          </w:rPr>
                        </m:ctrlPr>
                      </m:fPr>
                      <m:num>
                        <m:r>
                          <m:rPr>
                            <m:sty m:val="bi"/>
                          </m:rPr>
                          <w:rPr>
                            <w:rFonts w:ascii="Cambria Math" w:hAnsi="Cambria Math"/>
                            <w:kern w:val="0"/>
                            <w:szCs w:val="21"/>
                            <w:u w:val="single"/>
                          </w:rPr>
                          <m:t>1</m:t>
                        </m:r>
                        <m:ctrlPr>
                          <w:rPr>
                            <w:rFonts w:ascii="Cambria Math" w:hAnsi="Cambria Math"/>
                            <w:b/>
                            <w:bCs/>
                            <w:i/>
                            <w:iCs/>
                            <w:kern w:val="0"/>
                            <w:szCs w:val="21"/>
                            <w:u w:val="single"/>
                          </w:rPr>
                        </m:ctrlPr>
                      </m:num>
                      <m:den>
                        <m:r>
                          <m:rPr>
                            <m:sty m:val="bi"/>
                          </m:rPr>
                          <w:rPr>
                            <w:rFonts w:ascii="Cambria Math" w:hAnsi="Cambria Math"/>
                            <w:kern w:val="0"/>
                            <w:szCs w:val="21"/>
                            <w:u w:val="single"/>
                          </w:rPr>
                          <m:t>T</m:t>
                        </m:r>
                        <m:ctrlPr>
                          <w:rPr>
                            <w:rFonts w:ascii="Cambria Math" w:hAnsi="Cambria Math"/>
                            <w:b/>
                            <w:bCs/>
                            <w:i/>
                            <w:iCs/>
                            <w:kern w:val="0"/>
                            <w:szCs w:val="21"/>
                            <w:u w:val="single"/>
                          </w:rPr>
                        </m:ctrlPr>
                      </m:den>
                    </m:f>
                    <m:d>
                      <m:dPr>
                        <m:ctrlPr>
                          <w:rPr>
                            <w:rFonts w:ascii="Cambria Math" w:hAnsi="Cambria Math"/>
                            <w:b/>
                            <w:bCs/>
                            <w:i/>
                            <w:iCs/>
                            <w:kern w:val="0"/>
                            <w:szCs w:val="21"/>
                            <w:u w:val="single"/>
                          </w:rPr>
                        </m:ctrlPr>
                      </m:dPr>
                      <m:e>
                        <m:nary>
                          <m:naryPr>
                            <m:chr m:val="∑"/>
                            <m:limLoc m:val="undOvr"/>
                            <m:ctrlPr>
                              <w:rPr>
                                <w:rFonts w:ascii="Cambria Math" w:hAnsi="Cambria Math"/>
                                <w:b/>
                                <w:bCs/>
                                <w:i/>
                                <w:iCs/>
                                <w:kern w:val="0"/>
                                <w:szCs w:val="21"/>
                                <w:u w:val="single"/>
                              </w:rPr>
                            </m:ctrlPr>
                          </m:naryPr>
                          <m:sub>
                            <m:r>
                              <m:rPr>
                                <m:sty m:val="bi"/>
                              </m:rPr>
                              <w:rPr>
                                <w:rFonts w:ascii="Cambria Math" w:hAnsi="Cambria Math"/>
                                <w:kern w:val="0"/>
                                <w:szCs w:val="21"/>
                                <w:u w:val="single"/>
                              </w:rPr>
                              <m:t>i=1</m:t>
                            </m:r>
                            <m:ctrlPr>
                              <w:rPr>
                                <w:rFonts w:ascii="Cambria Math" w:hAnsi="Cambria Math"/>
                                <w:b/>
                                <w:bCs/>
                                <w:i/>
                                <w:iCs/>
                                <w:kern w:val="0"/>
                                <w:szCs w:val="21"/>
                                <w:u w:val="single"/>
                              </w:rPr>
                            </m:ctrlPr>
                          </m:sub>
                          <m:sup>
                            <m:r>
                              <m:rPr>
                                <m:sty m:val="bi"/>
                              </m:rPr>
                              <w:rPr>
                                <w:rFonts w:ascii="Cambria Math" w:hAnsi="Cambria Math"/>
                                <w:kern w:val="0"/>
                                <w:szCs w:val="21"/>
                                <w:u w:val="single"/>
                              </w:rPr>
                              <m:t>N</m:t>
                            </m:r>
                            <m:ctrlPr>
                              <w:rPr>
                                <w:rFonts w:ascii="Cambria Math" w:hAnsi="Cambria Math"/>
                                <w:b/>
                                <w:bCs/>
                                <w:i/>
                                <w:iCs/>
                                <w:kern w:val="0"/>
                                <w:szCs w:val="21"/>
                                <w:u w:val="single"/>
                              </w:rPr>
                            </m:ctrlPr>
                          </m:sup>
                          <m:e>
                            <m:sSub>
                              <m:sSubPr>
                                <m:ctrlPr>
                                  <w:rPr>
                                    <w:rFonts w:ascii="Cambria Math" w:hAnsi="Cambria Math"/>
                                    <w:b/>
                                    <w:bCs/>
                                    <w:i/>
                                    <w:iCs/>
                                    <w:kern w:val="0"/>
                                    <w:szCs w:val="21"/>
                                    <w:u w:val="single"/>
                                  </w:rPr>
                                </m:ctrlPr>
                              </m:sSubPr>
                              <m:e>
                                <m:r>
                                  <m:rPr>
                                    <m:sty m:val="bi"/>
                                  </m:rPr>
                                  <w:rPr>
                                    <w:rFonts w:ascii="Cambria Math" w:hAnsi="Cambria Math"/>
                                    <w:kern w:val="0"/>
                                    <w:szCs w:val="21"/>
                                    <w:u w:val="single"/>
                                  </w:rPr>
                                  <m:t>t</m:t>
                                </m:r>
                                <m:ctrlPr>
                                  <w:rPr>
                                    <w:rFonts w:ascii="Cambria Math" w:hAnsi="Cambria Math"/>
                                    <w:b/>
                                    <w:bCs/>
                                    <w:i/>
                                    <w:iCs/>
                                    <w:kern w:val="0"/>
                                    <w:szCs w:val="21"/>
                                    <w:u w:val="single"/>
                                  </w:rPr>
                                </m:ctrlPr>
                              </m:e>
                              <m:sub>
                                <m:r>
                                  <m:rPr>
                                    <m:sty m:val="bi"/>
                                  </m:rPr>
                                  <w:rPr>
                                    <w:rFonts w:ascii="Cambria Math" w:hAnsi="Cambria Math"/>
                                    <w:kern w:val="0"/>
                                    <w:szCs w:val="21"/>
                                    <w:u w:val="single"/>
                                  </w:rPr>
                                  <m:t>i</m:t>
                                </m:r>
                                <m:ctrlPr>
                                  <w:rPr>
                                    <w:rFonts w:ascii="Cambria Math" w:hAnsi="Cambria Math"/>
                                    <w:b/>
                                    <w:bCs/>
                                    <w:i/>
                                    <w:iCs/>
                                    <w:kern w:val="0"/>
                                    <w:szCs w:val="21"/>
                                    <w:u w:val="single"/>
                                  </w:rPr>
                                </m:ctrlPr>
                              </m:sub>
                            </m:sSub>
                            <m:sSup>
                              <m:sSupPr>
                                <m:ctrlPr>
                                  <w:rPr>
                                    <w:rFonts w:ascii="Cambria Math" w:hAnsi="Cambria Math"/>
                                    <w:b/>
                                    <w:bCs/>
                                    <w:i/>
                                    <w:iCs/>
                                    <w:kern w:val="0"/>
                                    <w:szCs w:val="21"/>
                                    <w:u w:val="single"/>
                                  </w:rPr>
                                </m:ctrlPr>
                              </m:sSupPr>
                              <m:e>
                                <m:r>
                                  <m:rPr>
                                    <m:sty m:val="bi"/>
                                  </m:rPr>
                                  <w:rPr>
                                    <w:rFonts w:ascii="Cambria Math" w:hAnsi="Cambria Math"/>
                                    <w:kern w:val="0"/>
                                    <w:szCs w:val="21"/>
                                    <w:u w:val="single"/>
                                  </w:rPr>
                                  <m:t>10</m:t>
                                </m:r>
                                <m:ctrlPr>
                                  <w:rPr>
                                    <w:rFonts w:ascii="Cambria Math" w:hAnsi="Cambria Math"/>
                                    <w:b/>
                                    <w:bCs/>
                                    <w:i/>
                                    <w:iCs/>
                                    <w:kern w:val="0"/>
                                    <w:szCs w:val="21"/>
                                    <w:u w:val="single"/>
                                  </w:rPr>
                                </m:ctrlPr>
                              </m:e>
                              <m:sup>
                                <m:r>
                                  <m:rPr>
                                    <m:sty m:val="bi"/>
                                  </m:rPr>
                                  <w:rPr>
                                    <w:rFonts w:ascii="Cambria Math" w:hAnsi="Cambria Math"/>
                                    <w:kern w:val="0"/>
                                    <w:szCs w:val="21"/>
                                    <w:u w:val="single"/>
                                  </w:rPr>
                                  <m:t>0.1</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Ai</m:t>
                                    </m:r>
                                    <m:ctrlPr>
                                      <w:rPr>
                                        <w:rFonts w:ascii="Cambria Math" w:hAnsi="Cambria Math"/>
                                        <w:b/>
                                        <w:bCs/>
                                        <w:i/>
                                        <w:iCs/>
                                        <w:kern w:val="0"/>
                                        <w:szCs w:val="21"/>
                                        <w:u w:val="single"/>
                                      </w:rPr>
                                    </m:ctrlPr>
                                  </m:sub>
                                </m:sSub>
                                <m:ctrlPr>
                                  <w:rPr>
                                    <w:rFonts w:ascii="Cambria Math" w:hAnsi="Cambria Math"/>
                                    <w:b/>
                                    <w:bCs/>
                                    <w:i/>
                                    <w:iCs/>
                                    <w:kern w:val="0"/>
                                    <w:szCs w:val="21"/>
                                    <w:u w:val="single"/>
                                  </w:rPr>
                                </m:ctrlPr>
                              </m:sup>
                            </m:sSup>
                            <m:r>
                              <m:rPr>
                                <m:sty m:val="bi"/>
                              </m:rPr>
                              <w:rPr>
                                <w:rFonts w:ascii="Cambria Math" w:hAnsi="Cambria Math"/>
                                <w:kern w:val="0"/>
                                <w:szCs w:val="21"/>
                                <w:u w:val="single"/>
                              </w:rPr>
                              <m:t>+</m:t>
                            </m:r>
                            <m:nary>
                              <m:naryPr>
                                <m:chr m:val="∑"/>
                                <m:limLoc m:val="undOvr"/>
                                <m:ctrlPr>
                                  <w:rPr>
                                    <w:rFonts w:ascii="Cambria Math" w:hAnsi="Cambria Math"/>
                                    <w:b/>
                                    <w:bCs/>
                                    <w:i/>
                                    <w:iCs/>
                                    <w:kern w:val="0"/>
                                    <w:szCs w:val="21"/>
                                    <w:u w:val="single"/>
                                  </w:rPr>
                                </m:ctrlPr>
                              </m:naryPr>
                              <m:sub>
                                <m:r>
                                  <m:rPr>
                                    <m:sty m:val="bi"/>
                                  </m:rPr>
                                  <w:rPr>
                                    <w:rFonts w:ascii="Cambria Math" w:hAnsi="Cambria Math"/>
                                    <w:kern w:val="0"/>
                                    <w:szCs w:val="21"/>
                                    <w:u w:val="single"/>
                                  </w:rPr>
                                  <m:t>j</m:t>
                                </m:r>
                                <m:ctrlPr>
                                  <w:rPr>
                                    <w:rFonts w:ascii="Cambria Math" w:hAnsi="Cambria Math"/>
                                    <w:b/>
                                    <w:bCs/>
                                    <w:i/>
                                    <w:iCs/>
                                    <w:kern w:val="0"/>
                                    <w:szCs w:val="21"/>
                                    <w:u w:val="single"/>
                                  </w:rPr>
                                </m:ctrlPr>
                              </m:sub>
                              <m:sup>
                                <m:r>
                                  <m:rPr>
                                    <m:sty m:val="bi"/>
                                  </m:rPr>
                                  <w:rPr>
                                    <w:rFonts w:ascii="Cambria Math" w:hAnsi="Cambria Math"/>
                                    <w:kern w:val="0"/>
                                    <w:szCs w:val="21"/>
                                    <w:u w:val="single"/>
                                  </w:rPr>
                                  <m:t>M</m:t>
                                </m:r>
                                <m:ctrlPr>
                                  <w:rPr>
                                    <w:rFonts w:ascii="Cambria Math" w:hAnsi="Cambria Math"/>
                                    <w:b/>
                                    <w:bCs/>
                                    <w:i/>
                                    <w:iCs/>
                                    <w:kern w:val="0"/>
                                    <w:szCs w:val="21"/>
                                    <w:u w:val="single"/>
                                  </w:rPr>
                                </m:ctrlPr>
                              </m:sup>
                              <m:e>
                                <m:sSub>
                                  <m:sSubPr>
                                    <m:ctrlPr>
                                      <w:rPr>
                                        <w:rFonts w:ascii="Cambria Math" w:hAnsi="Cambria Math"/>
                                        <w:b/>
                                        <w:bCs/>
                                        <w:i/>
                                        <w:iCs/>
                                        <w:kern w:val="0"/>
                                        <w:szCs w:val="21"/>
                                        <w:u w:val="single"/>
                                      </w:rPr>
                                    </m:ctrlPr>
                                  </m:sSubPr>
                                  <m:e>
                                    <m:r>
                                      <m:rPr>
                                        <m:sty m:val="bi"/>
                                      </m:rPr>
                                      <w:rPr>
                                        <w:rFonts w:ascii="Cambria Math" w:hAnsi="Cambria Math"/>
                                        <w:kern w:val="0"/>
                                        <w:szCs w:val="21"/>
                                        <w:u w:val="single"/>
                                      </w:rPr>
                                      <m:t>t</m:t>
                                    </m:r>
                                    <m:ctrlPr>
                                      <w:rPr>
                                        <w:rFonts w:ascii="Cambria Math" w:hAnsi="Cambria Math"/>
                                        <w:b/>
                                        <w:bCs/>
                                        <w:i/>
                                        <w:iCs/>
                                        <w:kern w:val="0"/>
                                        <w:szCs w:val="21"/>
                                        <w:u w:val="single"/>
                                      </w:rPr>
                                    </m:ctrlPr>
                                  </m:e>
                                  <m:sub>
                                    <m:r>
                                      <m:rPr>
                                        <m:sty m:val="bi"/>
                                      </m:rPr>
                                      <w:rPr>
                                        <w:rFonts w:ascii="Cambria Math" w:hAnsi="Cambria Math"/>
                                        <w:kern w:val="0"/>
                                        <w:szCs w:val="21"/>
                                        <w:u w:val="single"/>
                                      </w:rPr>
                                      <m:t>j</m:t>
                                    </m:r>
                                    <m:ctrlPr>
                                      <w:rPr>
                                        <w:rFonts w:ascii="Cambria Math" w:hAnsi="Cambria Math"/>
                                        <w:b/>
                                        <w:bCs/>
                                        <w:i/>
                                        <w:iCs/>
                                        <w:kern w:val="0"/>
                                        <w:szCs w:val="21"/>
                                        <w:u w:val="single"/>
                                      </w:rPr>
                                    </m:ctrlPr>
                                  </m:sub>
                                </m:sSub>
                                <m:sSup>
                                  <m:sSupPr>
                                    <m:ctrlPr>
                                      <w:rPr>
                                        <w:rFonts w:ascii="Cambria Math" w:hAnsi="Cambria Math"/>
                                        <w:b/>
                                        <w:bCs/>
                                        <w:i/>
                                        <w:iCs/>
                                        <w:kern w:val="0"/>
                                        <w:szCs w:val="21"/>
                                        <w:u w:val="single"/>
                                      </w:rPr>
                                    </m:ctrlPr>
                                  </m:sSupPr>
                                  <m:e>
                                    <m:r>
                                      <m:rPr>
                                        <m:sty m:val="bi"/>
                                      </m:rPr>
                                      <w:rPr>
                                        <w:rFonts w:ascii="Cambria Math" w:hAnsi="Cambria Math"/>
                                        <w:kern w:val="0"/>
                                        <w:szCs w:val="21"/>
                                        <w:u w:val="single"/>
                                      </w:rPr>
                                      <m:t>10</m:t>
                                    </m:r>
                                    <m:ctrlPr>
                                      <w:rPr>
                                        <w:rFonts w:ascii="Cambria Math" w:hAnsi="Cambria Math"/>
                                        <w:b/>
                                        <w:bCs/>
                                        <w:i/>
                                        <w:iCs/>
                                        <w:kern w:val="0"/>
                                        <w:szCs w:val="21"/>
                                        <w:u w:val="single"/>
                                      </w:rPr>
                                    </m:ctrlPr>
                                  </m:e>
                                  <m:sup>
                                    <m:r>
                                      <m:rPr>
                                        <m:sty m:val="bi"/>
                                      </m:rPr>
                                      <w:rPr>
                                        <w:rFonts w:ascii="Cambria Math" w:hAnsi="Cambria Math"/>
                                        <w:kern w:val="0"/>
                                        <w:szCs w:val="21"/>
                                        <w:u w:val="single"/>
                                      </w:rPr>
                                      <m:t>0.1</m:t>
                                    </m:r>
                                    <m:sSub>
                                      <m:sSubPr>
                                        <m:ctrlPr>
                                          <w:rPr>
                                            <w:rFonts w:ascii="Cambria Math" w:hAnsi="Cambria Math"/>
                                            <w:b/>
                                            <w:bCs/>
                                            <w:i/>
                                            <w:iCs/>
                                            <w:kern w:val="0"/>
                                            <w:szCs w:val="21"/>
                                            <w:u w:val="single"/>
                                          </w:rPr>
                                        </m:ctrlPr>
                                      </m:sSubPr>
                                      <m:e>
                                        <m:r>
                                          <m:rPr>
                                            <m:sty m:val="bi"/>
                                          </m:rPr>
                                          <w:rPr>
                                            <w:rFonts w:ascii="Cambria Math" w:hAnsi="Cambria Math"/>
                                            <w:kern w:val="0"/>
                                            <w:szCs w:val="21"/>
                                            <w:u w:val="single"/>
                                          </w:rPr>
                                          <m:t>L</m:t>
                                        </m:r>
                                        <m:ctrlPr>
                                          <w:rPr>
                                            <w:rFonts w:ascii="Cambria Math" w:hAnsi="Cambria Math"/>
                                            <w:b/>
                                            <w:bCs/>
                                            <w:i/>
                                            <w:iCs/>
                                            <w:kern w:val="0"/>
                                            <w:szCs w:val="21"/>
                                            <w:u w:val="single"/>
                                          </w:rPr>
                                        </m:ctrlPr>
                                      </m:e>
                                      <m:sub>
                                        <m:r>
                                          <m:rPr>
                                            <m:sty m:val="bi"/>
                                          </m:rPr>
                                          <w:rPr>
                                            <w:rFonts w:ascii="Cambria Math" w:hAnsi="Cambria Math"/>
                                            <w:kern w:val="0"/>
                                            <w:szCs w:val="21"/>
                                            <w:u w:val="single"/>
                                          </w:rPr>
                                          <m:t>Aj</m:t>
                                        </m:r>
                                        <m:ctrlPr>
                                          <w:rPr>
                                            <w:rFonts w:ascii="Cambria Math" w:hAnsi="Cambria Math"/>
                                            <w:b/>
                                            <w:bCs/>
                                            <w:i/>
                                            <w:iCs/>
                                            <w:kern w:val="0"/>
                                            <w:szCs w:val="21"/>
                                            <w:u w:val="single"/>
                                          </w:rPr>
                                        </m:ctrlPr>
                                      </m:sub>
                                    </m:sSub>
                                    <m:ctrlPr>
                                      <w:rPr>
                                        <w:rFonts w:ascii="Cambria Math" w:hAnsi="Cambria Math"/>
                                        <w:b/>
                                        <w:bCs/>
                                        <w:i/>
                                        <w:iCs/>
                                        <w:kern w:val="0"/>
                                        <w:szCs w:val="21"/>
                                        <w:u w:val="single"/>
                                      </w:rPr>
                                    </m:ctrlPr>
                                  </m:sup>
                                </m:sSup>
                                <m:ctrlPr>
                                  <w:rPr>
                                    <w:rFonts w:ascii="Cambria Math" w:hAnsi="Cambria Math"/>
                                    <w:b/>
                                    <w:bCs/>
                                    <w:i/>
                                    <w:iCs/>
                                    <w:kern w:val="0"/>
                                    <w:szCs w:val="21"/>
                                    <w:u w:val="single"/>
                                  </w:rPr>
                                </m:ctrlPr>
                              </m:e>
                            </m:nary>
                            <m:ctrlPr>
                              <w:rPr>
                                <w:rFonts w:ascii="Cambria Math" w:hAnsi="Cambria Math"/>
                                <w:b/>
                                <w:bCs/>
                                <w:i/>
                                <w:iCs/>
                                <w:kern w:val="0"/>
                                <w:szCs w:val="21"/>
                                <w:u w:val="single"/>
                              </w:rPr>
                            </m:ctrlPr>
                          </m:e>
                        </m:nary>
                        <m:ctrlPr>
                          <w:rPr>
                            <w:rFonts w:ascii="Cambria Math" w:hAnsi="Cambria Math"/>
                            <w:b/>
                            <w:bCs/>
                            <w:i/>
                            <w:iCs/>
                            <w:kern w:val="0"/>
                            <w:szCs w:val="21"/>
                            <w:u w:val="single"/>
                          </w:rPr>
                        </m:ctrlPr>
                      </m:e>
                    </m:d>
                    <m:ctrlPr>
                      <w:rPr>
                        <w:rFonts w:ascii="Cambria Math" w:hAnsi="Cambria Math"/>
                        <w:b/>
                        <w:bCs/>
                        <w:i/>
                        <w:iCs/>
                        <w:kern w:val="0"/>
                        <w:szCs w:val="21"/>
                        <w:u w:val="single"/>
                      </w:rPr>
                    </m:ctrlPr>
                  </m:e>
                </m:d>
              </m:oMath>
            </m:oMathPara>
          </w:p>
          <w:p>
            <w:pPr>
              <w:spacing w:line="360" w:lineRule="auto"/>
              <w:ind w:firstLine="422" w:firstLineChars="200"/>
              <w:rPr>
                <w:b/>
                <w:bCs/>
                <w:i/>
                <w:iCs/>
                <w:snapToGrid w:val="0"/>
                <w:u w:val="single"/>
              </w:rPr>
            </w:pPr>
            <w:r>
              <w:rPr>
                <w:b/>
                <w:bCs/>
                <w:i/>
                <w:iCs/>
                <w:snapToGrid w:val="0"/>
                <w:u w:val="single"/>
              </w:rPr>
              <w:t>式中：L</w:t>
            </w:r>
            <w:r>
              <w:rPr>
                <w:b/>
                <w:bCs/>
                <w:i/>
                <w:iCs/>
                <w:snapToGrid w:val="0"/>
                <w:u w:val="single"/>
                <w:vertAlign w:val="subscript"/>
              </w:rPr>
              <w:t>e</w:t>
            </w:r>
            <w:r>
              <w:rPr>
                <w:rFonts w:hint="eastAsia"/>
                <w:b/>
                <w:bCs/>
                <w:i/>
                <w:iCs/>
                <w:snapToGrid w:val="0"/>
                <w:u w:val="single"/>
                <w:vertAlign w:val="subscript"/>
              </w:rPr>
              <w:t>qg</w:t>
            </w:r>
            <w:r>
              <w:rPr>
                <w:rFonts w:hint="eastAsia"/>
                <w:b/>
                <w:bCs/>
                <w:i/>
                <w:iCs/>
                <w:snapToGrid w:val="0"/>
                <w:u w:val="single"/>
              </w:rPr>
              <w:t>—建设项目声源在预测点产生的噪声贡献值</w:t>
            </w:r>
            <w:r>
              <w:rPr>
                <w:b/>
                <w:bCs/>
                <w:i/>
                <w:iCs/>
                <w:snapToGrid w:val="0"/>
                <w:u w:val="single"/>
              </w:rPr>
              <w:t>，dB；</w:t>
            </w:r>
          </w:p>
          <w:p>
            <w:pPr>
              <w:autoSpaceDE w:val="0"/>
              <w:autoSpaceDN w:val="0"/>
              <w:adjustRightInd w:val="0"/>
              <w:spacing w:line="360" w:lineRule="auto"/>
              <w:ind w:firstLine="1054" w:firstLineChars="500"/>
              <w:rPr>
                <w:b/>
                <w:bCs/>
                <w:i/>
                <w:iCs/>
                <w:kern w:val="0"/>
                <w:szCs w:val="21"/>
                <w:u w:val="single"/>
              </w:rPr>
            </w:pPr>
            <w:r>
              <w:rPr>
                <w:b/>
                <w:bCs/>
                <w:i/>
                <w:iCs/>
                <w:kern w:val="0"/>
                <w:szCs w:val="21"/>
                <w:u w:val="single"/>
              </w:rPr>
              <w:t>T</w:t>
            </w:r>
            <w:r>
              <w:rPr>
                <w:rFonts w:hint="eastAsia"/>
                <w:b/>
                <w:bCs/>
                <w:i/>
                <w:iCs/>
                <w:kern w:val="0"/>
                <w:szCs w:val="21"/>
                <w:u w:val="single"/>
              </w:rPr>
              <w:t>—用于计算等效声级的时间，s；</w:t>
            </w:r>
          </w:p>
          <w:p>
            <w:pPr>
              <w:autoSpaceDE w:val="0"/>
              <w:autoSpaceDN w:val="0"/>
              <w:adjustRightInd w:val="0"/>
              <w:spacing w:line="360" w:lineRule="auto"/>
              <w:ind w:firstLine="1054" w:firstLineChars="500"/>
              <w:rPr>
                <w:b/>
                <w:bCs/>
                <w:i/>
                <w:iCs/>
                <w:kern w:val="0"/>
                <w:szCs w:val="21"/>
                <w:u w:val="single"/>
              </w:rPr>
            </w:pPr>
            <w:r>
              <w:rPr>
                <w:rFonts w:hint="eastAsia"/>
                <w:b/>
                <w:bCs/>
                <w:i/>
                <w:iCs/>
                <w:kern w:val="0"/>
                <w:szCs w:val="21"/>
                <w:u w:val="single"/>
              </w:rPr>
              <w:t>N—室外声源个数；</w:t>
            </w:r>
          </w:p>
          <w:p>
            <w:pPr>
              <w:autoSpaceDE w:val="0"/>
              <w:autoSpaceDN w:val="0"/>
              <w:adjustRightInd w:val="0"/>
              <w:spacing w:line="360" w:lineRule="auto"/>
              <w:ind w:firstLine="1054" w:firstLineChars="500"/>
              <w:rPr>
                <w:b/>
                <w:bCs/>
                <w:i/>
                <w:iCs/>
                <w:kern w:val="0"/>
                <w:szCs w:val="21"/>
                <w:u w:val="single"/>
              </w:rPr>
            </w:pPr>
            <w:r>
              <w:rPr>
                <w:rFonts w:hint="eastAsia"/>
                <w:b/>
                <w:bCs/>
                <w:i/>
                <w:iCs/>
                <w:kern w:val="0"/>
                <w:szCs w:val="21"/>
                <w:u w:val="single"/>
              </w:rPr>
              <w:t>t</w:t>
            </w:r>
            <w:r>
              <w:rPr>
                <w:rFonts w:hint="eastAsia"/>
                <w:b/>
                <w:bCs/>
                <w:i/>
                <w:iCs/>
                <w:kern w:val="0"/>
                <w:szCs w:val="21"/>
                <w:u w:val="single"/>
                <w:vertAlign w:val="subscript"/>
              </w:rPr>
              <w:t>i</w:t>
            </w:r>
            <w:r>
              <w:rPr>
                <w:rFonts w:hint="eastAsia"/>
                <w:b/>
                <w:bCs/>
                <w:i/>
                <w:iCs/>
                <w:kern w:val="0"/>
                <w:szCs w:val="21"/>
                <w:u w:val="single"/>
              </w:rPr>
              <w:t>—在T时间内i声源工作时间，s；</w:t>
            </w:r>
          </w:p>
          <w:p>
            <w:pPr>
              <w:autoSpaceDE w:val="0"/>
              <w:autoSpaceDN w:val="0"/>
              <w:adjustRightInd w:val="0"/>
              <w:spacing w:line="360" w:lineRule="auto"/>
              <w:ind w:firstLine="1054" w:firstLineChars="500"/>
              <w:rPr>
                <w:b/>
                <w:bCs/>
                <w:i/>
                <w:iCs/>
                <w:kern w:val="0"/>
                <w:szCs w:val="21"/>
                <w:u w:val="single"/>
              </w:rPr>
            </w:pPr>
            <w:r>
              <w:rPr>
                <w:b/>
                <w:bCs/>
                <w:i/>
                <w:iCs/>
                <w:kern w:val="0"/>
                <w:szCs w:val="21"/>
                <w:u w:val="single"/>
              </w:rPr>
              <w:t>M</w:t>
            </w:r>
            <w:r>
              <w:rPr>
                <w:rFonts w:hint="eastAsia"/>
                <w:b/>
                <w:bCs/>
                <w:i/>
                <w:iCs/>
                <w:kern w:val="0"/>
                <w:szCs w:val="21"/>
                <w:u w:val="single"/>
              </w:rPr>
              <w:t>—等效室外声源个数；</w:t>
            </w:r>
          </w:p>
          <w:p>
            <w:pPr>
              <w:autoSpaceDE w:val="0"/>
              <w:autoSpaceDN w:val="0"/>
              <w:adjustRightInd w:val="0"/>
              <w:spacing w:line="360" w:lineRule="auto"/>
              <w:ind w:firstLine="1054" w:firstLineChars="500"/>
              <w:rPr>
                <w:b/>
                <w:bCs/>
                <w:i/>
                <w:iCs/>
                <w:kern w:val="0"/>
                <w:szCs w:val="21"/>
                <w:u w:val="single"/>
              </w:rPr>
            </w:pPr>
            <w:r>
              <w:rPr>
                <w:rFonts w:hint="eastAsia"/>
                <w:b/>
                <w:bCs/>
                <w:i/>
                <w:iCs/>
                <w:kern w:val="0"/>
                <w:szCs w:val="21"/>
                <w:u w:val="single"/>
              </w:rPr>
              <w:t>t</w:t>
            </w:r>
            <w:r>
              <w:rPr>
                <w:rFonts w:hint="eastAsia"/>
                <w:b/>
                <w:bCs/>
                <w:i/>
                <w:iCs/>
                <w:kern w:val="0"/>
                <w:szCs w:val="21"/>
                <w:u w:val="single"/>
                <w:vertAlign w:val="subscript"/>
              </w:rPr>
              <w:t>j</w:t>
            </w:r>
            <w:r>
              <w:rPr>
                <w:rFonts w:hint="eastAsia"/>
                <w:b/>
                <w:bCs/>
                <w:i/>
                <w:iCs/>
                <w:kern w:val="0"/>
                <w:szCs w:val="21"/>
                <w:u w:val="single"/>
              </w:rPr>
              <w:t>—在T时间内j声源工作时间，s。</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（4）预测值计算</w:t>
            </w:r>
          </w:p>
          <w:p>
            <w:pPr>
              <w:autoSpaceDE w:val="0"/>
              <w:autoSpaceDN w:val="0"/>
              <w:adjustRightInd w:val="0"/>
              <w:spacing w:line="360" w:lineRule="auto"/>
              <w:ind w:firstLine="422" w:firstLineChars="200"/>
              <w:rPr>
                <w:b/>
                <w:bCs/>
                <w:i/>
                <w:iCs/>
                <w:kern w:val="0"/>
                <w:szCs w:val="21"/>
                <w:u w:val="single"/>
              </w:rPr>
            </w:pPr>
            <w:r>
              <w:rPr>
                <w:rFonts w:hint="eastAsia"/>
                <w:b/>
                <w:bCs/>
                <w:i/>
                <w:iCs/>
                <w:kern w:val="0"/>
                <w:szCs w:val="21"/>
                <w:u w:val="single"/>
              </w:rPr>
              <w:t>噪声预测值（L</w:t>
            </w:r>
            <w:r>
              <w:rPr>
                <w:rFonts w:hint="eastAsia"/>
                <w:b/>
                <w:bCs/>
                <w:i/>
                <w:iCs/>
                <w:kern w:val="0"/>
                <w:szCs w:val="21"/>
                <w:u w:val="single"/>
                <w:vertAlign w:val="subscript"/>
              </w:rPr>
              <w:t>egq</w:t>
            </w:r>
            <w:r>
              <w:rPr>
                <w:rFonts w:hint="eastAsia"/>
                <w:b/>
                <w:bCs/>
                <w:i/>
                <w:iCs/>
                <w:kern w:val="0"/>
                <w:szCs w:val="21"/>
                <w:u w:val="single"/>
              </w:rPr>
              <w:t>）计算公式为。</w:t>
            </w:r>
          </w:p>
          <w:p>
            <w:pPr>
              <w:spacing w:line="360" w:lineRule="auto"/>
              <w:jc w:val="center"/>
              <w:rPr>
                <w:b/>
                <w:bCs/>
                <w:i/>
                <w:iCs/>
                <w:snapToGrid w:val="0"/>
                <w:u w:val="single"/>
              </w:rPr>
            </w:pPr>
            <m:oMathPara>
              <m:oMath>
                <m:sSub>
                  <m:sSubPr>
                    <m:ctrlPr>
                      <w:rPr>
                        <w:rFonts w:ascii="Cambria Math" w:hAnsi="Cambria Math"/>
                        <w:b/>
                        <w:bCs/>
                        <w:i/>
                        <w:iCs/>
                        <w:snapToGrid w:val="0"/>
                        <w:u w:val="single"/>
                      </w:rPr>
                    </m:ctrlPr>
                  </m:sSubPr>
                  <m:e>
                    <m:r>
                      <m:rPr>
                        <m:sty m:val="bi"/>
                      </m:rPr>
                      <w:rPr>
                        <w:rFonts w:ascii="Cambria Math"/>
                        <w:snapToGrid w:val="0"/>
                        <w:u w:val="single"/>
                      </w:rPr>
                      <m:t>L</m:t>
                    </m:r>
                    <m:ctrlPr>
                      <w:rPr>
                        <w:rFonts w:ascii="Cambria Math" w:hAnsi="Cambria Math"/>
                        <w:b/>
                        <w:bCs/>
                        <w:i/>
                        <w:iCs/>
                        <w:snapToGrid w:val="0"/>
                        <w:u w:val="single"/>
                      </w:rPr>
                    </m:ctrlPr>
                  </m:e>
                  <m:sub>
                    <m:r>
                      <m:rPr>
                        <m:nor/>
                        <m:sty m:val="bi"/>
                      </m:rPr>
                      <w:rPr>
                        <w:rFonts w:ascii="Cambria Math"/>
                        <w:b/>
                        <w:bCs/>
                        <w:i/>
                        <w:iCs/>
                        <w:snapToGrid w:val="0"/>
                        <w:u w:val="single"/>
                      </w:rPr>
                      <m:t>eq</m:t>
                    </m:r>
                    <m:ctrlPr>
                      <w:rPr>
                        <w:rFonts w:ascii="Cambria Math" w:hAnsi="Cambria Math"/>
                        <w:b/>
                        <w:bCs/>
                        <w:i/>
                        <w:iCs/>
                        <w:snapToGrid w:val="0"/>
                        <w:u w:val="single"/>
                      </w:rPr>
                    </m:ctrlPr>
                  </m:sub>
                </m:sSub>
                <m:r>
                  <m:rPr>
                    <m:sty m:val="bi"/>
                  </m:rPr>
                  <w:rPr>
                    <w:rFonts w:ascii="Cambria Math"/>
                    <w:snapToGrid w:val="0"/>
                    <w:u w:val="single"/>
                  </w:rPr>
                  <m:t>=10Lg（1</m:t>
                </m:r>
                <m:sSup>
                  <m:sSupPr>
                    <m:ctrlPr>
                      <w:rPr>
                        <w:rFonts w:ascii="Cambria Math" w:hAnsi="Cambria Math"/>
                        <w:b/>
                        <w:bCs/>
                        <w:i/>
                        <w:iCs/>
                        <w:snapToGrid w:val="0"/>
                        <w:u w:val="single"/>
                      </w:rPr>
                    </m:ctrlPr>
                  </m:sSupPr>
                  <m:e>
                    <m:r>
                      <m:rPr>
                        <m:sty m:val="bi"/>
                      </m:rPr>
                      <w:rPr>
                        <w:rFonts w:ascii="Cambria Math"/>
                        <w:snapToGrid w:val="0"/>
                        <w:u w:val="single"/>
                      </w:rPr>
                      <m:t>0</m:t>
                    </m:r>
                    <m:ctrlPr>
                      <w:rPr>
                        <w:rFonts w:ascii="Cambria Math" w:hAnsi="Cambria Math"/>
                        <w:b/>
                        <w:bCs/>
                        <w:i/>
                        <w:iCs/>
                        <w:snapToGrid w:val="0"/>
                        <w:u w:val="single"/>
                      </w:rPr>
                    </m:ctrlPr>
                  </m:e>
                  <m:sup>
                    <m:r>
                      <m:rPr>
                        <m:sty m:val="bi"/>
                      </m:rPr>
                      <w:rPr>
                        <w:rFonts w:ascii="Cambria Math"/>
                        <w:snapToGrid w:val="0"/>
                        <w:u w:val="single"/>
                      </w:rPr>
                      <m:t>0.1</m:t>
                    </m:r>
                    <m:sSub>
                      <m:sSubPr>
                        <m:ctrlPr>
                          <w:rPr>
                            <w:rFonts w:ascii="Cambria Math" w:hAnsi="Cambria Math"/>
                            <w:b/>
                            <w:bCs/>
                            <w:i/>
                            <w:iCs/>
                            <w:snapToGrid w:val="0"/>
                            <w:u w:val="single"/>
                          </w:rPr>
                        </m:ctrlPr>
                      </m:sSubPr>
                      <m:e>
                        <m:r>
                          <m:rPr>
                            <m:sty m:val="bi"/>
                          </m:rPr>
                          <w:rPr>
                            <w:rFonts w:ascii="Cambria Math"/>
                            <w:snapToGrid w:val="0"/>
                            <w:u w:val="single"/>
                          </w:rPr>
                          <m:t>L</m:t>
                        </m:r>
                        <m:ctrlPr>
                          <w:rPr>
                            <w:rFonts w:ascii="Cambria Math" w:hAnsi="Cambria Math"/>
                            <w:b/>
                            <w:bCs/>
                            <w:i/>
                            <w:iCs/>
                            <w:snapToGrid w:val="0"/>
                            <w:u w:val="single"/>
                          </w:rPr>
                        </m:ctrlPr>
                      </m:e>
                      <m:sub>
                        <m:r>
                          <m:rPr>
                            <m:sty m:val="bi"/>
                          </m:rPr>
                          <w:rPr>
                            <w:rFonts w:hint="eastAsia" w:ascii="Cambria Math"/>
                            <w:snapToGrid w:val="0"/>
                            <w:u w:val="single"/>
                          </w:rPr>
                          <m:t>eqg</m:t>
                        </m:r>
                        <m:ctrlPr>
                          <w:rPr>
                            <w:rFonts w:ascii="Cambria Math" w:hAnsi="Cambria Math"/>
                            <w:b/>
                            <w:bCs/>
                            <w:i/>
                            <w:iCs/>
                            <w:snapToGrid w:val="0"/>
                            <w:u w:val="single"/>
                          </w:rPr>
                        </m:ctrlPr>
                      </m:sub>
                    </m:sSub>
                    <m:ctrlPr>
                      <w:rPr>
                        <w:rFonts w:ascii="Cambria Math" w:hAnsi="Cambria Math"/>
                        <w:b/>
                        <w:bCs/>
                        <w:i/>
                        <w:iCs/>
                        <w:snapToGrid w:val="0"/>
                        <w:u w:val="single"/>
                      </w:rPr>
                    </m:ctrlPr>
                  </m:sup>
                </m:sSup>
                <m:r>
                  <m:rPr>
                    <m:sty m:val="bi"/>
                  </m:rPr>
                  <w:rPr>
                    <w:rFonts w:ascii="Cambria Math"/>
                    <w:snapToGrid w:val="0"/>
                    <w:u w:val="single"/>
                  </w:rPr>
                  <m:t>+1</m:t>
                </m:r>
                <m:sSup>
                  <m:sSupPr>
                    <m:ctrlPr>
                      <w:rPr>
                        <w:rFonts w:ascii="Cambria Math" w:hAnsi="Cambria Math"/>
                        <w:b/>
                        <w:bCs/>
                        <w:i/>
                        <w:iCs/>
                        <w:snapToGrid w:val="0"/>
                        <w:u w:val="single"/>
                      </w:rPr>
                    </m:ctrlPr>
                  </m:sSupPr>
                  <m:e>
                    <m:r>
                      <m:rPr>
                        <m:sty m:val="bi"/>
                      </m:rPr>
                      <w:rPr>
                        <w:rFonts w:ascii="Cambria Math"/>
                        <w:snapToGrid w:val="0"/>
                        <w:u w:val="single"/>
                      </w:rPr>
                      <m:t>0</m:t>
                    </m:r>
                    <m:ctrlPr>
                      <w:rPr>
                        <w:rFonts w:ascii="Cambria Math" w:hAnsi="Cambria Math"/>
                        <w:b/>
                        <w:bCs/>
                        <w:i/>
                        <w:iCs/>
                        <w:snapToGrid w:val="0"/>
                        <w:u w:val="single"/>
                      </w:rPr>
                    </m:ctrlPr>
                  </m:e>
                  <m:sup>
                    <m:r>
                      <m:rPr>
                        <m:sty m:val="bi"/>
                      </m:rPr>
                      <w:rPr>
                        <w:rFonts w:ascii="Cambria Math"/>
                        <w:snapToGrid w:val="0"/>
                        <w:u w:val="single"/>
                      </w:rPr>
                      <m:t>0.1</m:t>
                    </m:r>
                    <m:sSub>
                      <m:sSubPr>
                        <m:ctrlPr>
                          <w:rPr>
                            <w:rFonts w:ascii="Cambria Math" w:hAnsi="Cambria Math"/>
                            <w:b/>
                            <w:bCs/>
                            <w:i/>
                            <w:iCs/>
                            <w:snapToGrid w:val="0"/>
                            <w:u w:val="single"/>
                          </w:rPr>
                        </m:ctrlPr>
                      </m:sSubPr>
                      <m:e>
                        <m:r>
                          <m:rPr>
                            <m:sty m:val="bi"/>
                          </m:rPr>
                          <w:rPr>
                            <w:rFonts w:ascii="Cambria Math"/>
                            <w:snapToGrid w:val="0"/>
                            <w:u w:val="single"/>
                          </w:rPr>
                          <m:t>L</m:t>
                        </m:r>
                        <m:ctrlPr>
                          <w:rPr>
                            <w:rFonts w:ascii="Cambria Math" w:hAnsi="Cambria Math"/>
                            <w:b/>
                            <w:bCs/>
                            <w:i/>
                            <w:iCs/>
                            <w:snapToGrid w:val="0"/>
                            <w:u w:val="single"/>
                          </w:rPr>
                        </m:ctrlPr>
                      </m:e>
                      <m:sub>
                        <m:r>
                          <m:rPr>
                            <m:sty m:val="bi"/>
                          </m:rPr>
                          <w:rPr>
                            <w:rFonts w:hint="eastAsia" w:ascii="Cambria Math"/>
                            <w:snapToGrid w:val="0"/>
                            <w:u w:val="single"/>
                          </w:rPr>
                          <m:t>eqb</m:t>
                        </m:r>
                        <m:ctrlPr>
                          <w:rPr>
                            <w:rFonts w:ascii="Cambria Math" w:hAnsi="Cambria Math"/>
                            <w:b/>
                            <w:bCs/>
                            <w:i/>
                            <w:iCs/>
                            <w:snapToGrid w:val="0"/>
                            <w:u w:val="single"/>
                          </w:rPr>
                        </m:ctrlPr>
                      </m:sub>
                    </m:sSub>
                    <m:ctrlPr>
                      <w:rPr>
                        <w:rFonts w:ascii="Cambria Math" w:hAnsi="Cambria Math"/>
                        <w:b/>
                        <w:bCs/>
                        <w:i/>
                        <w:iCs/>
                        <w:snapToGrid w:val="0"/>
                        <w:u w:val="single"/>
                      </w:rPr>
                    </m:ctrlPr>
                  </m:sup>
                </m:sSup>
                <m:r>
                  <m:rPr>
                    <m:sty m:val="bi"/>
                  </m:rPr>
                  <w:rPr>
                    <w:rFonts w:ascii="Cambria Math"/>
                    <w:snapToGrid w:val="0"/>
                    <w:u w:val="single"/>
                  </w:rPr>
                  <m:t>）</m:t>
                </m:r>
              </m:oMath>
            </m:oMathPara>
          </w:p>
          <w:p>
            <w:pPr>
              <w:spacing w:line="360" w:lineRule="auto"/>
              <w:ind w:firstLine="422" w:firstLineChars="200"/>
              <w:rPr>
                <w:b/>
                <w:bCs/>
                <w:i/>
                <w:iCs/>
                <w:snapToGrid w:val="0"/>
                <w:u w:val="single"/>
              </w:rPr>
            </w:pPr>
            <w:r>
              <w:rPr>
                <w:b/>
                <w:bCs/>
                <w:i/>
                <w:iCs/>
                <w:snapToGrid w:val="0"/>
                <w:u w:val="single"/>
              </w:rPr>
              <w:t>式中：L</w:t>
            </w:r>
            <w:r>
              <w:rPr>
                <w:b/>
                <w:bCs/>
                <w:i/>
                <w:iCs/>
                <w:snapToGrid w:val="0"/>
                <w:u w:val="single"/>
                <w:vertAlign w:val="subscript"/>
              </w:rPr>
              <w:t>eqg</w:t>
            </w:r>
            <w:r>
              <w:rPr>
                <w:b/>
                <w:bCs/>
                <w:i/>
                <w:iCs/>
                <w:snapToGrid w:val="0"/>
                <w:u w:val="single"/>
              </w:rPr>
              <w:t>－建设项目声源在预测点的等效声级贡献值，dB（A）；</w:t>
            </w:r>
          </w:p>
          <w:p>
            <w:pPr>
              <w:spacing w:line="360" w:lineRule="auto"/>
              <w:ind w:firstLine="1054" w:firstLineChars="500"/>
              <w:rPr>
                <w:b/>
                <w:bCs/>
                <w:i/>
                <w:iCs/>
                <w:snapToGrid w:val="0"/>
                <w:u w:val="single"/>
              </w:rPr>
            </w:pPr>
            <w:r>
              <w:rPr>
                <w:b/>
                <w:bCs/>
                <w:i/>
                <w:iCs/>
                <w:snapToGrid w:val="0"/>
                <w:u w:val="single"/>
              </w:rPr>
              <w:t>L</w:t>
            </w:r>
            <w:r>
              <w:rPr>
                <w:b/>
                <w:bCs/>
                <w:i/>
                <w:iCs/>
                <w:snapToGrid w:val="0"/>
                <w:u w:val="single"/>
                <w:vertAlign w:val="subscript"/>
              </w:rPr>
              <w:t>eqb</w:t>
            </w:r>
            <w:r>
              <w:rPr>
                <w:b/>
                <w:bCs/>
                <w:i/>
                <w:iCs/>
                <w:snapToGrid w:val="0"/>
                <w:u w:val="single"/>
              </w:rPr>
              <w:t>－预测点的背景值，dB（A）。</w:t>
            </w:r>
          </w:p>
          <w:p>
            <w:pPr>
              <w:pStyle w:val="53"/>
              <w:spacing w:line="360" w:lineRule="auto"/>
              <w:ind w:firstLine="422" w:firstLineChars="200"/>
              <w:rPr>
                <w:rFonts w:ascii="Times New Roman" w:eastAsia="宋体" w:cs="Times New Roman"/>
                <w:b/>
                <w:bCs/>
                <w:i/>
                <w:iCs/>
                <w:sz w:val="21"/>
                <w:szCs w:val="21"/>
                <w:u w:val="single"/>
              </w:rPr>
            </w:pPr>
            <w:r>
              <w:rPr>
                <w:rFonts w:hint="eastAsia" w:hAnsi="宋体" w:eastAsia="宋体"/>
                <w:b/>
                <w:bCs/>
                <w:i/>
                <w:iCs/>
                <w:sz w:val="21"/>
                <w:szCs w:val="21"/>
                <w:u w:val="single"/>
              </w:rPr>
              <w:t>②</w:t>
            </w:r>
            <w:r>
              <w:rPr>
                <w:rFonts w:ascii="Times New Roman" w:eastAsia="宋体" w:cs="Times New Roman"/>
                <w:b/>
                <w:bCs/>
                <w:i/>
                <w:iCs/>
                <w:sz w:val="21"/>
                <w:szCs w:val="21"/>
                <w:u w:val="single"/>
              </w:rPr>
              <w:t>预测范围</w:t>
            </w:r>
          </w:p>
          <w:p>
            <w:pPr>
              <w:pStyle w:val="53"/>
              <w:spacing w:line="360" w:lineRule="auto"/>
              <w:ind w:firstLine="422" w:firstLineChars="200"/>
              <w:rPr>
                <w:rFonts w:ascii="Times New Roman" w:eastAsia="宋体" w:cs="Times New Roman"/>
                <w:b/>
                <w:bCs/>
                <w:i/>
                <w:iCs/>
                <w:sz w:val="18"/>
                <w:szCs w:val="21"/>
                <w:u w:val="single"/>
              </w:rPr>
            </w:pPr>
            <w:r>
              <w:rPr>
                <w:rFonts w:ascii="Times New Roman" w:eastAsia="宋体" w:cs="Times New Roman"/>
                <w:b/>
                <w:bCs/>
                <w:i/>
                <w:iCs/>
                <w:sz w:val="21"/>
                <w:szCs w:val="21"/>
                <w:u w:val="single"/>
              </w:rPr>
              <w:t>噪声影响评价主要预测</w:t>
            </w:r>
            <w:r>
              <w:rPr>
                <w:rFonts w:hint="eastAsia" w:ascii="Times New Roman" w:eastAsia="宋体" w:cs="Times New Roman"/>
                <w:b/>
                <w:bCs/>
                <w:i/>
                <w:iCs/>
                <w:sz w:val="21"/>
                <w:szCs w:val="21"/>
                <w:u w:val="single"/>
              </w:rPr>
              <w:t>厂房</w:t>
            </w:r>
            <w:r>
              <w:rPr>
                <w:rFonts w:ascii="Times New Roman" w:eastAsia="宋体" w:cs="Times New Roman"/>
                <w:b/>
                <w:bCs/>
                <w:i/>
                <w:iCs/>
                <w:sz w:val="21"/>
                <w:szCs w:val="21"/>
                <w:u w:val="single"/>
              </w:rPr>
              <w:t>内设备噪声对厂界的影响，并对该影响作出评价，本次声环境影响预测范围为厂界外1m处。</w:t>
            </w:r>
          </w:p>
          <w:p>
            <w:pPr>
              <w:pStyle w:val="53"/>
              <w:spacing w:line="360" w:lineRule="auto"/>
              <w:ind w:firstLine="422" w:firstLineChars="200"/>
              <w:rPr>
                <w:rFonts w:ascii="Times New Roman" w:eastAsia="宋体" w:cs="Times New Roman"/>
                <w:b/>
                <w:bCs/>
                <w:i/>
                <w:iCs/>
                <w:sz w:val="21"/>
                <w:szCs w:val="21"/>
                <w:u w:val="single"/>
              </w:rPr>
            </w:pPr>
            <w:r>
              <w:rPr>
                <w:rFonts w:hint="eastAsia" w:hAnsi="宋体" w:eastAsia="宋体"/>
                <w:b/>
                <w:bCs/>
                <w:i/>
                <w:iCs/>
                <w:sz w:val="21"/>
                <w:szCs w:val="21"/>
                <w:u w:val="single"/>
              </w:rPr>
              <w:t>③</w:t>
            </w:r>
            <w:r>
              <w:rPr>
                <w:rFonts w:ascii="Times New Roman" w:eastAsia="宋体" w:cs="Times New Roman"/>
                <w:b/>
                <w:bCs/>
                <w:i/>
                <w:iCs/>
                <w:sz w:val="21"/>
                <w:szCs w:val="21"/>
                <w:u w:val="single"/>
              </w:rPr>
              <w:t>预测参数</w:t>
            </w:r>
            <w:r>
              <w:rPr>
                <w:rFonts w:hint="eastAsia" w:ascii="Times New Roman" w:eastAsia="宋体" w:cs="Times New Roman"/>
                <w:b/>
                <w:bCs/>
                <w:i/>
                <w:iCs/>
                <w:sz w:val="21"/>
                <w:szCs w:val="21"/>
                <w:u w:val="single"/>
              </w:rPr>
              <w:t>及结果分析</w:t>
            </w:r>
          </w:p>
          <w:p>
            <w:pPr>
              <w:pStyle w:val="42"/>
              <w:widowControl w:val="0"/>
              <w:spacing w:before="0" w:beforeLines="0" w:line="360" w:lineRule="auto"/>
              <w:ind w:firstLine="422" w:firstLineChars="200"/>
              <w:jc w:val="both"/>
              <w:rPr>
                <w:rFonts w:ascii="Times New Roman" w:hAnsi="Times New Roman"/>
                <w:i/>
                <w:iCs/>
                <w:color w:val="auto"/>
              </w:rPr>
            </w:pPr>
            <w:r>
              <w:rPr>
                <w:rFonts w:hint="eastAsia" w:ascii="Times New Roman" w:hAnsi="Times New Roman"/>
                <w:i/>
                <w:iCs/>
                <w:color w:val="auto"/>
              </w:rPr>
              <w:t>本次预测厂界外1m处噪声达标情况</w:t>
            </w:r>
            <w:r>
              <w:rPr>
                <w:rFonts w:ascii="Times New Roman" w:hAnsi="Times New Roman"/>
                <w:i/>
                <w:iCs/>
                <w:color w:val="auto"/>
              </w:rPr>
              <w:t>。</w:t>
            </w:r>
          </w:p>
          <w:p>
            <w:pPr>
              <w:pStyle w:val="42"/>
              <w:widowControl w:val="0"/>
              <w:spacing w:before="0" w:beforeLines="0"/>
              <w:rPr>
                <w:rFonts w:ascii="Times New Roman" w:hAnsi="Times New Roman"/>
                <w:i/>
                <w:iCs/>
                <w:color w:val="auto"/>
                <w:szCs w:val="21"/>
                <w:lang w:val="zh-CN"/>
              </w:rPr>
            </w:pPr>
            <w:r>
              <w:rPr>
                <w:rFonts w:hint="eastAsia" w:ascii="Times New Roman" w:hAnsi="Times New Roman"/>
                <w:i/>
                <w:iCs/>
                <w:color w:val="auto"/>
                <w:szCs w:val="21"/>
                <w:lang w:val="zh-CN"/>
              </w:rPr>
              <w:t>表4</w:t>
            </w:r>
            <w:r>
              <w:rPr>
                <w:rFonts w:ascii="Times New Roman" w:hAnsi="Times New Roman"/>
                <w:i/>
                <w:iCs/>
                <w:color w:val="auto"/>
                <w:szCs w:val="21"/>
                <w:lang w:val="zh-CN"/>
              </w:rPr>
              <w:t>-12   噪声</w:t>
            </w:r>
            <w:r>
              <w:rPr>
                <w:rFonts w:hint="eastAsia" w:ascii="Times New Roman" w:hAnsi="Times New Roman"/>
                <w:i/>
                <w:iCs/>
                <w:color w:val="auto"/>
                <w:szCs w:val="21"/>
              </w:rPr>
              <w:t>预测结果统计</w:t>
            </w:r>
            <w:r>
              <w:rPr>
                <w:rFonts w:ascii="Times New Roman" w:hAnsi="Times New Roman"/>
                <w:i/>
                <w:iCs/>
                <w:color w:val="auto"/>
                <w:szCs w:val="21"/>
                <w:lang w:val="zh-CN"/>
              </w:rPr>
              <w:t>表</w:t>
            </w:r>
            <w:r>
              <w:rPr>
                <w:rFonts w:hint="eastAsia" w:ascii="Times New Roman" w:hAnsi="Times New Roman"/>
                <w:i/>
                <w:iCs/>
                <w:color w:val="auto"/>
                <w:szCs w:val="21"/>
              </w:rPr>
              <w:t xml:space="preserve">  单位：</w:t>
            </w:r>
            <w:r>
              <w:rPr>
                <w:rFonts w:ascii="Times New Roman" w:hAnsi="Times New Roman"/>
                <w:i/>
                <w:iCs/>
                <w:color w:val="auto"/>
                <w:szCs w:val="21"/>
                <w:lang w:val="zh-CN"/>
              </w:rPr>
              <w:t>dB（A）</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456"/>
              <w:gridCol w:w="2570"/>
              <w:gridCol w:w="862"/>
              <w:gridCol w:w="862"/>
              <w:gridCol w:w="862"/>
              <w:gridCol w:w="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7" w:type="pct"/>
                  <w:vMerge w:val="restart"/>
                  <w:vAlign w:val="center"/>
                </w:tcPr>
                <w:p>
                  <w:pPr>
                    <w:widowControl/>
                    <w:jc w:val="center"/>
                    <w:textAlignment w:val="center"/>
                    <w:rPr>
                      <w:b/>
                      <w:bCs/>
                      <w:i/>
                      <w:iCs/>
                      <w:u w:val="single"/>
                    </w:rPr>
                  </w:pPr>
                  <w:r>
                    <w:rPr>
                      <w:rFonts w:hint="eastAsia"/>
                      <w:b/>
                      <w:bCs/>
                      <w:i/>
                      <w:iCs/>
                      <w:u w:val="single"/>
                    </w:rPr>
                    <w:t>构筑物</w:t>
                  </w:r>
                </w:p>
              </w:tc>
              <w:tc>
                <w:tcPr>
                  <w:tcW w:w="816" w:type="pct"/>
                  <w:vMerge w:val="restart"/>
                  <w:vAlign w:val="center"/>
                </w:tcPr>
                <w:p>
                  <w:pPr>
                    <w:widowControl/>
                    <w:jc w:val="center"/>
                    <w:textAlignment w:val="center"/>
                    <w:rPr>
                      <w:b/>
                      <w:bCs/>
                      <w:i/>
                      <w:iCs/>
                      <w:u w:val="single"/>
                    </w:rPr>
                  </w:pPr>
                  <w:r>
                    <w:rPr>
                      <w:b/>
                      <w:bCs/>
                      <w:i/>
                      <w:iCs/>
                      <w:u w:val="single"/>
                    </w:rPr>
                    <w:t>名称</w:t>
                  </w:r>
                </w:p>
              </w:tc>
              <w:tc>
                <w:tcPr>
                  <w:tcW w:w="1440" w:type="pct"/>
                  <w:vMerge w:val="restart"/>
                  <w:vAlign w:val="center"/>
                </w:tcPr>
                <w:p>
                  <w:pPr>
                    <w:widowControl/>
                    <w:jc w:val="center"/>
                    <w:textAlignment w:val="center"/>
                    <w:rPr>
                      <w:b/>
                      <w:bCs/>
                      <w:i/>
                      <w:iCs/>
                      <w:u w:val="single"/>
                    </w:rPr>
                  </w:pPr>
                  <w:r>
                    <w:rPr>
                      <w:b/>
                      <w:bCs/>
                      <w:i/>
                      <w:iCs/>
                      <w:u w:val="single"/>
                    </w:rPr>
                    <w:t>墙体隔声厂界最大噪声值</w:t>
                  </w:r>
                </w:p>
              </w:tc>
              <w:tc>
                <w:tcPr>
                  <w:tcW w:w="1927" w:type="pct"/>
                  <w:gridSpan w:val="4"/>
                  <w:vAlign w:val="center"/>
                </w:tcPr>
                <w:p>
                  <w:pPr>
                    <w:widowControl/>
                    <w:jc w:val="center"/>
                    <w:textAlignment w:val="center"/>
                    <w:rPr>
                      <w:b/>
                      <w:bCs/>
                      <w:i/>
                      <w:iCs/>
                      <w:u w:val="single"/>
                    </w:rPr>
                  </w:pPr>
                  <w:r>
                    <w:rPr>
                      <w:b/>
                      <w:bCs/>
                      <w:i/>
                      <w:iCs/>
                      <w:u w:val="single"/>
                    </w:rPr>
                    <w:t>预测点声压级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7" w:type="pct"/>
                  <w:vMerge w:val="continue"/>
                  <w:vAlign w:val="center"/>
                </w:tcPr>
                <w:p>
                  <w:pPr>
                    <w:widowControl/>
                    <w:jc w:val="center"/>
                    <w:textAlignment w:val="center"/>
                    <w:rPr>
                      <w:b/>
                      <w:bCs/>
                      <w:i/>
                      <w:iCs/>
                      <w:u w:val="single"/>
                    </w:rPr>
                  </w:pPr>
                </w:p>
              </w:tc>
              <w:tc>
                <w:tcPr>
                  <w:tcW w:w="816" w:type="pct"/>
                  <w:vMerge w:val="continue"/>
                  <w:vAlign w:val="center"/>
                </w:tcPr>
                <w:p>
                  <w:pPr>
                    <w:widowControl/>
                    <w:jc w:val="center"/>
                    <w:textAlignment w:val="center"/>
                    <w:rPr>
                      <w:b/>
                      <w:bCs/>
                      <w:i/>
                      <w:iCs/>
                      <w:u w:val="single"/>
                    </w:rPr>
                  </w:pPr>
                </w:p>
              </w:tc>
              <w:tc>
                <w:tcPr>
                  <w:tcW w:w="1440" w:type="pct"/>
                  <w:vMerge w:val="continue"/>
                  <w:vAlign w:val="center"/>
                </w:tcPr>
                <w:p>
                  <w:pPr>
                    <w:widowControl/>
                    <w:jc w:val="center"/>
                    <w:textAlignment w:val="center"/>
                    <w:rPr>
                      <w:b/>
                      <w:bCs/>
                      <w:i/>
                      <w:iCs/>
                      <w:u w:val="single"/>
                    </w:rPr>
                  </w:pPr>
                </w:p>
              </w:tc>
              <w:tc>
                <w:tcPr>
                  <w:tcW w:w="483" w:type="pct"/>
                  <w:vAlign w:val="center"/>
                </w:tcPr>
                <w:p>
                  <w:pPr>
                    <w:widowControl/>
                    <w:jc w:val="center"/>
                    <w:textAlignment w:val="center"/>
                    <w:rPr>
                      <w:b/>
                      <w:bCs/>
                      <w:i/>
                      <w:iCs/>
                      <w:u w:val="single"/>
                    </w:rPr>
                  </w:pPr>
                  <w:r>
                    <w:rPr>
                      <w:b/>
                      <w:bCs/>
                      <w:i/>
                      <w:iCs/>
                      <w:u w:val="single"/>
                    </w:rPr>
                    <w:t>东厂界</w:t>
                  </w:r>
                </w:p>
              </w:tc>
              <w:tc>
                <w:tcPr>
                  <w:tcW w:w="483" w:type="pct"/>
                  <w:vAlign w:val="center"/>
                </w:tcPr>
                <w:p>
                  <w:pPr>
                    <w:widowControl/>
                    <w:jc w:val="center"/>
                    <w:textAlignment w:val="center"/>
                    <w:rPr>
                      <w:b/>
                      <w:bCs/>
                      <w:i/>
                      <w:iCs/>
                      <w:u w:val="single"/>
                    </w:rPr>
                  </w:pPr>
                  <w:r>
                    <w:rPr>
                      <w:b/>
                      <w:bCs/>
                      <w:i/>
                      <w:iCs/>
                      <w:u w:val="single"/>
                    </w:rPr>
                    <w:t>南厂界</w:t>
                  </w:r>
                </w:p>
              </w:tc>
              <w:tc>
                <w:tcPr>
                  <w:tcW w:w="483" w:type="pct"/>
                  <w:vAlign w:val="center"/>
                </w:tcPr>
                <w:p>
                  <w:pPr>
                    <w:widowControl/>
                    <w:jc w:val="center"/>
                    <w:textAlignment w:val="center"/>
                    <w:rPr>
                      <w:b/>
                      <w:bCs/>
                      <w:i/>
                      <w:iCs/>
                      <w:u w:val="single"/>
                    </w:rPr>
                  </w:pPr>
                  <w:r>
                    <w:rPr>
                      <w:b/>
                      <w:bCs/>
                      <w:i/>
                      <w:iCs/>
                      <w:u w:val="single"/>
                    </w:rPr>
                    <w:t>西厂界</w:t>
                  </w:r>
                </w:p>
              </w:tc>
              <w:tc>
                <w:tcPr>
                  <w:tcW w:w="478" w:type="pct"/>
                  <w:vAlign w:val="center"/>
                </w:tcPr>
                <w:p>
                  <w:pPr>
                    <w:widowControl/>
                    <w:jc w:val="center"/>
                    <w:textAlignment w:val="center"/>
                    <w:rPr>
                      <w:b/>
                      <w:bCs/>
                      <w:i/>
                      <w:iCs/>
                      <w:u w:val="single"/>
                    </w:rPr>
                  </w:pPr>
                  <w:r>
                    <w:rPr>
                      <w:b/>
                      <w:bCs/>
                      <w:i/>
                      <w:iCs/>
                      <w:u w:val="single"/>
                    </w:rPr>
                    <w:t>北厂界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pct"/>
                  <w:vAlign w:val="center"/>
                </w:tcPr>
                <w:p>
                  <w:pPr>
                    <w:widowControl/>
                    <w:jc w:val="center"/>
                    <w:textAlignment w:val="center"/>
                    <w:rPr>
                      <w:b/>
                      <w:bCs/>
                      <w:i/>
                      <w:iCs/>
                      <w:u w:val="single"/>
                    </w:rPr>
                  </w:pPr>
                  <w:r>
                    <w:rPr>
                      <w:rFonts w:hint="eastAsia"/>
                      <w:b/>
                      <w:bCs/>
                      <w:i/>
                      <w:iCs/>
                      <w:u w:val="single"/>
                    </w:rPr>
                    <w:t>1号厂房</w:t>
                  </w:r>
                </w:p>
              </w:tc>
              <w:tc>
                <w:tcPr>
                  <w:tcW w:w="816" w:type="pct"/>
                  <w:vMerge w:val="restart"/>
                  <w:vAlign w:val="center"/>
                </w:tcPr>
                <w:p>
                  <w:pPr>
                    <w:widowControl/>
                    <w:jc w:val="center"/>
                    <w:textAlignment w:val="center"/>
                    <w:rPr>
                      <w:b/>
                      <w:bCs/>
                      <w:i/>
                      <w:iCs/>
                      <w:u w:val="single"/>
                    </w:rPr>
                  </w:pPr>
                  <w:r>
                    <w:rPr>
                      <w:rFonts w:hint="eastAsia"/>
                      <w:b/>
                      <w:bCs/>
                      <w:i/>
                      <w:iCs/>
                      <w:u w:val="single"/>
                    </w:rPr>
                    <w:t>厂界外1m处</w:t>
                  </w:r>
                </w:p>
              </w:tc>
              <w:tc>
                <w:tcPr>
                  <w:tcW w:w="1440" w:type="pct"/>
                  <w:vAlign w:val="center"/>
                </w:tcPr>
                <w:p>
                  <w:pPr>
                    <w:widowControl/>
                    <w:jc w:val="center"/>
                    <w:textAlignment w:val="center"/>
                    <w:rPr>
                      <w:b/>
                      <w:bCs/>
                      <w:i/>
                      <w:iCs/>
                      <w:u w:val="single"/>
                    </w:rPr>
                  </w:pPr>
                  <w:r>
                    <w:rPr>
                      <w:rFonts w:hint="eastAsia"/>
                      <w:b/>
                      <w:bCs/>
                      <w:i/>
                      <w:iCs/>
                      <w:u w:val="single"/>
                    </w:rPr>
                    <w:t>23.97</w:t>
                  </w:r>
                </w:p>
              </w:tc>
              <w:tc>
                <w:tcPr>
                  <w:tcW w:w="483" w:type="pct"/>
                  <w:vAlign w:val="center"/>
                </w:tcPr>
                <w:p>
                  <w:pPr>
                    <w:widowControl/>
                    <w:jc w:val="center"/>
                    <w:textAlignment w:val="center"/>
                    <w:rPr>
                      <w:b/>
                      <w:bCs/>
                      <w:i/>
                      <w:iCs/>
                      <w:u w:val="single"/>
                    </w:rPr>
                  </w:pPr>
                  <w:r>
                    <w:rPr>
                      <w:b/>
                      <w:bCs/>
                      <w:i/>
                      <w:iCs/>
                      <w:u w:val="single"/>
                    </w:rPr>
                    <w:t>3.96</w:t>
                  </w:r>
                </w:p>
              </w:tc>
              <w:tc>
                <w:tcPr>
                  <w:tcW w:w="483" w:type="pct"/>
                  <w:vAlign w:val="center"/>
                </w:tcPr>
                <w:p>
                  <w:pPr>
                    <w:widowControl/>
                    <w:jc w:val="center"/>
                    <w:textAlignment w:val="center"/>
                    <w:rPr>
                      <w:b/>
                      <w:bCs/>
                      <w:i/>
                      <w:iCs/>
                      <w:u w:val="single"/>
                    </w:rPr>
                  </w:pPr>
                  <w:r>
                    <w:rPr>
                      <w:rFonts w:hint="eastAsia"/>
                      <w:b/>
                      <w:bCs/>
                      <w:i/>
                      <w:iCs/>
                      <w:u w:val="single"/>
                    </w:rPr>
                    <w:t>0</w:t>
                  </w:r>
                </w:p>
              </w:tc>
              <w:tc>
                <w:tcPr>
                  <w:tcW w:w="483" w:type="pct"/>
                  <w:vAlign w:val="center"/>
                </w:tcPr>
                <w:p>
                  <w:pPr>
                    <w:widowControl/>
                    <w:jc w:val="center"/>
                    <w:textAlignment w:val="center"/>
                    <w:rPr>
                      <w:b/>
                      <w:bCs/>
                      <w:i/>
                      <w:iCs/>
                      <w:u w:val="single"/>
                    </w:rPr>
                  </w:pPr>
                  <w:r>
                    <w:rPr>
                      <w:rFonts w:hint="eastAsia"/>
                      <w:b/>
                      <w:bCs/>
                      <w:i/>
                      <w:iCs/>
                      <w:u w:val="single"/>
                    </w:rPr>
                    <w:t>0</w:t>
                  </w:r>
                </w:p>
              </w:tc>
              <w:tc>
                <w:tcPr>
                  <w:tcW w:w="478" w:type="pct"/>
                  <w:vAlign w:val="center"/>
                </w:tcPr>
                <w:p>
                  <w:pPr>
                    <w:widowControl/>
                    <w:jc w:val="center"/>
                    <w:textAlignment w:val="center"/>
                    <w:rPr>
                      <w:b/>
                      <w:bCs/>
                      <w:i/>
                      <w:iCs/>
                      <w:u w:val="single"/>
                    </w:rPr>
                  </w:pPr>
                  <w:r>
                    <w:rPr>
                      <w:b/>
                      <w:bCs/>
                      <w:i/>
                      <w:iCs/>
                      <w:u w:val="single"/>
                    </w:rPr>
                    <w:t>3.96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pct"/>
                  <w:vAlign w:val="center"/>
                </w:tcPr>
                <w:p>
                  <w:pPr>
                    <w:widowControl/>
                    <w:jc w:val="center"/>
                    <w:textAlignment w:val="center"/>
                    <w:rPr>
                      <w:b/>
                      <w:bCs/>
                      <w:i/>
                      <w:iCs/>
                      <w:u w:val="single"/>
                    </w:rPr>
                  </w:pPr>
                  <w:r>
                    <w:rPr>
                      <w:rFonts w:hint="eastAsia"/>
                      <w:b/>
                      <w:bCs/>
                      <w:i/>
                      <w:iCs/>
                      <w:u w:val="single"/>
                    </w:rPr>
                    <w:t>2号厂房</w:t>
                  </w:r>
                </w:p>
              </w:tc>
              <w:tc>
                <w:tcPr>
                  <w:tcW w:w="816" w:type="pct"/>
                  <w:vMerge w:val="continue"/>
                  <w:vAlign w:val="center"/>
                </w:tcPr>
                <w:p>
                  <w:pPr>
                    <w:widowControl/>
                    <w:jc w:val="center"/>
                    <w:textAlignment w:val="center"/>
                    <w:rPr>
                      <w:b/>
                      <w:bCs/>
                      <w:i/>
                      <w:iCs/>
                      <w:u w:val="single"/>
                    </w:rPr>
                  </w:pPr>
                </w:p>
              </w:tc>
              <w:tc>
                <w:tcPr>
                  <w:tcW w:w="1440" w:type="pct"/>
                  <w:vAlign w:val="center"/>
                </w:tcPr>
                <w:p>
                  <w:pPr>
                    <w:widowControl/>
                    <w:jc w:val="center"/>
                    <w:textAlignment w:val="center"/>
                    <w:rPr>
                      <w:b/>
                      <w:bCs/>
                      <w:i/>
                      <w:iCs/>
                      <w:u w:val="single"/>
                    </w:rPr>
                  </w:pPr>
                  <w:r>
                    <w:rPr>
                      <w:rFonts w:hint="eastAsia"/>
                      <w:b/>
                      <w:bCs/>
                      <w:i/>
                      <w:iCs/>
                      <w:u w:val="single"/>
                    </w:rPr>
                    <w:t>36.02</w:t>
                  </w:r>
                </w:p>
              </w:tc>
              <w:tc>
                <w:tcPr>
                  <w:tcW w:w="483" w:type="pct"/>
                  <w:vAlign w:val="center"/>
                </w:tcPr>
                <w:p>
                  <w:pPr>
                    <w:widowControl/>
                    <w:jc w:val="center"/>
                    <w:textAlignment w:val="center"/>
                    <w:rPr>
                      <w:b/>
                      <w:bCs/>
                      <w:i/>
                      <w:iCs/>
                      <w:u w:val="single"/>
                    </w:rPr>
                  </w:pPr>
                  <w:r>
                    <w:rPr>
                      <w:b/>
                      <w:bCs/>
                      <w:i/>
                      <w:iCs/>
                      <w:u w:val="single"/>
                    </w:rPr>
                    <w:t>16.02</w:t>
                  </w:r>
                </w:p>
              </w:tc>
              <w:tc>
                <w:tcPr>
                  <w:tcW w:w="483" w:type="pct"/>
                  <w:vAlign w:val="center"/>
                </w:tcPr>
                <w:p>
                  <w:pPr>
                    <w:widowControl/>
                    <w:jc w:val="center"/>
                    <w:textAlignment w:val="center"/>
                    <w:rPr>
                      <w:b/>
                      <w:bCs/>
                      <w:i/>
                      <w:iCs/>
                      <w:u w:val="single"/>
                    </w:rPr>
                  </w:pPr>
                  <w:r>
                    <w:rPr>
                      <w:b/>
                      <w:bCs/>
                      <w:i/>
                      <w:iCs/>
                      <w:u w:val="single"/>
                    </w:rPr>
                    <w:t>16.02</w:t>
                  </w:r>
                </w:p>
              </w:tc>
              <w:tc>
                <w:tcPr>
                  <w:tcW w:w="483" w:type="pct"/>
                  <w:vAlign w:val="center"/>
                </w:tcPr>
                <w:p>
                  <w:pPr>
                    <w:widowControl/>
                    <w:jc w:val="center"/>
                    <w:textAlignment w:val="center"/>
                    <w:rPr>
                      <w:b/>
                      <w:bCs/>
                      <w:i/>
                      <w:iCs/>
                      <w:u w:val="single"/>
                    </w:rPr>
                  </w:pPr>
                  <w:r>
                    <w:rPr>
                      <w:rFonts w:hint="eastAsia"/>
                      <w:b/>
                      <w:bCs/>
                      <w:i/>
                      <w:iCs/>
                      <w:u w:val="single"/>
                    </w:rPr>
                    <w:t>0</w:t>
                  </w:r>
                </w:p>
              </w:tc>
              <w:tc>
                <w:tcPr>
                  <w:tcW w:w="478" w:type="pct"/>
                  <w:vAlign w:val="center"/>
                </w:tcPr>
                <w:p>
                  <w:pPr>
                    <w:widowControl/>
                    <w:jc w:val="center"/>
                    <w:textAlignment w:val="center"/>
                    <w:rPr>
                      <w:b/>
                      <w:bCs/>
                      <w:i/>
                      <w:iCs/>
                      <w:u w:val="single"/>
                    </w:rPr>
                  </w:pPr>
                  <w:r>
                    <w:rPr>
                      <w:rFonts w:hint="eastAsia"/>
                      <w:b/>
                      <w:bCs/>
                      <w:i/>
                      <w:iCs/>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73" w:type="pct"/>
                  <w:gridSpan w:val="3"/>
                  <w:vAlign w:val="center"/>
                </w:tcPr>
                <w:p>
                  <w:pPr>
                    <w:widowControl/>
                    <w:jc w:val="center"/>
                    <w:textAlignment w:val="center"/>
                    <w:rPr>
                      <w:b/>
                      <w:bCs/>
                      <w:i/>
                      <w:iCs/>
                      <w:u w:val="single"/>
                    </w:rPr>
                  </w:pPr>
                  <w:r>
                    <w:rPr>
                      <w:rFonts w:hint="eastAsia"/>
                      <w:b/>
                      <w:bCs/>
                      <w:i/>
                      <w:iCs/>
                      <w:u w:val="single"/>
                    </w:rPr>
                    <w:t>预测结果</w:t>
                  </w:r>
                </w:p>
              </w:tc>
              <w:tc>
                <w:tcPr>
                  <w:tcW w:w="483" w:type="pct"/>
                  <w:vAlign w:val="center"/>
                </w:tcPr>
                <w:p>
                  <w:pPr>
                    <w:widowControl/>
                    <w:jc w:val="center"/>
                    <w:textAlignment w:val="center"/>
                    <w:rPr>
                      <w:b/>
                      <w:bCs/>
                      <w:i/>
                      <w:iCs/>
                      <w:u w:val="single"/>
                    </w:rPr>
                  </w:pPr>
                  <w:r>
                    <w:rPr>
                      <w:b/>
                      <w:bCs/>
                      <w:i/>
                      <w:iCs/>
                      <w:u w:val="single"/>
                    </w:rPr>
                    <w:t>16.28</w:t>
                  </w:r>
                </w:p>
              </w:tc>
              <w:tc>
                <w:tcPr>
                  <w:tcW w:w="483" w:type="pct"/>
                  <w:vAlign w:val="center"/>
                </w:tcPr>
                <w:p>
                  <w:pPr>
                    <w:widowControl/>
                    <w:jc w:val="center"/>
                    <w:textAlignment w:val="center"/>
                    <w:rPr>
                      <w:b/>
                      <w:bCs/>
                      <w:i/>
                      <w:iCs/>
                      <w:u w:val="single"/>
                    </w:rPr>
                  </w:pPr>
                  <w:r>
                    <w:rPr>
                      <w:b/>
                      <w:bCs/>
                      <w:i/>
                      <w:iCs/>
                      <w:u w:val="single"/>
                    </w:rPr>
                    <w:t>16.02</w:t>
                  </w:r>
                </w:p>
              </w:tc>
              <w:tc>
                <w:tcPr>
                  <w:tcW w:w="483" w:type="pct"/>
                  <w:vAlign w:val="center"/>
                </w:tcPr>
                <w:p>
                  <w:pPr>
                    <w:widowControl/>
                    <w:jc w:val="center"/>
                    <w:textAlignment w:val="center"/>
                    <w:rPr>
                      <w:b/>
                      <w:bCs/>
                      <w:i/>
                      <w:iCs/>
                      <w:u w:val="single"/>
                    </w:rPr>
                  </w:pPr>
                  <w:r>
                    <w:rPr>
                      <w:rFonts w:hint="eastAsia"/>
                      <w:b/>
                      <w:bCs/>
                      <w:i/>
                      <w:iCs/>
                      <w:u w:val="single"/>
                    </w:rPr>
                    <w:t>0</w:t>
                  </w:r>
                </w:p>
              </w:tc>
              <w:tc>
                <w:tcPr>
                  <w:tcW w:w="478" w:type="pct"/>
                  <w:vAlign w:val="center"/>
                </w:tcPr>
                <w:p>
                  <w:pPr>
                    <w:widowControl/>
                    <w:jc w:val="center"/>
                    <w:textAlignment w:val="center"/>
                    <w:rPr>
                      <w:b/>
                      <w:bCs/>
                      <w:i/>
                      <w:iCs/>
                      <w:u w:val="single"/>
                    </w:rPr>
                  </w:pPr>
                  <w:r>
                    <w:rPr>
                      <w:b/>
                      <w:bCs/>
                      <w:i/>
                      <w:iCs/>
                      <w:u w:val="single"/>
                    </w:rPr>
                    <w:t>3.96</w:t>
                  </w:r>
                </w:p>
              </w:tc>
            </w:tr>
          </w:tbl>
          <w:p>
            <w:pPr>
              <w:spacing w:line="360" w:lineRule="auto"/>
              <w:ind w:firstLine="422" w:firstLineChars="200"/>
              <w:rPr>
                <w:b/>
                <w:bCs/>
                <w:i/>
                <w:iCs/>
                <w:u w:val="single"/>
              </w:rPr>
            </w:pPr>
            <w:r>
              <w:rPr>
                <w:b/>
                <w:bCs/>
                <w:i/>
                <w:iCs/>
                <w:u w:val="single"/>
              </w:rPr>
              <w:t>由上表预测结果可以看出</w:t>
            </w:r>
            <w:r>
              <w:rPr>
                <w:rFonts w:hint="eastAsia"/>
                <w:b/>
                <w:bCs/>
                <w:i/>
                <w:iCs/>
                <w:u w:val="single"/>
              </w:rPr>
              <w:t>，噪声最大值为东厂界处，</w:t>
            </w:r>
            <w:r>
              <w:rPr>
                <w:b/>
                <w:bCs/>
                <w:i/>
                <w:iCs/>
                <w:u w:val="single"/>
              </w:rPr>
              <w:t>通过1根减振隔声和距离衰减</w:t>
            </w:r>
            <w:r>
              <w:rPr>
                <w:rFonts w:hint="eastAsia"/>
                <w:b/>
                <w:bCs/>
                <w:i/>
                <w:iCs/>
                <w:u w:val="single"/>
              </w:rPr>
              <w:t>以及厂房隔声后，</w:t>
            </w:r>
            <w:r>
              <w:rPr>
                <w:b/>
                <w:bCs/>
                <w:i/>
                <w:iCs/>
                <w:u w:val="single"/>
              </w:rPr>
              <w:t>厂界噪声</w:t>
            </w:r>
            <w:r>
              <w:rPr>
                <w:rFonts w:hint="eastAsia"/>
                <w:b/>
                <w:bCs/>
                <w:i/>
                <w:iCs/>
                <w:u w:val="single"/>
              </w:rPr>
              <w:t>贡献值</w:t>
            </w:r>
            <w:r>
              <w:rPr>
                <w:b/>
                <w:bCs/>
                <w:i/>
                <w:iCs/>
                <w:u w:val="single"/>
              </w:rPr>
              <w:t>昼间满足《工业企业厂界环境噪声排放标准》（GB12348-2008）中3类排放标准要求</w:t>
            </w:r>
            <w:r>
              <w:rPr>
                <w:rFonts w:hint="eastAsia"/>
                <w:b/>
                <w:bCs/>
                <w:i/>
                <w:iCs/>
                <w:u w:val="single"/>
              </w:rPr>
              <w:t>（昼间6</w:t>
            </w:r>
            <w:r>
              <w:rPr>
                <w:b/>
                <w:bCs/>
                <w:i/>
                <w:iCs/>
                <w:u w:val="single"/>
              </w:rPr>
              <w:t>5</w:t>
            </w:r>
            <w:r>
              <w:rPr>
                <w:rFonts w:hint="eastAsia"/>
                <w:b/>
                <w:bCs/>
                <w:i/>
                <w:iCs/>
                <w:u w:val="single"/>
              </w:rPr>
              <w:t>dB（A），夜间5</w:t>
            </w:r>
            <w:r>
              <w:rPr>
                <w:b/>
                <w:bCs/>
                <w:i/>
                <w:iCs/>
                <w:u w:val="single"/>
              </w:rPr>
              <w:t>5</w:t>
            </w:r>
            <w:r>
              <w:rPr>
                <w:rFonts w:hint="eastAsia"/>
                <w:b/>
                <w:bCs/>
                <w:i/>
                <w:iCs/>
                <w:u w:val="single"/>
              </w:rPr>
              <w:t>dB（A）），</w:t>
            </w:r>
            <w:r>
              <w:rPr>
                <w:b/>
                <w:bCs/>
                <w:i/>
                <w:iCs/>
                <w:u w:val="single"/>
              </w:rPr>
              <w:t>本项目运营期对周围声环境影响较小。</w:t>
            </w:r>
          </w:p>
          <w:p>
            <w:pPr>
              <w:adjustRightInd w:val="0"/>
              <w:snapToGrid w:val="0"/>
              <w:spacing w:line="360" w:lineRule="auto"/>
              <w:ind w:firstLine="422" w:firstLineChars="200"/>
              <w:rPr>
                <w:b/>
                <w:bCs/>
              </w:rPr>
            </w:pPr>
            <w:r>
              <w:rPr>
                <w:rFonts w:hint="eastAsia"/>
                <w:b/>
                <w:bCs/>
              </w:rPr>
              <w:t>3</w:t>
            </w:r>
            <w:r>
              <w:rPr>
                <w:b/>
                <w:bCs/>
              </w:rPr>
              <w:t xml:space="preserve">.3 </w:t>
            </w:r>
            <w:r>
              <w:rPr>
                <w:rFonts w:hint="eastAsia"/>
                <w:b/>
                <w:bCs/>
              </w:rPr>
              <w:t>噪声监测计划</w:t>
            </w:r>
          </w:p>
          <w:p>
            <w:pPr>
              <w:spacing w:line="360" w:lineRule="auto"/>
              <w:ind w:firstLine="420" w:firstLineChars="200"/>
              <w:rPr>
                <w:bCs/>
                <w:iCs/>
                <w:szCs w:val="21"/>
              </w:rPr>
            </w:pPr>
            <w:r>
              <w:rPr>
                <w:bCs/>
                <w:iCs/>
                <w:szCs w:val="21"/>
              </w:rPr>
              <w:t>根据《排污单位自行监测技术指南</w:t>
            </w:r>
            <w:r>
              <w:rPr>
                <w:rFonts w:hint="eastAsia"/>
                <w:bCs/>
                <w:iCs/>
                <w:szCs w:val="21"/>
              </w:rPr>
              <w:t xml:space="preserve"> </w:t>
            </w:r>
            <w:r>
              <w:rPr>
                <w:bCs/>
                <w:iCs/>
                <w:szCs w:val="21"/>
              </w:rPr>
              <w:t xml:space="preserve"> </w:t>
            </w:r>
            <w:r>
              <w:rPr>
                <w:rFonts w:hint="eastAsia"/>
                <w:bCs/>
                <w:iCs/>
                <w:szCs w:val="21"/>
              </w:rPr>
              <w:t>总则</w:t>
            </w:r>
            <w:r>
              <w:rPr>
                <w:bCs/>
                <w:iCs/>
                <w:szCs w:val="21"/>
              </w:rPr>
              <w:t>》（HJ 819-2017），噪声监测计划如下：</w:t>
            </w:r>
          </w:p>
          <w:p>
            <w:pPr>
              <w:pStyle w:val="42"/>
              <w:widowControl w:val="0"/>
              <w:spacing w:before="0" w:beforeLines="0"/>
              <w:rPr>
                <w:rFonts w:ascii="Times New Roman" w:hAnsi="Times New Roman"/>
                <w:color w:val="auto"/>
                <w:szCs w:val="21"/>
                <w:lang w:val="zh-CN"/>
              </w:rPr>
            </w:pPr>
            <w:r>
              <w:rPr>
                <w:rFonts w:hint="eastAsia" w:ascii="Times New Roman" w:hAnsi="Times New Roman"/>
                <w:color w:val="auto"/>
                <w:szCs w:val="21"/>
                <w:lang w:val="zh-CN"/>
              </w:rPr>
              <w:t>表4</w:t>
            </w:r>
            <w:r>
              <w:rPr>
                <w:rFonts w:ascii="Times New Roman" w:hAnsi="Times New Roman"/>
                <w:color w:val="auto"/>
                <w:szCs w:val="21"/>
                <w:lang w:val="zh-CN"/>
              </w:rPr>
              <w:t>-13  噪声监测计划一览表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238"/>
              <w:gridCol w:w="2713"/>
              <w:gridCol w:w="29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58" w:type="pct"/>
                  <w:vAlign w:val="center"/>
                </w:tcPr>
                <w:p>
                  <w:pPr>
                    <w:pStyle w:val="63"/>
                    <w:snapToGrid w:val="0"/>
                    <w:spacing w:line="240" w:lineRule="auto"/>
                    <w:jc w:val="center"/>
                    <w:rPr>
                      <w:rFonts w:ascii="Times New Roman" w:eastAsia="宋体"/>
                      <w:sz w:val="21"/>
                      <w:szCs w:val="21"/>
                    </w:rPr>
                  </w:pPr>
                  <w:r>
                    <w:rPr>
                      <w:rFonts w:ascii="Times New Roman" w:eastAsia="宋体"/>
                      <w:sz w:val="21"/>
                      <w:szCs w:val="21"/>
                    </w:rPr>
                    <w:t>类别</w:t>
                  </w:r>
                </w:p>
              </w:tc>
              <w:tc>
                <w:tcPr>
                  <w:tcW w:w="1254" w:type="pct"/>
                  <w:vAlign w:val="center"/>
                </w:tcPr>
                <w:p>
                  <w:pPr>
                    <w:adjustRightInd w:val="0"/>
                    <w:snapToGrid w:val="0"/>
                    <w:jc w:val="center"/>
                    <w:rPr>
                      <w:szCs w:val="21"/>
                    </w:rPr>
                  </w:pPr>
                  <w:r>
                    <w:rPr>
                      <w:szCs w:val="21"/>
                    </w:rPr>
                    <w:t>监测点位</w:t>
                  </w:r>
                </w:p>
              </w:tc>
              <w:tc>
                <w:tcPr>
                  <w:tcW w:w="1520" w:type="pct"/>
                  <w:vAlign w:val="center"/>
                </w:tcPr>
                <w:p>
                  <w:pPr>
                    <w:adjustRightInd w:val="0"/>
                    <w:snapToGrid w:val="0"/>
                    <w:jc w:val="center"/>
                    <w:rPr>
                      <w:szCs w:val="21"/>
                    </w:rPr>
                  </w:pPr>
                  <w:r>
                    <w:rPr>
                      <w:szCs w:val="21"/>
                    </w:rPr>
                    <w:t>监测项目</w:t>
                  </w:r>
                </w:p>
              </w:tc>
              <w:tc>
                <w:tcPr>
                  <w:tcW w:w="1668" w:type="pct"/>
                  <w:vAlign w:val="center"/>
                </w:tcPr>
                <w:p>
                  <w:pPr>
                    <w:adjustRightInd w:val="0"/>
                    <w:snapToGrid w:val="0"/>
                    <w:jc w:val="center"/>
                    <w:rPr>
                      <w:szCs w:val="21"/>
                    </w:rPr>
                  </w:pPr>
                  <w:r>
                    <w:rPr>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58" w:type="pct"/>
                  <w:vAlign w:val="center"/>
                </w:tcPr>
                <w:p>
                  <w:pPr>
                    <w:adjustRightInd w:val="0"/>
                    <w:snapToGrid w:val="0"/>
                    <w:jc w:val="center"/>
                    <w:rPr>
                      <w:szCs w:val="21"/>
                    </w:rPr>
                  </w:pPr>
                  <w:r>
                    <w:rPr>
                      <w:szCs w:val="21"/>
                    </w:rPr>
                    <w:t>噪声</w:t>
                  </w:r>
                </w:p>
              </w:tc>
              <w:tc>
                <w:tcPr>
                  <w:tcW w:w="1254" w:type="pct"/>
                  <w:vAlign w:val="center"/>
                </w:tcPr>
                <w:p>
                  <w:pPr>
                    <w:adjustRightInd w:val="0"/>
                    <w:snapToGrid w:val="0"/>
                    <w:jc w:val="center"/>
                    <w:rPr>
                      <w:szCs w:val="21"/>
                    </w:rPr>
                  </w:pPr>
                  <w:r>
                    <w:rPr>
                      <w:rFonts w:hint="eastAsia"/>
                      <w:szCs w:val="21"/>
                    </w:rPr>
                    <w:t>厂房外1m处</w:t>
                  </w:r>
                </w:p>
              </w:tc>
              <w:tc>
                <w:tcPr>
                  <w:tcW w:w="1520" w:type="pct"/>
                  <w:vAlign w:val="center"/>
                </w:tcPr>
                <w:p>
                  <w:pPr>
                    <w:adjustRightInd w:val="0"/>
                    <w:snapToGrid w:val="0"/>
                    <w:jc w:val="center"/>
                    <w:rPr>
                      <w:szCs w:val="21"/>
                    </w:rPr>
                  </w:pPr>
                  <w:r>
                    <w:rPr>
                      <w:szCs w:val="21"/>
                    </w:rPr>
                    <w:t>等效连续A声级</w:t>
                  </w:r>
                </w:p>
              </w:tc>
              <w:tc>
                <w:tcPr>
                  <w:tcW w:w="1668" w:type="pct"/>
                  <w:vAlign w:val="center"/>
                </w:tcPr>
                <w:p>
                  <w:pPr>
                    <w:adjustRightInd w:val="0"/>
                    <w:snapToGrid w:val="0"/>
                    <w:jc w:val="center"/>
                    <w:rPr>
                      <w:szCs w:val="21"/>
                    </w:rPr>
                  </w:pPr>
                  <w:r>
                    <w:rPr>
                      <w:szCs w:val="21"/>
                    </w:rPr>
                    <w:t>1次/季，</w:t>
                  </w:r>
                  <w:r>
                    <w:rPr>
                      <w:rFonts w:hint="eastAsia"/>
                      <w:szCs w:val="21"/>
                    </w:rPr>
                    <w:t>昼夜</w:t>
                  </w:r>
                  <w:r>
                    <w:rPr>
                      <w:szCs w:val="21"/>
                    </w:rPr>
                    <w:t>进行</w:t>
                  </w:r>
                </w:p>
              </w:tc>
            </w:tr>
          </w:tbl>
          <w:p>
            <w:pPr>
              <w:pStyle w:val="46"/>
              <w:widowControl w:val="0"/>
              <w:ind w:firstLine="422"/>
              <w:rPr>
                <w:rFonts w:cs="Times New Roman"/>
                <w:b/>
              </w:rPr>
            </w:pPr>
            <w:r>
              <w:rPr>
                <w:rFonts w:hint="eastAsia" w:cs="Times New Roman"/>
                <w:b/>
              </w:rPr>
              <w:t>4、固体废物</w:t>
            </w:r>
          </w:p>
          <w:p>
            <w:pPr>
              <w:spacing w:line="360" w:lineRule="auto"/>
              <w:ind w:firstLine="422" w:firstLineChars="200"/>
              <w:rPr>
                <w:b/>
                <w:bCs/>
                <w:szCs w:val="21"/>
              </w:rPr>
            </w:pPr>
            <w:r>
              <w:rPr>
                <w:b/>
                <w:bCs/>
                <w:szCs w:val="21"/>
              </w:rPr>
              <w:t>4.1 固体废弃物产生情况</w:t>
            </w:r>
          </w:p>
          <w:p>
            <w:pPr>
              <w:pStyle w:val="46"/>
              <w:widowControl w:val="0"/>
              <w:ind w:firstLine="420"/>
              <w:rPr>
                <w:rFonts w:cs="Times New Roman"/>
                <w:bCs/>
              </w:rPr>
            </w:pPr>
            <w:r>
              <w:rPr>
                <w:rFonts w:hint="eastAsia" w:cs="Times New Roman"/>
                <w:bCs/>
              </w:rPr>
              <w:t>本项目固体废物为废离子交换树脂，具体产生情况详见下表。</w:t>
            </w:r>
          </w:p>
          <w:p>
            <w:pPr>
              <w:pStyle w:val="42"/>
              <w:widowControl w:val="0"/>
              <w:spacing w:before="0" w:beforeLines="0"/>
              <w:rPr>
                <w:rFonts w:ascii="Times New Roman" w:hAnsi="Times New Roman"/>
                <w:color w:val="auto"/>
                <w:szCs w:val="21"/>
                <w:lang w:val="zh-CN"/>
              </w:rPr>
            </w:pPr>
            <w:r>
              <w:rPr>
                <w:rFonts w:hint="eastAsia" w:ascii="Times New Roman" w:hAnsi="Times New Roman"/>
                <w:color w:val="auto"/>
                <w:szCs w:val="21"/>
                <w:lang w:val="zh-CN"/>
              </w:rPr>
              <w:t>表4</w:t>
            </w:r>
            <w:r>
              <w:rPr>
                <w:rFonts w:ascii="Times New Roman" w:hAnsi="Times New Roman"/>
                <w:color w:val="auto"/>
                <w:szCs w:val="21"/>
                <w:lang w:val="zh-CN"/>
              </w:rPr>
              <w:t xml:space="preserve">-14  </w:t>
            </w:r>
            <w:r>
              <w:rPr>
                <w:rFonts w:hint="eastAsia" w:ascii="Times New Roman" w:hAnsi="Times New Roman"/>
                <w:color w:val="auto"/>
                <w:szCs w:val="21"/>
                <w:lang w:val="zh-CN"/>
              </w:rPr>
              <w:t>固体废物产排</w:t>
            </w:r>
            <w:r>
              <w:rPr>
                <w:rFonts w:ascii="Times New Roman" w:hAnsi="Times New Roman"/>
                <w:color w:val="auto"/>
                <w:szCs w:val="21"/>
                <w:lang w:val="zh-CN"/>
              </w:rPr>
              <w:t>一览表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55"/>
              <w:gridCol w:w="1119"/>
              <w:gridCol w:w="1119"/>
              <w:gridCol w:w="562"/>
              <w:gridCol w:w="801"/>
              <w:gridCol w:w="880"/>
              <w:gridCol w:w="564"/>
              <w:gridCol w:w="1162"/>
              <w:gridCol w:w="8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551" w:type="pct"/>
                  <w:vAlign w:val="center"/>
                </w:tcPr>
                <w:p>
                  <w:pPr>
                    <w:pStyle w:val="63"/>
                    <w:snapToGrid w:val="0"/>
                    <w:spacing w:line="240" w:lineRule="auto"/>
                    <w:jc w:val="center"/>
                    <w:rPr>
                      <w:rFonts w:ascii="Times New Roman" w:eastAsia="宋体"/>
                      <w:b/>
                      <w:bCs/>
                      <w:i/>
                      <w:iCs/>
                      <w:sz w:val="21"/>
                      <w:szCs w:val="21"/>
                      <w:u w:val="single"/>
                    </w:rPr>
                  </w:pPr>
                  <w:r>
                    <w:rPr>
                      <w:rFonts w:ascii="Times New Roman" w:eastAsia="宋体"/>
                      <w:b/>
                      <w:bCs/>
                      <w:i/>
                      <w:iCs/>
                      <w:sz w:val="21"/>
                      <w:szCs w:val="21"/>
                      <w:u w:val="single"/>
                    </w:rPr>
                    <w:t>产排环节</w:t>
                  </w:r>
                </w:p>
              </w:tc>
              <w:tc>
                <w:tcPr>
                  <w:tcW w:w="479" w:type="pct"/>
                  <w:vAlign w:val="center"/>
                </w:tcPr>
                <w:p>
                  <w:pPr>
                    <w:adjustRightInd w:val="0"/>
                    <w:snapToGrid w:val="0"/>
                    <w:jc w:val="center"/>
                    <w:rPr>
                      <w:b/>
                      <w:bCs/>
                      <w:i/>
                      <w:iCs/>
                      <w:szCs w:val="21"/>
                      <w:u w:val="single"/>
                    </w:rPr>
                  </w:pPr>
                  <w:r>
                    <w:rPr>
                      <w:b/>
                      <w:bCs/>
                      <w:i/>
                      <w:iCs/>
                      <w:szCs w:val="21"/>
                      <w:u w:val="single"/>
                    </w:rPr>
                    <w:t>名称</w:t>
                  </w:r>
                </w:p>
              </w:tc>
              <w:tc>
                <w:tcPr>
                  <w:tcW w:w="627" w:type="pct"/>
                  <w:vAlign w:val="center"/>
                </w:tcPr>
                <w:p>
                  <w:pPr>
                    <w:adjustRightInd w:val="0"/>
                    <w:snapToGrid w:val="0"/>
                    <w:jc w:val="center"/>
                    <w:rPr>
                      <w:b/>
                      <w:bCs/>
                      <w:i/>
                      <w:iCs/>
                      <w:szCs w:val="21"/>
                      <w:u w:val="single"/>
                    </w:rPr>
                  </w:pPr>
                  <w:r>
                    <w:rPr>
                      <w:b/>
                      <w:bCs/>
                      <w:i/>
                      <w:iCs/>
                      <w:szCs w:val="21"/>
                      <w:u w:val="single"/>
                    </w:rPr>
                    <w:t>属性</w:t>
                  </w:r>
                </w:p>
              </w:tc>
              <w:tc>
                <w:tcPr>
                  <w:tcW w:w="627" w:type="pct"/>
                  <w:vAlign w:val="center"/>
                </w:tcPr>
                <w:p>
                  <w:pPr>
                    <w:adjustRightInd w:val="0"/>
                    <w:snapToGrid w:val="0"/>
                    <w:jc w:val="center"/>
                    <w:rPr>
                      <w:b/>
                      <w:bCs/>
                      <w:i/>
                      <w:iCs/>
                      <w:szCs w:val="21"/>
                      <w:u w:val="single"/>
                    </w:rPr>
                  </w:pPr>
                  <w:r>
                    <w:rPr>
                      <w:b/>
                      <w:bCs/>
                      <w:i/>
                      <w:iCs/>
                      <w:szCs w:val="21"/>
                      <w:u w:val="single"/>
                    </w:rPr>
                    <w:t>主要污染物有毒有害物质名称</w:t>
                  </w:r>
                </w:p>
              </w:tc>
              <w:tc>
                <w:tcPr>
                  <w:tcW w:w="315" w:type="pct"/>
                  <w:vAlign w:val="center"/>
                </w:tcPr>
                <w:p>
                  <w:pPr>
                    <w:adjustRightInd w:val="0"/>
                    <w:snapToGrid w:val="0"/>
                    <w:jc w:val="center"/>
                    <w:rPr>
                      <w:b/>
                      <w:bCs/>
                      <w:i/>
                      <w:iCs/>
                      <w:szCs w:val="21"/>
                      <w:u w:val="single"/>
                    </w:rPr>
                  </w:pPr>
                  <w:r>
                    <w:rPr>
                      <w:b/>
                      <w:bCs/>
                      <w:i/>
                      <w:iCs/>
                      <w:szCs w:val="21"/>
                      <w:u w:val="single"/>
                    </w:rPr>
                    <w:t>物理性状</w:t>
                  </w:r>
                </w:p>
              </w:tc>
              <w:tc>
                <w:tcPr>
                  <w:tcW w:w="449" w:type="pct"/>
                  <w:vAlign w:val="center"/>
                </w:tcPr>
                <w:p>
                  <w:pPr>
                    <w:adjustRightInd w:val="0"/>
                    <w:snapToGrid w:val="0"/>
                    <w:jc w:val="center"/>
                    <w:rPr>
                      <w:b/>
                      <w:bCs/>
                      <w:i/>
                      <w:iCs/>
                      <w:szCs w:val="21"/>
                      <w:u w:val="single"/>
                    </w:rPr>
                  </w:pPr>
                  <w:r>
                    <w:rPr>
                      <w:b/>
                      <w:bCs/>
                      <w:i/>
                      <w:iCs/>
                      <w:szCs w:val="21"/>
                      <w:u w:val="single"/>
                    </w:rPr>
                    <w:t>环境危险特性</w:t>
                  </w:r>
                </w:p>
              </w:tc>
              <w:tc>
                <w:tcPr>
                  <w:tcW w:w="493" w:type="pct"/>
                  <w:vAlign w:val="center"/>
                </w:tcPr>
                <w:p>
                  <w:pPr>
                    <w:adjustRightInd w:val="0"/>
                    <w:snapToGrid w:val="0"/>
                    <w:jc w:val="center"/>
                    <w:rPr>
                      <w:b/>
                      <w:bCs/>
                      <w:i/>
                      <w:iCs/>
                      <w:szCs w:val="21"/>
                      <w:u w:val="single"/>
                    </w:rPr>
                  </w:pPr>
                  <w:r>
                    <w:rPr>
                      <w:b/>
                      <w:bCs/>
                      <w:i/>
                      <w:iCs/>
                      <w:szCs w:val="21"/>
                      <w:u w:val="single"/>
                    </w:rPr>
                    <w:t>年度</w:t>
                  </w:r>
                </w:p>
                <w:p>
                  <w:pPr>
                    <w:adjustRightInd w:val="0"/>
                    <w:snapToGrid w:val="0"/>
                    <w:jc w:val="center"/>
                    <w:rPr>
                      <w:b/>
                      <w:bCs/>
                      <w:i/>
                      <w:iCs/>
                      <w:szCs w:val="21"/>
                      <w:u w:val="single"/>
                    </w:rPr>
                  </w:pPr>
                  <w:r>
                    <w:rPr>
                      <w:b/>
                      <w:bCs/>
                      <w:i/>
                      <w:iCs/>
                      <w:szCs w:val="21"/>
                      <w:u w:val="single"/>
                    </w:rPr>
                    <w:t>产生量</w:t>
                  </w:r>
                </w:p>
                <w:p>
                  <w:pPr>
                    <w:adjustRightInd w:val="0"/>
                    <w:snapToGrid w:val="0"/>
                    <w:jc w:val="center"/>
                    <w:rPr>
                      <w:b/>
                      <w:bCs/>
                      <w:i/>
                      <w:iCs/>
                      <w:szCs w:val="21"/>
                      <w:u w:val="single"/>
                    </w:rPr>
                  </w:pPr>
                  <w:r>
                    <w:rPr>
                      <w:b/>
                      <w:bCs/>
                      <w:i/>
                      <w:iCs/>
                      <w:szCs w:val="21"/>
                      <w:u w:val="single"/>
                    </w:rPr>
                    <w:t>（t/a）</w:t>
                  </w:r>
                </w:p>
              </w:tc>
              <w:tc>
                <w:tcPr>
                  <w:tcW w:w="316" w:type="pct"/>
                  <w:vAlign w:val="center"/>
                </w:tcPr>
                <w:p>
                  <w:pPr>
                    <w:adjustRightInd w:val="0"/>
                    <w:snapToGrid w:val="0"/>
                    <w:jc w:val="center"/>
                    <w:rPr>
                      <w:b/>
                      <w:bCs/>
                      <w:i/>
                      <w:iCs/>
                      <w:szCs w:val="21"/>
                      <w:u w:val="single"/>
                    </w:rPr>
                  </w:pPr>
                  <w:r>
                    <w:rPr>
                      <w:b/>
                      <w:bCs/>
                      <w:i/>
                      <w:iCs/>
                      <w:szCs w:val="21"/>
                      <w:u w:val="single"/>
                    </w:rPr>
                    <w:t>贮存方式</w:t>
                  </w:r>
                </w:p>
              </w:tc>
              <w:tc>
                <w:tcPr>
                  <w:tcW w:w="651" w:type="pct"/>
                  <w:vAlign w:val="center"/>
                </w:tcPr>
                <w:p>
                  <w:pPr>
                    <w:adjustRightInd w:val="0"/>
                    <w:snapToGrid w:val="0"/>
                    <w:jc w:val="center"/>
                    <w:rPr>
                      <w:b/>
                      <w:bCs/>
                      <w:i/>
                      <w:iCs/>
                      <w:szCs w:val="21"/>
                      <w:u w:val="single"/>
                    </w:rPr>
                  </w:pPr>
                  <w:r>
                    <w:rPr>
                      <w:b/>
                      <w:bCs/>
                      <w:i/>
                      <w:iCs/>
                      <w:szCs w:val="21"/>
                      <w:u w:val="single"/>
                    </w:rPr>
                    <w:t>利用处置方式和去向</w:t>
                  </w:r>
                </w:p>
              </w:tc>
              <w:tc>
                <w:tcPr>
                  <w:tcW w:w="493" w:type="pct"/>
                  <w:vAlign w:val="center"/>
                </w:tcPr>
                <w:p>
                  <w:pPr>
                    <w:adjustRightInd w:val="0"/>
                    <w:snapToGrid w:val="0"/>
                    <w:jc w:val="center"/>
                    <w:rPr>
                      <w:b/>
                      <w:bCs/>
                      <w:i/>
                      <w:iCs/>
                      <w:szCs w:val="21"/>
                      <w:u w:val="single"/>
                    </w:rPr>
                  </w:pPr>
                  <w:r>
                    <w:rPr>
                      <w:b/>
                      <w:bCs/>
                      <w:i/>
                      <w:iCs/>
                      <w:szCs w:val="21"/>
                      <w:u w:val="single"/>
                    </w:rPr>
                    <w:t>利用或</w:t>
                  </w:r>
                </w:p>
                <w:p>
                  <w:pPr>
                    <w:adjustRightInd w:val="0"/>
                    <w:snapToGrid w:val="0"/>
                    <w:jc w:val="center"/>
                    <w:rPr>
                      <w:b/>
                      <w:bCs/>
                      <w:i/>
                      <w:iCs/>
                      <w:szCs w:val="21"/>
                      <w:u w:val="single"/>
                    </w:rPr>
                  </w:pPr>
                  <w:r>
                    <w:rPr>
                      <w:b/>
                      <w:bCs/>
                      <w:i/>
                      <w:iCs/>
                      <w:szCs w:val="21"/>
                      <w:u w:val="single"/>
                    </w:rPr>
                    <w:t>处置量</w:t>
                  </w:r>
                </w:p>
                <w:p>
                  <w:pPr>
                    <w:adjustRightInd w:val="0"/>
                    <w:snapToGrid w:val="0"/>
                    <w:jc w:val="center"/>
                    <w:rPr>
                      <w:b/>
                      <w:bCs/>
                      <w:i/>
                      <w:iCs/>
                      <w:szCs w:val="21"/>
                      <w:u w:val="single"/>
                    </w:rPr>
                  </w:pPr>
                  <w:r>
                    <w:rPr>
                      <w:b/>
                      <w:bCs/>
                      <w:i/>
                      <w:iCs/>
                      <w:szCs w:val="21"/>
                      <w:u w:val="singl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551" w:type="pct"/>
                  <w:vAlign w:val="center"/>
                </w:tcPr>
                <w:p>
                  <w:pPr>
                    <w:pStyle w:val="63"/>
                    <w:snapToGrid w:val="0"/>
                    <w:spacing w:line="240" w:lineRule="auto"/>
                    <w:jc w:val="center"/>
                    <w:rPr>
                      <w:rFonts w:ascii="Times New Roman" w:eastAsia="宋体"/>
                      <w:b/>
                      <w:bCs/>
                      <w:i/>
                      <w:iCs/>
                      <w:sz w:val="21"/>
                      <w:szCs w:val="21"/>
                      <w:u w:val="single"/>
                    </w:rPr>
                  </w:pPr>
                  <w:r>
                    <w:rPr>
                      <w:rFonts w:hint="eastAsia" w:ascii="Times New Roman" w:eastAsia="宋体"/>
                      <w:b/>
                      <w:bCs/>
                      <w:i/>
                      <w:iCs/>
                      <w:sz w:val="21"/>
                      <w:szCs w:val="21"/>
                      <w:u w:val="single"/>
                    </w:rPr>
                    <w:t>软化水系统</w:t>
                  </w:r>
                </w:p>
              </w:tc>
              <w:tc>
                <w:tcPr>
                  <w:tcW w:w="479" w:type="pct"/>
                  <w:vAlign w:val="center"/>
                </w:tcPr>
                <w:p>
                  <w:pPr>
                    <w:adjustRightInd w:val="0"/>
                    <w:snapToGrid w:val="0"/>
                    <w:jc w:val="center"/>
                    <w:rPr>
                      <w:b/>
                      <w:bCs/>
                      <w:i/>
                      <w:iCs/>
                      <w:szCs w:val="21"/>
                      <w:u w:val="single"/>
                    </w:rPr>
                  </w:pPr>
                  <w:r>
                    <w:rPr>
                      <w:rFonts w:hint="eastAsia"/>
                      <w:b/>
                      <w:bCs/>
                      <w:i/>
                      <w:iCs/>
                      <w:szCs w:val="21"/>
                      <w:u w:val="single"/>
                    </w:rPr>
                    <w:t>离子交换树脂</w:t>
                  </w:r>
                </w:p>
              </w:tc>
              <w:tc>
                <w:tcPr>
                  <w:tcW w:w="627" w:type="pct"/>
                  <w:vAlign w:val="center"/>
                </w:tcPr>
                <w:p>
                  <w:pPr>
                    <w:adjustRightInd w:val="0"/>
                    <w:snapToGrid w:val="0"/>
                    <w:jc w:val="center"/>
                    <w:rPr>
                      <w:b/>
                      <w:bCs/>
                      <w:i/>
                      <w:iCs/>
                      <w:szCs w:val="21"/>
                      <w:u w:val="single"/>
                    </w:rPr>
                  </w:pPr>
                  <w:r>
                    <w:rPr>
                      <w:b/>
                      <w:bCs/>
                      <w:i/>
                      <w:iCs/>
                      <w:szCs w:val="21"/>
                      <w:u w:val="single"/>
                    </w:rPr>
                    <w:t>一般固体废物</w:t>
                  </w:r>
                </w:p>
                <w:p>
                  <w:pPr>
                    <w:adjustRightInd w:val="0"/>
                    <w:snapToGrid w:val="0"/>
                    <w:jc w:val="center"/>
                    <w:rPr>
                      <w:b/>
                      <w:bCs/>
                      <w:i/>
                      <w:iCs/>
                      <w:szCs w:val="21"/>
                      <w:u w:val="single"/>
                    </w:rPr>
                  </w:pPr>
                  <w:r>
                    <w:rPr>
                      <w:b/>
                      <w:bCs/>
                      <w:i/>
                      <w:iCs/>
                      <w:u w:val="single"/>
                    </w:rPr>
                    <w:t>900-999-99</w:t>
                  </w:r>
                </w:p>
              </w:tc>
              <w:tc>
                <w:tcPr>
                  <w:tcW w:w="627" w:type="pct"/>
                  <w:vAlign w:val="center"/>
                </w:tcPr>
                <w:p>
                  <w:pPr>
                    <w:adjustRightInd w:val="0"/>
                    <w:snapToGrid w:val="0"/>
                    <w:jc w:val="center"/>
                    <w:rPr>
                      <w:b/>
                      <w:bCs/>
                      <w:i/>
                      <w:iCs/>
                      <w:szCs w:val="21"/>
                      <w:u w:val="single"/>
                    </w:rPr>
                  </w:pPr>
                  <w:r>
                    <w:rPr>
                      <w:rFonts w:hint="eastAsia"/>
                      <w:b/>
                      <w:bCs/>
                      <w:i/>
                      <w:iCs/>
                      <w:szCs w:val="21"/>
                      <w:u w:val="single"/>
                    </w:rPr>
                    <w:t>/</w:t>
                  </w:r>
                </w:p>
              </w:tc>
              <w:tc>
                <w:tcPr>
                  <w:tcW w:w="315" w:type="pct"/>
                  <w:vAlign w:val="center"/>
                </w:tcPr>
                <w:p>
                  <w:pPr>
                    <w:adjustRightInd w:val="0"/>
                    <w:snapToGrid w:val="0"/>
                    <w:jc w:val="center"/>
                    <w:rPr>
                      <w:b/>
                      <w:bCs/>
                      <w:i/>
                      <w:iCs/>
                      <w:szCs w:val="21"/>
                      <w:u w:val="single"/>
                    </w:rPr>
                  </w:pPr>
                  <w:r>
                    <w:rPr>
                      <w:rFonts w:hint="eastAsia"/>
                      <w:b/>
                      <w:bCs/>
                      <w:i/>
                      <w:iCs/>
                      <w:szCs w:val="21"/>
                      <w:u w:val="single"/>
                    </w:rPr>
                    <w:t>固态</w:t>
                  </w:r>
                </w:p>
              </w:tc>
              <w:tc>
                <w:tcPr>
                  <w:tcW w:w="449" w:type="pct"/>
                  <w:vAlign w:val="center"/>
                </w:tcPr>
                <w:p>
                  <w:pPr>
                    <w:adjustRightInd w:val="0"/>
                    <w:snapToGrid w:val="0"/>
                    <w:jc w:val="center"/>
                    <w:rPr>
                      <w:b/>
                      <w:bCs/>
                      <w:i/>
                      <w:iCs/>
                      <w:szCs w:val="21"/>
                      <w:u w:val="single"/>
                    </w:rPr>
                  </w:pPr>
                  <w:r>
                    <w:rPr>
                      <w:rFonts w:hint="eastAsia"/>
                      <w:b/>
                      <w:bCs/>
                      <w:i/>
                      <w:iCs/>
                      <w:szCs w:val="21"/>
                      <w:u w:val="single"/>
                    </w:rPr>
                    <w:t>/</w:t>
                  </w:r>
                </w:p>
              </w:tc>
              <w:tc>
                <w:tcPr>
                  <w:tcW w:w="493" w:type="pct"/>
                  <w:vAlign w:val="center"/>
                </w:tcPr>
                <w:p>
                  <w:pPr>
                    <w:adjustRightInd w:val="0"/>
                    <w:snapToGrid w:val="0"/>
                    <w:jc w:val="center"/>
                    <w:rPr>
                      <w:b/>
                      <w:bCs/>
                      <w:i/>
                      <w:iCs/>
                      <w:szCs w:val="21"/>
                      <w:u w:val="single"/>
                    </w:rPr>
                  </w:pPr>
                  <w:r>
                    <w:rPr>
                      <w:rFonts w:hint="eastAsia"/>
                      <w:b/>
                      <w:bCs/>
                      <w:i/>
                      <w:iCs/>
                      <w:szCs w:val="21"/>
                      <w:u w:val="single"/>
                    </w:rPr>
                    <w:t>0</w:t>
                  </w:r>
                  <w:r>
                    <w:rPr>
                      <w:b/>
                      <w:bCs/>
                      <w:i/>
                      <w:iCs/>
                      <w:szCs w:val="21"/>
                      <w:u w:val="single"/>
                    </w:rPr>
                    <w:t>.1</w:t>
                  </w:r>
                </w:p>
              </w:tc>
              <w:tc>
                <w:tcPr>
                  <w:tcW w:w="316" w:type="pct"/>
                  <w:vAlign w:val="center"/>
                </w:tcPr>
                <w:p>
                  <w:pPr>
                    <w:adjustRightInd w:val="0"/>
                    <w:snapToGrid w:val="0"/>
                    <w:jc w:val="center"/>
                    <w:rPr>
                      <w:b/>
                      <w:bCs/>
                      <w:i/>
                      <w:iCs/>
                      <w:szCs w:val="21"/>
                      <w:u w:val="single"/>
                    </w:rPr>
                  </w:pPr>
                  <w:r>
                    <w:rPr>
                      <w:rFonts w:hint="eastAsia"/>
                      <w:b/>
                      <w:bCs/>
                      <w:i/>
                      <w:iCs/>
                      <w:szCs w:val="21"/>
                      <w:u w:val="single"/>
                    </w:rPr>
                    <w:t>桶装</w:t>
                  </w:r>
                </w:p>
              </w:tc>
              <w:tc>
                <w:tcPr>
                  <w:tcW w:w="651" w:type="pct"/>
                  <w:vAlign w:val="center"/>
                </w:tcPr>
                <w:p>
                  <w:pPr>
                    <w:adjustRightInd w:val="0"/>
                    <w:snapToGrid w:val="0"/>
                    <w:jc w:val="center"/>
                    <w:rPr>
                      <w:b/>
                      <w:bCs/>
                      <w:i/>
                      <w:iCs/>
                      <w:szCs w:val="21"/>
                      <w:u w:val="single"/>
                    </w:rPr>
                  </w:pPr>
                  <w:bookmarkStart w:id="11" w:name="_Hlk149223651"/>
                  <w:r>
                    <w:rPr>
                      <w:rFonts w:hint="eastAsia"/>
                      <w:b/>
                      <w:bCs/>
                      <w:i/>
                      <w:iCs/>
                      <w:u w:val="single"/>
                    </w:rPr>
                    <w:t>委托环卫部门定期处理</w:t>
                  </w:r>
                  <w:bookmarkEnd w:id="11"/>
                </w:p>
              </w:tc>
              <w:tc>
                <w:tcPr>
                  <w:tcW w:w="493" w:type="pct"/>
                  <w:vAlign w:val="center"/>
                </w:tcPr>
                <w:p>
                  <w:pPr>
                    <w:adjustRightInd w:val="0"/>
                    <w:snapToGrid w:val="0"/>
                    <w:jc w:val="center"/>
                    <w:rPr>
                      <w:b/>
                      <w:bCs/>
                      <w:i/>
                      <w:iCs/>
                      <w:szCs w:val="21"/>
                      <w:u w:val="single"/>
                    </w:rPr>
                  </w:pPr>
                  <w:r>
                    <w:rPr>
                      <w:rFonts w:hint="eastAsia"/>
                      <w:b/>
                      <w:bCs/>
                      <w:i/>
                      <w:iCs/>
                      <w:szCs w:val="21"/>
                      <w:u w:val="single"/>
                    </w:rPr>
                    <w:t>0</w:t>
                  </w:r>
                  <w:r>
                    <w:rPr>
                      <w:b/>
                      <w:bCs/>
                      <w:i/>
                      <w:iCs/>
                      <w:szCs w:val="21"/>
                      <w:u w:val="single"/>
                    </w:rPr>
                    <w:t>.1</w:t>
                  </w:r>
                </w:p>
              </w:tc>
            </w:tr>
          </w:tbl>
          <w:p>
            <w:pPr>
              <w:pStyle w:val="46"/>
              <w:widowControl w:val="0"/>
              <w:adjustRightInd w:val="0"/>
              <w:snapToGrid w:val="0"/>
              <w:ind w:firstLine="422"/>
              <w:rPr>
                <w:b/>
                <w:bCs/>
              </w:rPr>
            </w:pPr>
            <w:r>
              <w:rPr>
                <w:b/>
                <w:bCs/>
              </w:rPr>
              <w:t>4.2 环境管理要求</w:t>
            </w:r>
          </w:p>
          <w:p>
            <w:pPr>
              <w:pStyle w:val="46"/>
              <w:widowControl w:val="0"/>
              <w:adjustRightInd w:val="0"/>
              <w:snapToGrid w:val="0"/>
              <w:ind w:firstLine="420"/>
            </w:pPr>
            <w:r>
              <w:rPr>
                <w:rFonts w:hint="eastAsia"/>
              </w:rPr>
              <w:t>①</w:t>
            </w:r>
            <w:r>
              <w:t>一般固体废物暂存区</w:t>
            </w:r>
          </w:p>
          <w:p>
            <w:pPr>
              <w:pStyle w:val="46"/>
              <w:widowControl w:val="0"/>
              <w:adjustRightInd w:val="0"/>
              <w:snapToGrid w:val="0"/>
              <w:ind w:firstLine="420"/>
            </w:pPr>
            <w:r>
              <w:t>一般固</w:t>
            </w:r>
            <w:r>
              <w:rPr>
                <w:rFonts w:hint="eastAsia"/>
              </w:rPr>
              <w:t>体</w:t>
            </w:r>
            <w:r>
              <w:t>废物暂存区按照《一般工业固体废物贮存和填埋污染控制标准》（GB 18599-2020）设计。设置防风、防晒、防雨措施，周边设置导流渠，防止雨水径流进入贮存、处置场内。一般固废物暂存区按GB 15562.2设置环境保护图形标志。建立检查维护和档案制度，定期检查维护导流渠等设施，发现有损坏可能或异常，及时采取必要措施，以保障正常运行，将入场的一般工业固体废物的种类和数量以及检查维护资料详细记录在案，长期保存。</w:t>
            </w:r>
          </w:p>
          <w:p>
            <w:pPr>
              <w:pStyle w:val="46"/>
              <w:widowControl w:val="0"/>
              <w:adjustRightInd w:val="0"/>
              <w:snapToGrid w:val="0"/>
              <w:ind w:firstLine="420"/>
            </w:pPr>
            <w:r>
              <w:t>本项目一般固废暂存区设置在</w:t>
            </w:r>
            <w:r>
              <w:rPr>
                <w:rFonts w:hint="eastAsia"/>
              </w:rPr>
              <w:t>生产车间</w:t>
            </w:r>
            <w:r>
              <w:t>，符合上述要求。</w:t>
            </w:r>
          </w:p>
          <w:p>
            <w:pPr>
              <w:pStyle w:val="46"/>
              <w:widowControl w:val="0"/>
              <w:ind w:firstLine="422"/>
              <w:rPr>
                <w:rFonts w:cs="Times New Roman"/>
                <w:b/>
              </w:rPr>
            </w:pPr>
            <w:r>
              <w:rPr>
                <w:rFonts w:hint="eastAsia" w:cs="Times New Roman"/>
                <w:b/>
              </w:rPr>
              <w:t>5、地下水、土壤</w:t>
            </w:r>
          </w:p>
          <w:p>
            <w:pPr>
              <w:pStyle w:val="46"/>
              <w:widowControl w:val="0"/>
              <w:ind w:firstLine="420"/>
              <w:rPr>
                <w:rFonts w:cs="Times New Roman"/>
                <w:bCs/>
              </w:rPr>
            </w:pPr>
            <w:r>
              <w:rPr>
                <w:rFonts w:hint="eastAsia" w:cs="Times New Roman"/>
                <w:bCs/>
              </w:rPr>
              <w:t>本项目无地下水、土壤污染途径。</w:t>
            </w:r>
          </w:p>
          <w:p>
            <w:pPr>
              <w:pStyle w:val="46"/>
              <w:widowControl w:val="0"/>
              <w:ind w:firstLine="422"/>
              <w:rPr>
                <w:rFonts w:cs="Times New Roman"/>
                <w:b/>
              </w:rPr>
            </w:pPr>
            <w:r>
              <w:rPr>
                <w:rFonts w:hint="eastAsia" w:cs="Times New Roman"/>
                <w:b/>
              </w:rPr>
              <w:t>6、生态</w:t>
            </w:r>
          </w:p>
          <w:p>
            <w:pPr>
              <w:adjustRightInd w:val="0"/>
              <w:snapToGrid w:val="0"/>
              <w:spacing w:line="360" w:lineRule="auto"/>
              <w:ind w:firstLine="420" w:firstLineChars="200"/>
            </w:pPr>
            <w:r>
              <w:rPr>
                <w:rFonts w:hint="eastAsia"/>
              </w:rPr>
              <w:t>本项目位于</w:t>
            </w:r>
            <w:r>
              <w:rPr>
                <w:szCs w:val="21"/>
              </w:rPr>
              <w:t>吉林省长春市北湖科技开发区</w:t>
            </w:r>
            <w:r>
              <w:rPr>
                <w:rFonts w:hint="eastAsia"/>
              </w:rPr>
              <w:t>，不涉及耕地和基本农田，因此无生态影响。</w:t>
            </w:r>
          </w:p>
          <w:p>
            <w:pPr>
              <w:pStyle w:val="46"/>
              <w:widowControl w:val="0"/>
              <w:ind w:firstLine="422"/>
              <w:rPr>
                <w:rFonts w:cs="Times New Roman"/>
                <w:b/>
              </w:rPr>
            </w:pPr>
            <w:r>
              <w:rPr>
                <w:rFonts w:hint="eastAsia" w:cs="Times New Roman"/>
                <w:b/>
              </w:rPr>
              <w:t>7、环境风险</w:t>
            </w:r>
          </w:p>
          <w:p>
            <w:pPr>
              <w:adjustRightInd w:val="0"/>
              <w:snapToGrid w:val="0"/>
              <w:spacing w:line="360" w:lineRule="auto"/>
              <w:ind w:firstLine="420" w:firstLineChars="200"/>
            </w:pPr>
            <w:r>
              <w:rPr>
                <w:rFonts w:hint="eastAsia"/>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出科学依据。本次环境风险评价根据《建设项目环境风险评价技术导则》（HJ</w:t>
            </w:r>
            <w:r>
              <w:t xml:space="preserve"> </w:t>
            </w:r>
            <w:r>
              <w:rPr>
                <w:rFonts w:hint="eastAsia"/>
              </w:rPr>
              <w:t>169-2018）进行，主要内容包括风险源调查、环境敏感目标调查、环境风险潜势初判、风险识别、环境风险分析、环境风险防范措施及应急要求等。</w:t>
            </w:r>
          </w:p>
          <w:p>
            <w:pPr>
              <w:adjustRightInd w:val="0"/>
              <w:snapToGrid w:val="0"/>
              <w:spacing w:line="360" w:lineRule="auto"/>
              <w:ind w:firstLine="422" w:firstLineChars="200"/>
              <w:rPr>
                <w:b/>
                <w:bCs/>
              </w:rPr>
            </w:pPr>
            <w:r>
              <w:rPr>
                <w:b/>
                <w:bCs/>
              </w:rPr>
              <w:t xml:space="preserve">7.1 </w:t>
            </w:r>
            <w:r>
              <w:rPr>
                <w:rFonts w:hint="eastAsia"/>
                <w:b/>
                <w:bCs/>
              </w:rPr>
              <w:t>评价工作等级及评价范围</w:t>
            </w:r>
          </w:p>
          <w:p>
            <w:pPr>
              <w:adjustRightInd w:val="0"/>
              <w:snapToGrid w:val="0"/>
              <w:spacing w:line="360" w:lineRule="auto"/>
              <w:ind w:firstLine="420" w:firstLineChars="200"/>
            </w:pPr>
            <w:r>
              <w:t>根据《建设项目环境风险评价技术导则》（HJ 169-2018）中风险物质主要为</w:t>
            </w:r>
            <w:r>
              <w:rPr>
                <w:rFonts w:hint="eastAsia"/>
                <w:szCs w:val="21"/>
              </w:rPr>
              <w:t>天然气（天然气主要位于天然气管道中）</w:t>
            </w:r>
            <w:r>
              <w:rPr>
                <w:rFonts w:hint="eastAsia"/>
              </w:rPr>
              <w:t>，</w:t>
            </w:r>
            <w:r>
              <w:t>本项目风险物质最大存储量详见下表。</w:t>
            </w:r>
          </w:p>
          <w:p>
            <w:pPr>
              <w:pStyle w:val="46"/>
              <w:widowControl w:val="0"/>
              <w:adjustRightInd w:val="0"/>
              <w:snapToGrid w:val="0"/>
              <w:spacing w:line="240" w:lineRule="auto"/>
              <w:ind w:firstLine="0" w:firstLineChars="0"/>
              <w:jc w:val="center"/>
              <w:rPr>
                <w:rStyle w:val="54"/>
                <w:rFonts w:hint="default"/>
                <w:b/>
                <w:bCs/>
                <w:sz w:val="21"/>
                <w:szCs w:val="21"/>
              </w:rPr>
            </w:pPr>
            <w:r>
              <w:rPr>
                <w:rStyle w:val="54"/>
                <w:rFonts w:hint="default" w:cs="Times New Roman"/>
                <w:b/>
                <w:bCs/>
                <w:sz w:val="21"/>
                <w:szCs w:val="21"/>
              </w:rPr>
              <w:t>表</w:t>
            </w:r>
            <w:r>
              <w:rPr>
                <w:rStyle w:val="54"/>
                <w:rFonts w:hint="default" w:ascii="Times New Roman" w:hAnsi="Times New Roman" w:cs="Times New Roman"/>
                <w:b/>
                <w:bCs/>
                <w:sz w:val="21"/>
                <w:szCs w:val="21"/>
              </w:rPr>
              <w:t xml:space="preserve">4-14 </w:t>
            </w:r>
            <w:r>
              <w:rPr>
                <w:rStyle w:val="54"/>
                <w:rFonts w:hint="default"/>
                <w:b/>
                <w:bCs/>
                <w:sz w:val="21"/>
                <w:szCs w:val="21"/>
              </w:rPr>
              <w:t xml:space="preserve"> 本项目风险物质最大存储量一览表</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1739"/>
              <w:gridCol w:w="1739"/>
              <w:gridCol w:w="1739"/>
              <w:gridCol w:w="1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pStyle w:val="56"/>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z w:val="21"/>
                      <w:szCs w:val="21"/>
                    </w:rPr>
                    <w:t>序号</w:t>
                  </w:r>
                </w:p>
              </w:tc>
              <w:tc>
                <w:tcPr>
                  <w:tcW w:w="1739" w:type="dxa"/>
                  <w:vAlign w:val="center"/>
                </w:tcPr>
                <w:p>
                  <w:pPr>
                    <w:pStyle w:val="56"/>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z w:val="21"/>
                      <w:szCs w:val="21"/>
                    </w:rPr>
                    <w:t>风险物质</w:t>
                  </w:r>
                </w:p>
              </w:tc>
              <w:tc>
                <w:tcPr>
                  <w:tcW w:w="1739" w:type="dxa"/>
                  <w:vAlign w:val="center"/>
                </w:tcPr>
                <w:p>
                  <w:pPr>
                    <w:pStyle w:val="56"/>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19"/>
                      <w:sz w:val="21"/>
                      <w:szCs w:val="21"/>
                    </w:rPr>
                    <w:t>最大存储量</w:t>
                  </w:r>
                  <w:r>
                    <w:rPr>
                      <w:rFonts w:ascii="Times New Roman" w:hAnsi="Times New Roman" w:cs="Times New Roman"/>
                      <w:color w:val="auto"/>
                      <w:sz w:val="21"/>
                      <w:szCs w:val="21"/>
                    </w:rPr>
                    <w:t>（t）</w:t>
                  </w:r>
                </w:p>
              </w:tc>
              <w:tc>
                <w:tcPr>
                  <w:tcW w:w="1739" w:type="dxa"/>
                  <w:vAlign w:val="center"/>
                </w:tcPr>
                <w:p>
                  <w:pPr>
                    <w:pStyle w:val="56"/>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z w:val="21"/>
                      <w:szCs w:val="21"/>
                    </w:rPr>
                    <w:t>临界量（t）</w:t>
                  </w:r>
                </w:p>
              </w:tc>
              <w:tc>
                <w:tcPr>
                  <w:tcW w:w="1739" w:type="dxa"/>
                  <w:vAlign w:val="center"/>
                </w:tcPr>
                <w:p>
                  <w:pPr>
                    <w:pStyle w:val="56"/>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z w:val="21"/>
                      <w:szCs w:val="21"/>
                    </w:rPr>
                    <w:t>Q 值计算结果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pStyle w:val="56"/>
                    <w:spacing w:line="240" w:lineRule="auto"/>
                    <w:ind w:firstLine="0" w:firstLineChars="0"/>
                    <w:jc w:val="center"/>
                    <w:rPr>
                      <w:rFonts w:ascii="Times New Roman" w:hAnsi="Times New Roman" w:cs="Times New Roman"/>
                      <w:color w:val="auto"/>
                      <w:w w:val="99"/>
                      <w:sz w:val="21"/>
                      <w:szCs w:val="21"/>
                    </w:rPr>
                  </w:pPr>
                  <w:r>
                    <w:rPr>
                      <w:rFonts w:ascii="Times New Roman" w:hAnsi="Times New Roman" w:cs="Times New Roman"/>
                      <w:color w:val="auto"/>
                      <w:w w:val="99"/>
                      <w:sz w:val="21"/>
                      <w:szCs w:val="21"/>
                    </w:rPr>
                    <w:t>1</w:t>
                  </w:r>
                </w:p>
              </w:tc>
              <w:tc>
                <w:tcPr>
                  <w:tcW w:w="1739" w:type="dxa"/>
                  <w:vAlign w:val="center"/>
                </w:tcPr>
                <w:p>
                  <w:pPr>
                    <w:pStyle w:val="56"/>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天然气</w:t>
                  </w:r>
                </w:p>
              </w:tc>
              <w:tc>
                <w:tcPr>
                  <w:tcW w:w="1739" w:type="dxa"/>
                  <w:vAlign w:val="center"/>
                </w:tcPr>
                <w:p>
                  <w:pPr>
                    <w:pStyle w:val="56"/>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0.0</w:t>
                  </w:r>
                  <w:r>
                    <w:rPr>
                      <w:rFonts w:hint="eastAsia" w:ascii="Times New Roman" w:hAnsi="Times New Roman" w:cs="Times New Roman"/>
                      <w:color w:val="auto"/>
                      <w:sz w:val="21"/>
                      <w:szCs w:val="21"/>
                    </w:rPr>
                    <w:t>7</w:t>
                  </w:r>
                  <w:r>
                    <w:rPr>
                      <w:rFonts w:ascii="Times New Roman" w:hAnsi="Times New Roman" w:cs="Times New Roman"/>
                      <w:color w:val="auto"/>
                      <w:sz w:val="21"/>
                      <w:szCs w:val="21"/>
                    </w:rPr>
                    <w:t>094</w:t>
                  </w:r>
                </w:p>
              </w:tc>
              <w:tc>
                <w:tcPr>
                  <w:tcW w:w="1739" w:type="dxa"/>
                  <w:vAlign w:val="center"/>
                </w:tcPr>
                <w:p>
                  <w:pPr>
                    <w:pStyle w:val="56"/>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w:t>
                  </w:r>
                  <w:r>
                    <w:rPr>
                      <w:rFonts w:ascii="Times New Roman" w:hAnsi="Times New Roman" w:cs="Times New Roman"/>
                      <w:color w:val="auto"/>
                      <w:sz w:val="21"/>
                      <w:szCs w:val="21"/>
                    </w:rPr>
                    <w:t>0</w:t>
                  </w:r>
                </w:p>
              </w:tc>
              <w:tc>
                <w:tcPr>
                  <w:tcW w:w="1739" w:type="dxa"/>
                  <w:vAlign w:val="bottom"/>
                </w:tcPr>
                <w:p>
                  <w:pPr>
                    <w:pStyle w:val="56"/>
                    <w:spacing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w:t>
                  </w:r>
                  <w:r>
                    <w:rPr>
                      <w:rFonts w:ascii="Times New Roman" w:hAnsi="Times New Roman" w:cs="Times New Roman"/>
                      <w:color w:val="auto"/>
                      <w:sz w:val="21"/>
                      <w:szCs w:val="21"/>
                    </w:rPr>
                    <w:t>.007094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56" w:type="dxa"/>
                  <w:gridSpan w:val="4"/>
                  <w:vAlign w:val="center"/>
                </w:tcPr>
                <w:p>
                  <w:pPr>
                    <w:pStyle w:val="56"/>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合计</w:t>
                  </w:r>
                </w:p>
              </w:tc>
              <w:tc>
                <w:tcPr>
                  <w:tcW w:w="1739" w:type="dxa"/>
                  <w:vAlign w:val="center"/>
                </w:tcPr>
                <w:p>
                  <w:pPr>
                    <w:widowControl/>
                    <w:jc w:val="center"/>
                    <w:rPr>
                      <w:szCs w:val="21"/>
                    </w:rPr>
                  </w:pPr>
                  <w:r>
                    <w:rPr>
                      <w:rFonts w:hint="eastAsia"/>
                      <w:szCs w:val="21"/>
                    </w:rPr>
                    <w:t>0</w:t>
                  </w:r>
                  <w:r>
                    <w:rPr>
                      <w:szCs w:val="21"/>
                    </w:rPr>
                    <w:t>.007094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5" w:type="dxa"/>
                  <w:gridSpan w:val="5"/>
                  <w:vAlign w:val="center"/>
                </w:tcPr>
                <w:p>
                  <w:pPr>
                    <w:widowControl/>
                    <w:rPr>
                      <w:szCs w:val="21"/>
                    </w:rPr>
                  </w:pPr>
                  <w:r>
                    <w:rPr>
                      <w:szCs w:val="21"/>
                    </w:rPr>
                    <w:t>注：</w:t>
                  </w:r>
                  <w:r>
                    <w:rPr>
                      <w:rFonts w:hint="eastAsia"/>
                      <w:szCs w:val="21"/>
                    </w:rPr>
                    <w:t>从市政接口计算，到厂区的天然气管道长度约为</w:t>
                  </w:r>
                  <w:r>
                    <w:rPr>
                      <w:szCs w:val="21"/>
                    </w:rPr>
                    <w:t>500</w:t>
                  </w:r>
                  <w:r>
                    <w:rPr>
                      <w:rFonts w:hint="eastAsia"/>
                      <w:szCs w:val="21"/>
                    </w:rPr>
                    <w:t>m</w:t>
                  </w:r>
                  <w:r>
                    <w:rPr>
                      <w:szCs w:val="21"/>
                    </w:rPr>
                    <w:t>，管径约0.2m，管道内压力</w:t>
                  </w:r>
                  <w:r>
                    <w:rPr>
                      <w:rFonts w:hint="eastAsia"/>
                      <w:szCs w:val="21"/>
                    </w:rPr>
                    <w:t>为30KPa</w:t>
                  </w:r>
                  <w:r>
                    <w:rPr>
                      <w:szCs w:val="21"/>
                    </w:rPr>
                    <w:t>，密度取0.7</w:t>
                  </w:r>
                  <w:r>
                    <w:rPr>
                      <w:rFonts w:hint="eastAsia"/>
                      <w:szCs w:val="21"/>
                    </w:rPr>
                    <w:t>0</w:t>
                  </w:r>
                  <w:r>
                    <w:rPr>
                      <w:szCs w:val="21"/>
                    </w:rPr>
                    <w:t>8</w:t>
                  </w:r>
                  <w:r>
                    <w:rPr>
                      <w:rFonts w:hint="eastAsia"/>
                      <w:szCs w:val="21"/>
                    </w:rPr>
                    <w:t>4</w:t>
                  </w:r>
                  <w:r>
                    <w:rPr>
                      <w:szCs w:val="21"/>
                    </w:rPr>
                    <w:t>kg/m</w:t>
                  </w:r>
                  <w:r>
                    <w:rPr>
                      <w:szCs w:val="21"/>
                      <w:vertAlign w:val="superscript"/>
                    </w:rPr>
                    <w:t>3</w:t>
                  </w:r>
                  <w:r>
                    <w:rPr>
                      <w:szCs w:val="21"/>
                    </w:rPr>
                    <w:t>，则锅炉房内管道天然气的量约</w:t>
                  </w:r>
                  <w:r>
                    <w:rPr>
                      <w:rFonts w:hint="eastAsia"/>
                      <w:szCs w:val="21"/>
                    </w:rPr>
                    <w:t>21.25</w:t>
                  </w:r>
                  <w:r>
                    <w:rPr>
                      <w:szCs w:val="21"/>
                    </w:rPr>
                    <w:t>kg。</w:t>
                  </w:r>
                </w:p>
              </w:tc>
            </w:tr>
          </w:tbl>
          <w:p>
            <w:pPr>
              <w:adjustRightInd w:val="0"/>
              <w:snapToGrid w:val="0"/>
              <w:spacing w:line="360" w:lineRule="auto"/>
              <w:ind w:firstLine="420" w:firstLineChars="200"/>
            </w:pPr>
            <w:r>
              <w:rPr>
                <w:rFonts w:hint="eastAsia"/>
              </w:rPr>
              <w:t>由上表可知，本项目风险物质数量与临界值比值Q＜1，根据《建设项目环境风险评价技术导则》（HJ</w:t>
            </w:r>
            <w:r>
              <w:t xml:space="preserve"> </w:t>
            </w:r>
            <w:r>
              <w:rPr>
                <w:rFonts w:hint="eastAsia"/>
              </w:rPr>
              <w:t>169-2018）规定，可直接判定企业环境风险潜势为Ⅰ。评价工作为简单分析。</w:t>
            </w:r>
          </w:p>
          <w:p>
            <w:pPr>
              <w:pStyle w:val="46"/>
              <w:widowControl w:val="0"/>
              <w:adjustRightInd w:val="0"/>
              <w:snapToGrid w:val="0"/>
              <w:spacing w:line="240" w:lineRule="auto"/>
              <w:ind w:firstLine="0" w:firstLineChars="0"/>
              <w:jc w:val="center"/>
              <w:rPr>
                <w:rStyle w:val="54"/>
                <w:rFonts w:hint="default"/>
                <w:b/>
                <w:bCs/>
                <w:sz w:val="21"/>
                <w:szCs w:val="21"/>
              </w:rPr>
            </w:pPr>
            <w:r>
              <w:rPr>
                <w:rStyle w:val="54"/>
                <w:rFonts w:hint="default" w:cs="Times New Roman"/>
                <w:b/>
                <w:bCs/>
                <w:sz w:val="21"/>
                <w:szCs w:val="21"/>
              </w:rPr>
              <w:t>表</w:t>
            </w:r>
            <w:r>
              <w:rPr>
                <w:rStyle w:val="54"/>
                <w:rFonts w:hint="default" w:ascii="Times New Roman" w:hAnsi="Times New Roman" w:cs="Times New Roman"/>
                <w:b/>
                <w:bCs/>
                <w:sz w:val="21"/>
                <w:szCs w:val="21"/>
              </w:rPr>
              <w:t xml:space="preserve">4-15 </w:t>
            </w:r>
            <w:r>
              <w:rPr>
                <w:rStyle w:val="54"/>
                <w:rFonts w:hint="default"/>
                <w:b/>
                <w:bCs/>
                <w:sz w:val="21"/>
                <w:szCs w:val="21"/>
              </w:rPr>
              <w:t xml:space="preserve"> 天然气理化性质一览表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19"/>
              <w:gridCol w:w="1013"/>
              <w:gridCol w:w="3402"/>
              <w:gridCol w:w="1040"/>
              <w:gridCol w:w="2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restart"/>
                  <w:vAlign w:val="center"/>
                </w:tcPr>
                <w:p>
                  <w:pPr>
                    <w:pStyle w:val="33"/>
                    <w:spacing w:before="24" w:after="24"/>
                    <w:rPr>
                      <w:rFonts w:ascii="Times New Roman"/>
                      <w:b/>
                      <w:bCs/>
                      <w:i/>
                      <w:iCs/>
                      <w:u w:val="single"/>
                    </w:rPr>
                  </w:pPr>
                  <w:r>
                    <w:rPr>
                      <w:rFonts w:ascii="Times New Roman"/>
                      <w:b/>
                      <w:bCs/>
                      <w:i/>
                      <w:iCs/>
                      <w:u w:val="single"/>
                    </w:rPr>
                    <w:t>理化</w:t>
                  </w:r>
                </w:p>
                <w:p>
                  <w:pPr>
                    <w:pStyle w:val="33"/>
                    <w:spacing w:before="24" w:after="24"/>
                    <w:rPr>
                      <w:rFonts w:ascii="Times New Roman"/>
                      <w:b/>
                      <w:bCs/>
                      <w:i/>
                      <w:iCs/>
                      <w:u w:val="single"/>
                    </w:rPr>
                  </w:pPr>
                  <w:r>
                    <w:rPr>
                      <w:rFonts w:ascii="Times New Roman"/>
                      <w:b/>
                      <w:bCs/>
                      <w:i/>
                      <w:iCs/>
                      <w:u w:val="single"/>
                    </w:rPr>
                    <w:t>常数</w:t>
                  </w:r>
                </w:p>
              </w:tc>
              <w:tc>
                <w:tcPr>
                  <w:tcW w:w="568" w:type="pct"/>
                  <w:vAlign w:val="center"/>
                </w:tcPr>
                <w:p>
                  <w:pPr>
                    <w:pStyle w:val="33"/>
                    <w:spacing w:before="24" w:after="24"/>
                    <w:rPr>
                      <w:rFonts w:ascii="Times New Roman"/>
                      <w:b/>
                      <w:bCs/>
                      <w:i/>
                      <w:iCs/>
                      <w:u w:val="single"/>
                    </w:rPr>
                  </w:pPr>
                  <w:r>
                    <w:rPr>
                      <w:rFonts w:ascii="Times New Roman"/>
                      <w:b/>
                      <w:bCs/>
                      <w:i/>
                      <w:iCs/>
                      <w:u w:val="single"/>
                    </w:rPr>
                    <w:t>CAS 号</w:t>
                  </w:r>
                </w:p>
              </w:tc>
              <w:tc>
                <w:tcPr>
                  <w:tcW w:w="1907" w:type="pct"/>
                  <w:vAlign w:val="center"/>
                </w:tcPr>
                <w:p>
                  <w:pPr>
                    <w:pStyle w:val="33"/>
                    <w:spacing w:before="24" w:after="24"/>
                    <w:rPr>
                      <w:rFonts w:ascii="Times New Roman"/>
                      <w:b/>
                      <w:bCs/>
                      <w:i/>
                      <w:iCs/>
                      <w:u w:val="single"/>
                    </w:rPr>
                  </w:pPr>
                  <w:r>
                    <w:rPr>
                      <w:rFonts w:ascii="Times New Roman"/>
                      <w:b/>
                      <w:bCs/>
                      <w:i/>
                      <w:iCs/>
                      <w:u w:val="single"/>
                    </w:rPr>
                    <w:t>74-82-8</w:t>
                  </w:r>
                </w:p>
              </w:tc>
              <w:tc>
                <w:tcPr>
                  <w:tcW w:w="583" w:type="pct"/>
                  <w:vAlign w:val="center"/>
                </w:tcPr>
                <w:p>
                  <w:pPr>
                    <w:pStyle w:val="33"/>
                    <w:spacing w:before="24" w:after="24"/>
                    <w:rPr>
                      <w:rFonts w:ascii="Times New Roman"/>
                      <w:b/>
                      <w:bCs/>
                      <w:i/>
                      <w:iCs/>
                      <w:u w:val="single"/>
                    </w:rPr>
                  </w:pPr>
                  <w:r>
                    <w:rPr>
                      <w:rFonts w:ascii="Times New Roman"/>
                      <w:b/>
                      <w:bCs/>
                      <w:i/>
                      <w:iCs/>
                      <w:u w:val="single"/>
                    </w:rPr>
                    <w:t>危险货物编号</w:t>
                  </w:r>
                </w:p>
              </w:tc>
              <w:tc>
                <w:tcPr>
                  <w:tcW w:w="1592" w:type="pct"/>
                  <w:vAlign w:val="center"/>
                </w:tcPr>
                <w:p>
                  <w:pPr>
                    <w:pStyle w:val="33"/>
                    <w:spacing w:before="24" w:after="24"/>
                    <w:rPr>
                      <w:rFonts w:ascii="Times New Roman"/>
                      <w:b/>
                      <w:bCs/>
                      <w:i/>
                      <w:iCs/>
                      <w:u w:val="single"/>
                    </w:rPr>
                  </w:pPr>
                  <w:r>
                    <w:rPr>
                      <w:rFonts w:ascii="Times New Roman"/>
                      <w:b/>
                      <w:bCs/>
                      <w:i/>
                      <w:iCs/>
                      <w:u w:val="single"/>
                    </w:rPr>
                    <w:t>21007（压缩气体）；21008（液化气体）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中文名称</w:t>
                  </w:r>
                </w:p>
              </w:tc>
              <w:tc>
                <w:tcPr>
                  <w:tcW w:w="1907" w:type="pct"/>
                  <w:vAlign w:val="center"/>
                </w:tcPr>
                <w:p>
                  <w:pPr>
                    <w:pStyle w:val="33"/>
                    <w:spacing w:before="24" w:after="24"/>
                    <w:rPr>
                      <w:rFonts w:ascii="Times New Roman"/>
                      <w:b/>
                      <w:bCs/>
                      <w:i/>
                      <w:iCs/>
                      <w:u w:val="single"/>
                    </w:rPr>
                  </w:pPr>
                  <w:r>
                    <w:rPr>
                      <w:rFonts w:ascii="Times New Roman"/>
                      <w:b/>
                      <w:bCs/>
                      <w:i/>
                      <w:iCs/>
                      <w:u w:val="single"/>
                    </w:rPr>
                    <w:t>天然气</w:t>
                  </w:r>
                </w:p>
              </w:tc>
              <w:tc>
                <w:tcPr>
                  <w:tcW w:w="583" w:type="pct"/>
                  <w:vAlign w:val="center"/>
                </w:tcPr>
                <w:p>
                  <w:pPr>
                    <w:pStyle w:val="33"/>
                    <w:spacing w:before="24" w:after="24"/>
                    <w:rPr>
                      <w:rFonts w:ascii="Times New Roman"/>
                      <w:b/>
                      <w:bCs/>
                      <w:i/>
                      <w:iCs/>
                      <w:u w:val="single"/>
                    </w:rPr>
                  </w:pPr>
                  <w:r>
                    <w:rPr>
                      <w:rFonts w:ascii="Times New Roman"/>
                      <w:b/>
                      <w:bCs/>
                      <w:i/>
                      <w:iCs/>
                      <w:u w:val="single"/>
                    </w:rPr>
                    <w:t>英文名称</w:t>
                  </w:r>
                </w:p>
              </w:tc>
              <w:tc>
                <w:tcPr>
                  <w:tcW w:w="1592" w:type="pct"/>
                  <w:vAlign w:val="center"/>
                </w:tcPr>
                <w:p>
                  <w:pPr>
                    <w:pStyle w:val="33"/>
                    <w:spacing w:before="24" w:after="24"/>
                    <w:rPr>
                      <w:rFonts w:ascii="Times New Roman"/>
                      <w:b/>
                      <w:bCs/>
                      <w:i/>
                      <w:iCs/>
                      <w:u w:val="single"/>
                    </w:rPr>
                  </w:pPr>
                  <w:r>
                    <w:rPr>
                      <w:rFonts w:ascii="Times New Roman"/>
                      <w:b/>
                      <w:bCs/>
                      <w:i/>
                      <w:iCs/>
                      <w:u w:val="single"/>
                    </w:rPr>
                    <w:t>英文名称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分子式</w:t>
                  </w:r>
                </w:p>
              </w:tc>
              <w:tc>
                <w:tcPr>
                  <w:tcW w:w="1907" w:type="pct"/>
                  <w:vAlign w:val="center"/>
                </w:tcPr>
                <w:p>
                  <w:pPr>
                    <w:pStyle w:val="33"/>
                    <w:spacing w:before="24" w:after="24"/>
                    <w:rPr>
                      <w:rFonts w:ascii="Times New Roman"/>
                      <w:b/>
                      <w:bCs/>
                      <w:i/>
                      <w:iCs/>
                      <w:u w:val="single"/>
                    </w:rPr>
                  </w:pPr>
                  <w:r>
                    <w:rPr>
                      <w:rFonts w:ascii="Times New Roman"/>
                      <w:b/>
                      <w:bCs/>
                      <w:i/>
                      <w:iCs/>
                      <w:u w:val="single"/>
                    </w:rPr>
                    <w:t>CH</w:t>
                  </w:r>
                  <w:r>
                    <w:rPr>
                      <w:rFonts w:ascii="Times New Roman"/>
                      <w:b/>
                      <w:bCs/>
                      <w:i/>
                      <w:iCs/>
                      <w:u w:val="single"/>
                      <w:vertAlign w:val="subscript"/>
                    </w:rPr>
                    <w:t>4</w:t>
                  </w:r>
                </w:p>
              </w:tc>
              <w:tc>
                <w:tcPr>
                  <w:tcW w:w="583" w:type="pct"/>
                  <w:vAlign w:val="center"/>
                </w:tcPr>
                <w:p>
                  <w:pPr>
                    <w:pStyle w:val="33"/>
                    <w:spacing w:before="24" w:after="24"/>
                    <w:rPr>
                      <w:rFonts w:ascii="Times New Roman"/>
                      <w:b/>
                      <w:bCs/>
                      <w:i/>
                      <w:iCs/>
                      <w:u w:val="single"/>
                    </w:rPr>
                  </w:pPr>
                  <w:r>
                    <w:rPr>
                      <w:rFonts w:ascii="Times New Roman"/>
                      <w:b/>
                      <w:bCs/>
                      <w:i/>
                      <w:iCs/>
                      <w:u w:val="single"/>
                    </w:rPr>
                    <w:t>外观与性状</w:t>
                  </w:r>
                </w:p>
              </w:tc>
              <w:tc>
                <w:tcPr>
                  <w:tcW w:w="1592" w:type="pct"/>
                  <w:vAlign w:val="center"/>
                </w:tcPr>
                <w:p>
                  <w:pPr>
                    <w:pStyle w:val="33"/>
                    <w:spacing w:before="24" w:after="24"/>
                    <w:rPr>
                      <w:rFonts w:ascii="Times New Roman"/>
                      <w:b/>
                      <w:bCs/>
                      <w:i/>
                      <w:iCs/>
                      <w:u w:val="single"/>
                    </w:rPr>
                  </w:pPr>
                  <w:r>
                    <w:rPr>
                      <w:rFonts w:ascii="Times New Roman"/>
                      <w:b/>
                      <w:bCs/>
                      <w:i/>
                      <w:iCs/>
                      <w:u w:val="single"/>
                    </w:rPr>
                    <w:t>无色无臭气体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分子量</w:t>
                  </w:r>
                </w:p>
              </w:tc>
              <w:tc>
                <w:tcPr>
                  <w:tcW w:w="1907" w:type="pct"/>
                  <w:vAlign w:val="center"/>
                </w:tcPr>
                <w:p>
                  <w:pPr>
                    <w:pStyle w:val="33"/>
                    <w:spacing w:before="24" w:after="24"/>
                    <w:rPr>
                      <w:rFonts w:ascii="Times New Roman"/>
                      <w:b/>
                      <w:bCs/>
                      <w:i/>
                      <w:iCs/>
                      <w:u w:val="single"/>
                    </w:rPr>
                  </w:pPr>
                  <w:r>
                    <w:rPr>
                      <w:rFonts w:ascii="Times New Roman"/>
                      <w:b/>
                      <w:bCs/>
                      <w:i/>
                      <w:iCs/>
                      <w:u w:val="single"/>
                    </w:rPr>
                    <w:t>16.04</w:t>
                  </w:r>
                </w:p>
              </w:tc>
              <w:tc>
                <w:tcPr>
                  <w:tcW w:w="583" w:type="pct"/>
                  <w:vAlign w:val="center"/>
                </w:tcPr>
                <w:p>
                  <w:pPr>
                    <w:pStyle w:val="33"/>
                    <w:spacing w:before="24" w:after="24"/>
                    <w:rPr>
                      <w:rFonts w:ascii="Times New Roman"/>
                      <w:b/>
                      <w:bCs/>
                      <w:i/>
                      <w:iCs/>
                      <w:u w:val="single"/>
                    </w:rPr>
                  </w:pPr>
                  <w:r>
                    <w:rPr>
                      <w:rFonts w:ascii="Times New Roman"/>
                      <w:b/>
                      <w:bCs/>
                      <w:i/>
                      <w:iCs/>
                      <w:u w:val="single"/>
                    </w:rPr>
                    <w:t>蒸汽压</w:t>
                  </w:r>
                </w:p>
              </w:tc>
              <w:tc>
                <w:tcPr>
                  <w:tcW w:w="1592" w:type="pct"/>
                  <w:vAlign w:val="center"/>
                </w:tcPr>
                <w:p>
                  <w:pPr>
                    <w:pStyle w:val="33"/>
                    <w:spacing w:before="24" w:after="24"/>
                    <w:rPr>
                      <w:rFonts w:ascii="Times New Roman"/>
                      <w:b/>
                      <w:bCs/>
                      <w:i/>
                      <w:iCs/>
                      <w:u w:val="single"/>
                    </w:rPr>
                  </w:pPr>
                  <w:r>
                    <w:rPr>
                      <w:rFonts w:ascii="Times New Roman"/>
                      <w:b/>
                      <w:bCs/>
                      <w:i/>
                      <w:iCs/>
                      <w:u w:val="single"/>
                    </w:rPr>
                    <w:t>53.32kPa/-168.8℃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沸点</w:t>
                  </w:r>
                </w:p>
              </w:tc>
              <w:tc>
                <w:tcPr>
                  <w:tcW w:w="1907" w:type="pct"/>
                  <w:vAlign w:val="center"/>
                </w:tcPr>
                <w:p>
                  <w:pPr>
                    <w:pStyle w:val="33"/>
                    <w:spacing w:before="24" w:after="24"/>
                    <w:rPr>
                      <w:rFonts w:ascii="Times New Roman"/>
                      <w:b/>
                      <w:bCs/>
                      <w:i/>
                      <w:iCs/>
                      <w:u w:val="single"/>
                    </w:rPr>
                  </w:pPr>
                  <w:r>
                    <w:rPr>
                      <w:rFonts w:ascii="Times New Roman"/>
                      <w:b/>
                      <w:bCs/>
                      <w:i/>
                      <w:iCs/>
                      <w:u w:val="single"/>
                    </w:rPr>
                    <w:t>-161.5℃</w:t>
                  </w:r>
                </w:p>
              </w:tc>
              <w:tc>
                <w:tcPr>
                  <w:tcW w:w="583" w:type="pct"/>
                  <w:vAlign w:val="center"/>
                </w:tcPr>
                <w:p>
                  <w:pPr>
                    <w:pStyle w:val="33"/>
                    <w:spacing w:before="24" w:after="24"/>
                    <w:rPr>
                      <w:rFonts w:ascii="Times New Roman"/>
                      <w:b/>
                      <w:bCs/>
                      <w:i/>
                      <w:iCs/>
                      <w:u w:val="single"/>
                    </w:rPr>
                  </w:pPr>
                  <w:r>
                    <w:rPr>
                      <w:rFonts w:ascii="Times New Roman"/>
                      <w:b/>
                      <w:bCs/>
                      <w:i/>
                      <w:iCs/>
                      <w:u w:val="single"/>
                    </w:rPr>
                    <w:t>闪点</w:t>
                  </w:r>
                </w:p>
              </w:tc>
              <w:tc>
                <w:tcPr>
                  <w:tcW w:w="1592" w:type="pct"/>
                  <w:vAlign w:val="center"/>
                </w:tcPr>
                <w:p>
                  <w:pPr>
                    <w:pStyle w:val="33"/>
                    <w:spacing w:before="24" w:after="24"/>
                    <w:rPr>
                      <w:rFonts w:ascii="Times New Roman"/>
                      <w:b/>
                      <w:bCs/>
                      <w:i/>
                      <w:iCs/>
                      <w:u w:val="single"/>
                    </w:rPr>
                  </w:pPr>
                  <w:r>
                    <w:rPr>
                      <w:rFonts w:ascii="Times New Roman"/>
                      <w:b/>
                      <w:bCs/>
                      <w:i/>
                      <w:iCs/>
                      <w:u w:val="single"/>
                    </w:rPr>
                    <w:t>-188℃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熔点</w:t>
                  </w:r>
                </w:p>
              </w:tc>
              <w:tc>
                <w:tcPr>
                  <w:tcW w:w="1907" w:type="pct"/>
                  <w:vAlign w:val="center"/>
                </w:tcPr>
                <w:p>
                  <w:pPr>
                    <w:pStyle w:val="33"/>
                    <w:spacing w:before="24" w:after="24"/>
                    <w:rPr>
                      <w:rFonts w:ascii="Times New Roman"/>
                      <w:b/>
                      <w:bCs/>
                      <w:i/>
                      <w:iCs/>
                      <w:u w:val="single"/>
                    </w:rPr>
                  </w:pPr>
                  <w:r>
                    <w:rPr>
                      <w:rFonts w:ascii="Times New Roman"/>
                      <w:b/>
                      <w:bCs/>
                      <w:i/>
                      <w:iCs/>
                      <w:u w:val="single"/>
                    </w:rPr>
                    <w:t>-182.5℃</w:t>
                  </w:r>
                </w:p>
              </w:tc>
              <w:tc>
                <w:tcPr>
                  <w:tcW w:w="583" w:type="pct"/>
                  <w:vAlign w:val="center"/>
                </w:tcPr>
                <w:p>
                  <w:pPr>
                    <w:pStyle w:val="33"/>
                    <w:spacing w:before="24" w:after="24"/>
                    <w:rPr>
                      <w:rFonts w:ascii="Times New Roman"/>
                      <w:b/>
                      <w:bCs/>
                      <w:i/>
                      <w:iCs/>
                      <w:u w:val="single"/>
                    </w:rPr>
                  </w:pPr>
                  <w:r>
                    <w:rPr>
                      <w:rFonts w:ascii="Times New Roman"/>
                      <w:b/>
                      <w:bCs/>
                      <w:i/>
                      <w:iCs/>
                      <w:u w:val="single"/>
                    </w:rPr>
                    <w:t>溶解性</w:t>
                  </w:r>
                </w:p>
              </w:tc>
              <w:tc>
                <w:tcPr>
                  <w:tcW w:w="1592" w:type="pct"/>
                  <w:vAlign w:val="center"/>
                </w:tcPr>
                <w:p>
                  <w:pPr>
                    <w:pStyle w:val="33"/>
                    <w:spacing w:before="24" w:after="24"/>
                    <w:rPr>
                      <w:rFonts w:ascii="Times New Roman"/>
                      <w:b/>
                      <w:bCs/>
                      <w:i/>
                      <w:iCs/>
                      <w:u w:val="single"/>
                    </w:rPr>
                  </w:pPr>
                  <w:r>
                    <w:rPr>
                      <w:rFonts w:ascii="Times New Roman"/>
                      <w:b/>
                      <w:bCs/>
                      <w:i/>
                      <w:iCs/>
                      <w:u w:val="single"/>
                    </w:rPr>
                    <w:t>微溶于水，溶于醇、乙醚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密度</w:t>
                  </w:r>
                </w:p>
              </w:tc>
              <w:tc>
                <w:tcPr>
                  <w:tcW w:w="1907" w:type="pct"/>
                  <w:vAlign w:val="center"/>
                </w:tcPr>
                <w:p>
                  <w:pPr>
                    <w:pStyle w:val="33"/>
                    <w:spacing w:before="24" w:after="24"/>
                    <w:rPr>
                      <w:rFonts w:ascii="Times New Roman"/>
                      <w:b/>
                      <w:bCs/>
                      <w:i/>
                      <w:iCs/>
                      <w:u w:val="single"/>
                    </w:rPr>
                  </w:pPr>
                  <w:r>
                    <w:rPr>
                      <w:rFonts w:ascii="Times New Roman"/>
                      <w:b/>
                      <w:bCs/>
                      <w:i/>
                      <w:iCs/>
                      <w:u w:val="single"/>
                    </w:rPr>
                    <w:t>相对密度（水=1）0.42（-164℃）相对密度（空气=1）0.55</w:t>
                  </w:r>
                </w:p>
              </w:tc>
              <w:tc>
                <w:tcPr>
                  <w:tcW w:w="583" w:type="pct"/>
                  <w:vAlign w:val="center"/>
                </w:tcPr>
                <w:p>
                  <w:pPr>
                    <w:pStyle w:val="33"/>
                    <w:spacing w:before="24" w:after="24"/>
                    <w:rPr>
                      <w:rFonts w:ascii="Times New Roman"/>
                      <w:b/>
                      <w:bCs/>
                      <w:i/>
                      <w:iCs/>
                      <w:u w:val="single"/>
                    </w:rPr>
                  </w:pPr>
                  <w:r>
                    <w:rPr>
                      <w:rFonts w:ascii="Times New Roman"/>
                      <w:b/>
                      <w:bCs/>
                      <w:i/>
                      <w:iCs/>
                      <w:u w:val="single"/>
                    </w:rPr>
                    <w:t>稳定性</w:t>
                  </w:r>
                </w:p>
              </w:tc>
              <w:tc>
                <w:tcPr>
                  <w:tcW w:w="1592" w:type="pct"/>
                  <w:vAlign w:val="center"/>
                </w:tcPr>
                <w:p>
                  <w:pPr>
                    <w:pStyle w:val="33"/>
                    <w:spacing w:before="24" w:after="24"/>
                    <w:rPr>
                      <w:rFonts w:ascii="Times New Roman"/>
                      <w:b/>
                      <w:bCs/>
                      <w:i/>
                      <w:iCs/>
                      <w:u w:val="single"/>
                    </w:rPr>
                  </w:pPr>
                  <w:r>
                    <w:rPr>
                      <w:rFonts w:ascii="Times New Roman"/>
                      <w:b/>
                      <w:bCs/>
                      <w:i/>
                      <w:iCs/>
                      <w:u w:val="single"/>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爆炸极限</w:t>
                  </w:r>
                </w:p>
              </w:tc>
              <w:tc>
                <w:tcPr>
                  <w:tcW w:w="1907" w:type="pct"/>
                  <w:vAlign w:val="center"/>
                </w:tcPr>
                <w:p>
                  <w:pPr>
                    <w:pStyle w:val="33"/>
                    <w:spacing w:before="24" w:after="24"/>
                    <w:rPr>
                      <w:rFonts w:ascii="Times New Roman"/>
                      <w:b/>
                      <w:bCs/>
                      <w:i/>
                      <w:iCs/>
                      <w:u w:val="single"/>
                    </w:rPr>
                  </w:pPr>
                  <w:r>
                    <w:rPr>
                      <w:rFonts w:ascii="Times New Roman"/>
                      <w:b/>
                      <w:bCs/>
                      <w:i/>
                      <w:iCs/>
                      <w:u w:val="single"/>
                    </w:rPr>
                    <w:t>空气中5.3~15%（体积）</w:t>
                  </w:r>
                </w:p>
              </w:tc>
              <w:tc>
                <w:tcPr>
                  <w:tcW w:w="583" w:type="pct"/>
                  <w:vAlign w:val="center"/>
                </w:tcPr>
                <w:p>
                  <w:pPr>
                    <w:pStyle w:val="33"/>
                    <w:spacing w:before="24" w:after="24"/>
                    <w:rPr>
                      <w:rFonts w:ascii="Times New Roman"/>
                      <w:b/>
                      <w:bCs/>
                      <w:i/>
                      <w:iCs/>
                      <w:u w:val="single"/>
                    </w:rPr>
                  </w:pPr>
                  <w:r>
                    <w:rPr>
                      <w:rFonts w:ascii="Times New Roman"/>
                      <w:b/>
                      <w:bCs/>
                      <w:i/>
                      <w:iCs/>
                      <w:u w:val="single"/>
                    </w:rPr>
                    <w:t>自燃温度</w:t>
                  </w:r>
                </w:p>
              </w:tc>
              <w:tc>
                <w:tcPr>
                  <w:tcW w:w="1592" w:type="pct"/>
                  <w:vAlign w:val="center"/>
                </w:tcPr>
                <w:p>
                  <w:pPr>
                    <w:pStyle w:val="33"/>
                    <w:spacing w:before="24" w:after="24"/>
                    <w:rPr>
                      <w:rFonts w:ascii="Times New Roman"/>
                      <w:b/>
                      <w:bCs/>
                      <w:i/>
                      <w:iCs/>
                      <w:u w:val="single"/>
                    </w:rPr>
                  </w:pPr>
                  <w:r>
                    <w:rPr>
                      <w:rFonts w:ascii="Times New Roman"/>
                      <w:b/>
                      <w:bCs/>
                      <w:i/>
                      <w:iCs/>
                      <w:u w:val="single"/>
                    </w:rPr>
                    <w:t>482~632℃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Merge w:val="continue"/>
                  <w:vAlign w:val="center"/>
                </w:tcPr>
                <w:p>
                  <w:pPr>
                    <w:pStyle w:val="33"/>
                    <w:spacing w:before="24" w:after="24"/>
                    <w:rPr>
                      <w:rFonts w:ascii="Times New Roman"/>
                      <w:b/>
                      <w:bCs/>
                      <w:i/>
                      <w:iCs/>
                      <w:u w:val="single"/>
                    </w:rPr>
                  </w:pPr>
                </w:p>
              </w:tc>
              <w:tc>
                <w:tcPr>
                  <w:tcW w:w="568" w:type="pct"/>
                  <w:vAlign w:val="center"/>
                </w:tcPr>
                <w:p>
                  <w:pPr>
                    <w:pStyle w:val="33"/>
                    <w:spacing w:before="24" w:after="24"/>
                    <w:rPr>
                      <w:rFonts w:ascii="Times New Roman"/>
                      <w:b/>
                      <w:bCs/>
                      <w:i/>
                      <w:iCs/>
                      <w:u w:val="single"/>
                    </w:rPr>
                  </w:pPr>
                  <w:r>
                    <w:rPr>
                      <w:rFonts w:ascii="Times New Roman"/>
                      <w:b/>
                      <w:bCs/>
                      <w:i/>
                      <w:iCs/>
                      <w:u w:val="single"/>
                    </w:rPr>
                    <w:t>主要用途</w:t>
                  </w:r>
                </w:p>
              </w:tc>
              <w:tc>
                <w:tcPr>
                  <w:tcW w:w="4084" w:type="pct"/>
                  <w:gridSpan w:val="3"/>
                  <w:vAlign w:val="center"/>
                </w:tcPr>
                <w:p>
                  <w:pPr>
                    <w:pStyle w:val="33"/>
                    <w:spacing w:before="24" w:after="24"/>
                    <w:rPr>
                      <w:rFonts w:ascii="Times New Roman"/>
                      <w:b/>
                      <w:bCs/>
                      <w:i/>
                      <w:iCs/>
                      <w:u w:val="single"/>
                    </w:rPr>
                  </w:pPr>
                  <w:r>
                    <w:rPr>
                      <w:rFonts w:ascii="Times New Roman"/>
                      <w:b/>
                      <w:bCs/>
                      <w:i/>
                      <w:iCs/>
                      <w:u w:val="single"/>
                    </w:rPr>
                    <w:t>用作燃料和用于炭黑、氢、乙炔、甲醛等的制造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Align w:val="center"/>
                </w:tcPr>
                <w:p>
                  <w:pPr>
                    <w:pStyle w:val="33"/>
                    <w:spacing w:before="24" w:after="24"/>
                    <w:rPr>
                      <w:rFonts w:ascii="Times New Roman"/>
                      <w:b/>
                      <w:bCs/>
                      <w:i/>
                      <w:iCs/>
                      <w:u w:val="single"/>
                    </w:rPr>
                  </w:pPr>
                  <w:r>
                    <w:rPr>
                      <w:rFonts w:ascii="Times New Roman"/>
                      <w:b/>
                      <w:bCs/>
                      <w:i/>
                      <w:iCs/>
                      <w:u w:val="single"/>
                    </w:rPr>
                    <w:t>危险</w:t>
                  </w:r>
                </w:p>
                <w:p>
                  <w:pPr>
                    <w:pStyle w:val="33"/>
                    <w:spacing w:before="24" w:after="24"/>
                    <w:rPr>
                      <w:rFonts w:ascii="Times New Roman"/>
                      <w:b/>
                      <w:bCs/>
                      <w:i/>
                      <w:iCs/>
                      <w:u w:val="single"/>
                    </w:rPr>
                  </w:pPr>
                  <w:r>
                    <w:rPr>
                      <w:rFonts w:ascii="Times New Roman"/>
                      <w:b/>
                      <w:bCs/>
                      <w:i/>
                      <w:iCs/>
                      <w:u w:val="single"/>
                    </w:rPr>
                    <w:t>特性</w:t>
                  </w:r>
                </w:p>
              </w:tc>
              <w:tc>
                <w:tcPr>
                  <w:tcW w:w="4652" w:type="pct"/>
                  <w:gridSpan w:val="4"/>
                  <w:vAlign w:val="center"/>
                </w:tcPr>
                <w:p>
                  <w:pPr>
                    <w:pStyle w:val="33"/>
                    <w:spacing w:before="24" w:after="24"/>
                    <w:rPr>
                      <w:rFonts w:ascii="Times New Roman"/>
                      <w:b/>
                      <w:bCs/>
                      <w:i/>
                      <w:iCs/>
                      <w:u w:val="single"/>
                    </w:rPr>
                  </w:pPr>
                  <w:r>
                    <w:rPr>
                      <w:rFonts w:ascii="Times New Roman"/>
                      <w:b/>
                      <w:bCs/>
                      <w:i/>
                      <w:iCs/>
                      <w:u w:val="single"/>
                    </w:rPr>
                    <w:t>危险性类别：第2.1类易燃气体易燃，与空气混合能形成爆炸性混合物，遇热源和明火有燃烧爆炸的危险。与五氧化溴、氯气、次氯酸、三氟化氮、液氧、二氟化氧及其它强氧化剂接触剧烈反应。燃烧（分解）产物：一氧化碳、二氧化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Align w:val="center"/>
                </w:tcPr>
                <w:p>
                  <w:pPr>
                    <w:pStyle w:val="33"/>
                    <w:spacing w:before="24" w:after="24"/>
                    <w:rPr>
                      <w:rFonts w:ascii="Times New Roman"/>
                      <w:b/>
                      <w:bCs/>
                      <w:i/>
                      <w:iCs/>
                      <w:u w:val="single"/>
                    </w:rPr>
                  </w:pPr>
                  <w:r>
                    <w:rPr>
                      <w:rFonts w:ascii="Times New Roman"/>
                      <w:b/>
                      <w:bCs/>
                      <w:i/>
                      <w:iCs/>
                      <w:u w:val="single"/>
                    </w:rPr>
                    <w:t>健康</w:t>
                  </w:r>
                </w:p>
                <w:p>
                  <w:pPr>
                    <w:pStyle w:val="33"/>
                    <w:spacing w:before="24" w:after="24"/>
                    <w:rPr>
                      <w:rFonts w:ascii="Times New Roman"/>
                      <w:b/>
                      <w:bCs/>
                      <w:i/>
                      <w:iCs/>
                      <w:u w:val="single"/>
                    </w:rPr>
                  </w:pPr>
                  <w:r>
                    <w:rPr>
                      <w:rFonts w:ascii="Times New Roman"/>
                      <w:b/>
                      <w:bCs/>
                      <w:i/>
                      <w:iCs/>
                      <w:u w:val="single"/>
                    </w:rPr>
                    <w:t>危害</w:t>
                  </w:r>
                </w:p>
              </w:tc>
              <w:tc>
                <w:tcPr>
                  <w:tcW w:w="4652" w:type="pct"/>
                  <w:gridSpan w:val="4"/>
                  <w:vAlign w:val="center"/>
                </w:tcPr>
                <w:p>
                  <w:pPr>
                    <w:pStyle w:val="33"/>
                    <w:spacing w:before="24" w:after="24"/>
                    <w:rPr>
                      <w:rFonts w:ascii="Times New Roman"/>
                      <w:b/>
                      <w:bCs/>
                      <w:i/>
                      <w:iCs/>
                      <w:u w:val="single"/>
                    </w:rPr>
                  </w:pPr>
                  <w:r>
                    <w:rPr>
                      <w:rFonts w:ascii="Times New Roman"/>
                      <w:b/>
                      <w:bCs/>
                      <w:i/>
                      <w:iCs/>
                      <w:u w:val="single"/>
                    </w:rPr>
                    <w:t>侵入途径：吸入。</w:t>
                  </w:r>
                </w:p>
                <w:p>
                  <w:pPr>
                    <w:pStyle w:val="33"/>
                    <w:spacing w:before="24" w:after="24"/>
                    <w:rPr>
                      <w:rFonts w:ascii="Times New Roman"/>
                      <w:b/>
                      <w:bCs/>
                      <w:i/>
                      <w:iCs/>
                      <w:u w:val="single"/>
                    </w:rPr>
                  </w:pPr>
                  <w:r>
                    <w:rPr>
                      <w:rFonts w:ascii="Times New Roman"/>
                      <w:b/>
                      <w:bCs/>
                      <w:i/>
                      <w:iCs/>
                      <w:u w:val="single"/>
                    </w:rPr>
                    <w:t>健康危害：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Align w:val="center"/>
                </w:tcPr>
                <w:p>
                  <w:pPr>
                    <w:pStyle w:val="33"/>
                    <w:spacing w:before="24" w:after="24"/>
                    <w:rPr>
                      <w:rFonts w:ascii="Times New Roman"/>
                      <w:b/>
                      <w:bCs/>
                      <w:i/>
                      <w:iCs/>
                      <w:u w:val="single"/>
                    </w:rPr>
                  </w:pPr>
                  <w:r>
                    <w:rPr>
                      <w:rFonts w:ascii="Times New Roman"/>
                      <w:b/>
                      <w:bCs/>
                      <w:i/>
                      <w:iCs/>
                      <w:u w:val="single"/>
                    </w:rPr>
                    <w:t>毒理学资料</w:t>
                  </w:r>
                </w:p>
              </w:tc>
              <w:tc>
                <w:tcPr>
                  <w:tcW w:w="4652" w:type="pct"/>
                  <w:gridSpan w:val="4"/>
                  <w:vAlign w:val="center"/>
                </w:tcPr>
                <w:p>
                  <w:pPr>
                    <w:pStyle w:val="33"/>
                    <w:spacing w:before="24" w:after="24"/>
                    <w:rPr>
                      <w:rFonts w:ascii="Times New Roman"/>
                      <w:b/>
                      <w:bCs/>
                      <w:i/>
                      <w:iCs/>
                      <w:u w:val="single"/>
                    </w:rPr>
                  </w:pPr>
                  <w:r>
                    <w:rPr>
                      <w:rFonts w:ascii="Times New Roman"/>
                      <w:b/>
                      <w:bCs/>
                      <w:i/>
                      <w:iCs/>
                      <w:u w:val="single"/>
                    </w:rPr>
                    <w:t>毒性：IV（低度危害）急性毒性：LD50：无资料。LC50：无资料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Align w:val="center"/>
                </w:tcPr>
                <w:p>
                  <w:pPr>
                    <w:pStyle w:val="33"/>
                    <w:spacing w:before="24" w:after="24"/>
                    <w:rPr>
                      <w:rFonts w:ascii="Times New Roman"/>
                      <w:b/>
                      <w:bCs/>
                      <w:i/>
                      <w:iCs/>
                      <w:u w:val="single"/>
                    </w:rPr>
                  </w:pPr>
                  <w:r>
                    <w:rPr>
                      <w:rFonts w:ascii="Times New Roman"/>
                      <w:b/>
                      <w:bCs/>
                      <w:i/>
                      <w:iCs/>
                      <w:u w:val="single"/>
                    </w:rPr>
                    <w:t>泄漏应急处理</w:t>
                  </w:r>
                </w:p>
              </w:tc>
              <w:tc>
                <w:tcPr>
                  <w:tcW w:w="4652" w:type="pct"/>
                  <w:gridSpan w:val="4"/>
                  <w:vAlign w:val="center"/>
                </w:tcPr>
                <w:p>
                  <w:pPr>
                    <w:pStyle w:val="33"/>
                    <w:spacing w:before="24" w:after="24"/>
                    <w:rPr>
                      <w:rFonts w:ascii="Times New Roman"/>
                      <w:b/>
                      <w:bCs/>
                      <w:i/>
                      <w:iCs/>
                      <w:u w:val="single"/>
                    </w:rPr>
                  </w:pPr>
                  <w:r>
                    <w:rPr>
                      <w:rFonts w:ascii="Times New Roman"/>
                      <w:b/>
                      <w:bCs/>
                      <w:i/>
                      <w:iCs/>
                      <w:u w:val="single"/>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Align w:val="center"/>
                </w:tcPr>
                <w:p>
                  <w:pPr>
                    <w:pStyle w:val="33"/>
                    <w:spacing w:before="24" w:after="24"/>
                    <w:rPr>
                      <w:rFonts w:ascii="Times New Roman"/>
                      <w:b/>
                      <w:bCs/>
                      <w:i/>
                      <w:iCs/>
                      <w:u w:val="single"/>
                    </w:rPr>
                  </w:pPr>
                  <w:r>
                    <w:rPr>
                      <w:rFonts w:ascii="Times New Roman"/>
                      <w:b/>
                      <w:bCs/>
                      <w:i/>
                      <w:iCs/>
                      <w:u w:val="single"/>
                    </w:rPr>
                    <w:t>防护</w:t>
                  </w:r>
                </w:p>
                <w:p>
                  <w:pPr>
                    <w:pStyle w:val="33"/>
                    <w:spacing w:before="24" w:after="24"/>
                    <w:rPr>
                      <w:rFonts w:ascii="Times New Roman"/>
                      <w:b/>
                      <w:bCs/>
                      <w:i/>
                      <w:iCs/>
                      <w:u w:val="single"/>
                    </w:rPr>
                  </w:pPr>
                  <w:r>
                    <w:rPr>
                      <w:rFonts w:ascii="Times New Roman"/>
                      <w:b/>
                      <w:bCs/>
                      <w:i/>
                      <w:iCs/>
                      <w:u w:val="single"/>
                    </w:rPr>
                    <w:t>措施</w:t>
                  </w:r>
                </w:p>
              </w:tc>
              <w:tc>
                <w:tcPr>
                  <w:tcW w:w="4652" w:type="pct"/>
                  <w:gridSpan w:val="4"/>
                  <w:vAlign w:val="center"/>
                </w:tcPr>
                <w:p>
                  <w:pPr>
                    <w:pStyle w:val="33"/>
                    <w:spacing w:before="24" w:after="24"/>
                    <w:rPr>
                      <w:rFonts w:ascii="Times New Roman"/>
                      <w:b/>
                      <w:bCs/>
                      <w:i/>
                      <w:iCs/>
                      <w:u w:val="single"/>
                    </w:rPr>
                  </w:pPr>
                  <w:r>
                    <w:rPr>
                      <w:rFonts w:ascii="Times New Roman"/>
                      <w:b/>
                      <w:bCs/>
                      <w:i/>
                      <w:iCs/>
                      <w:u w:val="single"/>
                    </w:rPr>
                    <w:t>呼吸系统防护：一般不需要特殊防护，但建议特殊情况下，佩戴自吸过滤式防毒面具（半面罩）。眼睛防护：一般不需要特别防护，高浓度接触时可戴安全防护眼镜。身体防护：穿防静电工作服。手防护：戴一般作业防护手套。其它：工作现场严禁吸烟。避免长期反复接触。进入罐、限制性空间或其它高浓度区作业，须有人监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Align w:val="center"/>
                </w:tcPr>
                <w:p>
                  <w:pPr>
                    <w:pStyle w:val="33"/>
                    <w:spacing w:before="24" w:after="24"/>
                    <w:rPr>
                      <w:rFonts w:ascii="Times New Roman"/>
                      <w:b/>
                      <w:bCs/>
                      <w:i/>
                      <w:iCs/>
                      <w:u w:val="single"/>
                    </w:rPr>
                  </w:pPr>
                  <w:r>
                    <w:rPr>
                      <w:rFonts w:ascii="Times New Roman"/>
                      <w:b/>
                      <w:bCs/>
                      <w:i/>
                      <w:iCs/>
                      <w:u w:val="single"/>
                    </w:rPr>
                    <w:t>急救</w:t>
                  </w:r>
                </w:p>
                <w:p>
                  <w:pPr>
                    <w:pStyle w:val="33"/>
                    <w:spacing w:before="24" w:after="24"/>
                    <w:rPr>
                      <w:rFonts w:ascii="Times New Roman"/>
                      <w:b/>
                      <w:bCs/>
                      <w:i/>
                      <w:iCs/>
                      <w:u w:val="single"/>
                    </w:rPr>
                  </w:pPr>
                  <w:r>
                    <w:rPr>
                      <w:rFonts w:ascii="Times New Roman"/>
                      <w:b/>
                      <w:bCs/>
                      <w:i/>
                      <w:iCs/>
                      <w:u w:val="single"/>
                    </w:rPr>
                    <w:t>措施</w:t>
                  </w:r>
                </w:p>
              </w:tc>
              <w:tc>
                <w:tcPr>
                  <w:tcW w:w="4652" w:type="pct"/>
                  <w:gridSpan w:val="4"/>
                  <w:vAlign w:val="center"/>
                </w:tcPr>
                <w:p>
                  <w:pPr>
                    <w:pStyle w:val="33"/>
                    <w:spacing w:before="24" w:after="24"/>
                    <w:rPr>
                      <w:rFonts w:ascii="Times New Roman"/>
                      <w:b/>
                      <w:bCs/>
                      <w:i/>
                      <w:iCs/>
                      <w:u w:val="single"/>
                    </w:rPr>
                  </w:pPr>
                  <w:r>
                    <w:rPr>
                      <w:rFonts w:ascii="Times New Roman"/>
                      <w:b/>
                      <w:bCs/>
                      <w:i/>
                      <w:iCs/>
                      <w:u w:val="single"/>
                    </w:rPr>
                    <w:t>皮肤接触：若有冻伤，就医治疗。吸入：迅速脱离现场至空气新鲜处。保持呼吸道通畅。如呼吸困难，给输氧。如呼吸停止，立即进行人工呼吸。就医。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7" w:type="pct"/>
                  <w:vAlign w:val="center"/>
                </w:tcPr>
                <w:p>
                  <w:pPr>
                    <w:pStyle w:val="33"/>
                    <w:spacing w:before="24" w:after="24"/>
                    <w:rPr>
                      <w:rFonts w:ascii="Times New Roman"/>
                      <w:b/>
                      <w:bCs/>
                      <w:i/>
                      <w:iCs/>
                      <w:u w:val="single"/>
                    </w:rPr>
                  </w:pPr>
                  <w:r>
                    <w:rPr>
                      <w:rFonts w:ascii="Times New Roman"/>
                      <w:b/>
                      <w:bCs/>
                      <w:i/>
                      <w:iCs/>
                      <w:u w:val="single"/>
                    </w:rPr>
                    <w:t>灭火</w:t>
                  </w:r>
                </w:p>
                <w:p>
                  <w:pPr>
                    <w:pStyle w:val="33"/>
                    <w:spacing w:before="24" w:after="24"/>
                    <w:rPr>
                      <w:rFonts w:ascii="Times New Roman"/>
                      <w:b/>
                      <w:bCs/>
                      <w:i/>
                      <w:iCs/>
                      <w:u w:val="single"/>
                    </w:rPr>
                  </w:pPr>
                  <w:r>
                    <w:rPr>
                      <w:rFonts w:ascii="Times New Roman"/>
                      <w:b/>
                      <w:bCs/>
                      <w:i/>
                      <w:iCs/>
                      <w:u w:val="single"/>
                    </w:rPr>
                    <w:t>方法</w:t>
                  </w:r>
                </w:p>
              </w:tc>
              <w:tc>
                <w:tcPr>
                  <w:tcW w:w="4652" w:type="pct"/>
                  <w:gridSpan w:val="4"/>
                  <w:vAlign w:val="center"/>
                </w:tcPr>
                <w:p>
                  <w:pPr>
                    <w:pStyle w:val="33"/>
                    <w:spacing w:before="24" w:after="24"/>
                    <w:rPr>
                      <w:rFonts w:ascii="Times New Roman"/>
                      <w:b/>
                      <w:bCs/>
                      <w:i/>
                      <w:iCs/>
                      <w:u w:val="single"/>
                    </w:rPr>
                  </w:pPr>
                  <w:r>
                    <w:rPr>
                      <w:rFonts w:ascii="Times New Roman"/>
                      <w:b/>
                      <w:bCs/>
                      <w:i/>
                      <w:iCs/>
                      <w:u w:val="single"/>
                    </w:rPr>
                    <w:t>切断气源。若不能立即切断气源，则不允许熄灭正在燃烧的气体。喷水冷却容器，可能的话将容器从火场移至空旷处。</w:t>
                  </w:r>
                </w:p>
                <w:p>
                  <w:pPr>
                    <w:pStyle w:val="33"/>
                    <w:spacing w:before="24" w:after="24"/>
                    <w:rPr>
                      <w:rFonts w:ascii="Times New Roman"/>
                      <w:b/>
                      <w:bCs/>
                      <w:i/>
                      <w:iCs/>
                      <w:u w:val="single"/>
                    </w:rPr>
                  </w:pPr>
                  <w:r>
                    <w:rPr>
                      <w:rFonts w:ascii="Times New Roman"/>
                      <w:b/>
                      <w:bCs/>
                      <w:i/>
                      <w:iCs/>
                      <w:u w:val="single"/>
                    </w:rPr>
                    <w:t>灭火剂：雾状水、泡沫、二氧化碳、干粉。</w:t>
                  </w:r>
                </w:p>
              </w:tc>
            </w:tr>
          </w:tbl>
          <w:p>
            <w:pPr>
              <w:adjustRightInd w:val="0"/>
              <w:snapToGrid w:val="0"/>
              <w:spacing w:line="360" w:lineRule="auto"/>
              <w:ind w:firstLine="422" w:firstLineChars="200"/>
              <w:rPr>
                <w:b/>
                <w:bCs/>
              </w:rPr>
            </w:pPr>
            <w:r>
              <w:rPr>
                <w:b/>
                <w:bCs/>
              </w:rPr>
              <w:t>7.2 环境风险影响分析</w:t>
            </w:r>
          </w:p>
          <w:p>
            <w:pPr>
              <w:pStyle w:val="61"/>
              <w:ind w:firstLine="420"/>
              <w:rPr>
                <w:sz w:val="21"/>
                <w:szCs w:val="21"/>
              </w:rPr>
            </w:pPr>
            <w:r>
              <w:rPr>
                <w:sz w:val="21"/>
                <w:szCs w:val="21"/>
              </w:rPr>
              <w:t>天然气泄漏会直接对环境空气造成影响。大量天然气进入环境空气中致使甲烷浓度局部快速升高，甲烷等烃类气体在遇明火时将会燃烧或爆炸，气体燃烧后大量生成的是水和二氧化碳，由于天然气中含硫量较低，因此燃烧后对环境空气影响较小。</w:t>
            </w:r>
            <w:r>
              <w:rPr>
                <w:rFonts w:hint="eastAsia"/>
                <w:sz w:val="21"/>
                <w:szCs w:val="21"/>
              </w:rPr>
              <w:t>一般情况下，如发生泄漏的管道处于空旷无人地区，泄漏气体在大气中可迅速扩散，浓度不会明显上升，造成较大事故的可能很小。但如泄漏点处于涡风地带，泄漏气体不易扩散，反而会在涡风处聚集，此时如遇明火则可能发生火灾。</w:t>
            </w:r>
          </w:p>
          <w:p>
            <w:pPr>
              <w:adjustRightInd w:val="0"/>
              <w:snapToGrid w:val="0"/>
              <w:spacing w:line="360" w:lineRule="auto"/>
              <w:ind w:firstLine="422" w:firstLineChars="200"/>
              <w:rPr>
                <w:b/>
                <w:bCs/>
                <w:szCs w:val="21"/>
              </w:rPr>
            </w:pPr>
            <w:r>
              <w:rPr>
                <w:b/>
                <w:bCs/>
                <w:szCs w:val="21"/>
              </w:rPr>
              <w:t>7.3 环境风险防范措施</w:t>
            </w:r>
          </w:p>
          <w:p>
            <w:pPr>
              <w:pStyle w:val="61"/>
              <w:ind w:firstLine="422"/>
              <w:rPr>
                <w:b/>
                <w:bCs/>
                <w:i/>
                <w:iCs/>
                <w:sz w:val="21"/>
                <w:szCs w:val="21"/>
                <w:u w:val="single"/>
              </w:rPr>
            </w:pPr>
            <w:r>
              <w:rPr>
                <w:b/>
                <w:bCs/>
                <w:i/>
                <w:iCs/>
                <w:sz w:val="21"/>
                <w:szCs w:val="21"/>
                <w:u w:val="single"/>
              </w:rPr>
              <w:t>加强各</w:t>
            </w:r>
            <w:r>
              <w:rPr>
                <w:rFonts w:hint="eastAsia"/>
                <w:b/>
                <w:bCs/>
                <w:i/>
                <w:iCs/>
                <w:sz w:val="21"/>
                <w:szCs w:val="21"/>
                <w:u w:val="single"/>
              </w:rPr>
              <w:t>燃气管道</w:t>
            </w:r>
            <w:r>
              <w:rPr>
                <w:b/>
                <w:bCs/>
                <w:i/>
                <w:iCs/>
                <w:sz w:val="21"/>
                <w:szCs w:val="21"/>
                <w:u w:val="single"/>
              </w:rPr>
              <w:t>的管理，定期检查，</w:t>
            </w:r>
            <w:r>
              <w:rPr>
                <w:rFonts w:hint="eastAsia"/>
                <w:b/>
                <w:bCs/>
                <w:i/>
                <w:iCs/>
                <w:sz w:val="21"/>
                <w:szCs w:val="21"/>
                <w:u w:val="single"/>
              </w:rPr>
              <w:t>制定</w:t>
            </w:r>
            <w:r>
              <w:rPr>
                <w:b/>
                <w:bCs/>
                <w:i/>
                <w:iCs/>
                <w:sz w:val="21"/>
                <w:szCs w:val="21"/>
                <w:u w:val="single"/>
              </w:rPr>
              <w:t>计划检修，发现事故苗头及时处理、扼制，保证输送流程正常、稳定的运行。</w:t>
            </w:r>
          </w:p>
          <w:p>
            <w:pPr>
              <w:adjustRightInd w:val="0"/>
              <w:snapToGrid w:val="0"/>
              <w:spacing w:line="360" w:lineRule="auto"/>
              <w:ind w:firstLine="422" w:firstLineChars="200"/>
              <w:rPr>
                <w:b/>
                <w:bCs/>
                <w:szCs w:val="21"/>
              </w:rPr>
            </w:pPr>
            <w:r>
              <w:rPr>
                <w:b/>
                <w:bCs/>
                <w:szCs w:val="21"/>
              </w:rPr>
              <w:t>7.4 环境风险评价结论</w:t>
            </w:r>
          </w:p>
          <w:p>
            <w:pPr>
              <w:adjustRightInd w:val="0"/>
              <w:snapToGrid w:val="0"/>
              <w:spacing w:line="360" w:lineRule="auto"/>
              <w:ind w:firstLine="420" w:firstLineChars="200"/>
              <w:rPr>
                <w:szCs w:val="21"/>
              </w:rPr>
            </w:pPr>
            <w:r>
              <w:rPr>
                <w:szCs w:val="21"/>
              </w:rPr>
              <w:t>公司只要严格按照本报告及安全评价提出的要求，对事故等采取风险防范措施，可以将环境风险降低到可接受的水平，拟采取的风险防范措施可行，从环境风险角度本项目的建设是可行的。</w:t>
            </w:r>
          </w:p>
          <w:p>
            <w:pPr>
              <w:spacing w:line="300" w:lineRule="exact"/>
              <w:jc w:val="center"/>
              <w:rPr>
                <w:b/>
                <w:bCs/>
                <w:szCs w:val="21"/>
                <w:u w:val="single"/>
              </w:rPr>
            </w:pPr>
            <w:r>
              <w:rPr>
                <w:rFonts w:hint="eastAsia"/>
                <w:b/>
                <w:bCs/>
                <w:szCs w:val="21"/>
                <w:u w:val="single"/>
              </w:rPr>
              <w:t>表4-</w:t>
            </w:r>
            <w:r>
              <w:rPr>
                <w:b/>
                <w:bCs/>
                <w:szCs w:val="21"/>
                <w:u w:val="single"/>
              </w:rPr>
              <w:t>16</w:t>
            </w:r>
            <w:r>
              <w:rPr>
                <w:rFonts w:hint="eastAsia"/>
                <w:b/>
                <w:bCs/>
                <w:szCs w:val="21"/>
                <w:u w:val="single"/>
              </w:rPr>
              <w:t xml:space="preserve">  建设项目环境风险简单分析内容表</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246"/>
              <w:gridCol w:w="2088"/>
              <w:gridCol w:w="869"/>
              <w:gridCol w:w="3100"/>
              <w:gridCol w:w="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Pr>
              <w:tc>
                <w:tcPr>
                  <w:tcW w:w="903" w:type="pct"/>
                </w:tcPr>
                <w:p>
                  <w:pPr>
                    <w:spacing w:line="300" w:lineRule="exact"/>
                    <w:jc w:val="center"/>
                    <w:rPr>
                      <w:szCs w:val="21"/>
                    </w:rPr>
                  </w:pPr>
                  <w:r>
                    <w:rPr>
                      <w:rFonts w:hint="eastAsia"/>
                      <w:szCs w:val="21"/>
                    </w:rPr>
                    <w:t>建设项目名称</w:t>
                  </w:r>
                </w:p>
              </w:tc>
              <w:tc>
                <w:tcPr>
                  <w:tcW w:w="4092" w:type="pct"/>
                  <w:gridSpan w:val="4"/>
                  <w:vAlign w:val="center"/>
                </w:tcPr>
                <w:p>
                  <w:pPr>
                    <w:spacing w:line="300" w:lineRule="exact"/>
                    <w:jc w:val="center"/>
                    <w:rPr>
                      <w:szCs w:val="21"/>
                    </w:rPr>
                  </w:pPr>
                  <w:r>
                    <w:rPr>
                      <w:szCs w:val="21"/>
                    </w:rPr>
                    <w:t>长春新区北湖科技开发区特陶产业园区（一期）项目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Pr>
              <w:tc>
                <w:tcPr>
                  <w:tcW w:w="903" w:type="pct"/>
                </w:tcPr>
                <w:p>
                  <w:pPr>
                    <w:spacing w:line="300" w:lineRule="exact"/>
                    <w:jc w:val="center"/>
                    <w:rPr>
                      <w:szCs w:val="21"/>
                    </w:rPr>
                  </w:pPr>
                  <w:r>
                    <w:rPr>
                      <w:rFonts w:hint="eastAsia"/>
                      <w:szCs w:val="21"/>
                    </w:rPr>
                    <w:t>建设地点</w:t>
                  </w:r>
                </w:p>
              </w:tc>
              <w:tc>
                <w:tcPr>
                  <w:tcW w:w="4092" w:type="pct"/>
                  <w:gridSpan w:val="4"/>
                  <w:vAlign w:val="center"/>
                </w:tcPr>
                <w:p>
                  <w:pPr>
                    <w:spacing w:line="300" w:lineRule="exact"/>
                    <w:jc w:val="center"/>
                    <w:rPr>
                      <w:szCs w:val="21"/>
                    </w:rPr>
                  </w:pPr>
                  <w:r>
                    <w:rPr>
                      <w:szCs w:val="21"/>
                    </w:rPr>
                    <w:t>吉林省长春市北湖科技开发区龙腾路以南、建丰街以东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Pr>
              <w:tc>
                <w:tcPr>
                  <w:tcW w:w="903" w:type="pct"/>
                </w:tcPr>
                <w:p>
                  <w:pPr>
                    <w:spacing w:line="300" w:lineRule="exact"/>
                    <w:jc w:val="center"/>
                    <w:rPr>
                      <w:szCs w:val="21"/>
                    </w:rPr>
                  </w:pPr>
                  <w:r>
                    <w:rPr>
                      <w:rFonts w:hint="eastAsia"/>
                      <w:szCs w:val="21"/>
                    </w:rPr>
                    <w:t>地理坐标</w:t>
                  </w:r>
                </w:p>
              </w:tc>
              <w:tc>
                <w:tcPr>
                  <w:tcW w:w="698" w:type="pct"/>
                </w:tcPr>
                <w:p>
                  <w:pPr>
                    <w:spacing w:line="300" w:lineRule="exact"/>
                    <w:jc w:val="center"/>
                    <w:rPr>
                      <w:szCs w:val="21"/>
                    </w:rPr>
                  </w:pPr>
                  <w:r>
                    <w:rPr>
                      <w:rFonts w:hint="eastAsia"/>
                      <w:szCs w:val="21"/>
                    </w:rPr>
                    <w:t>经度</w:t>
                  </w:r>
                </w:p>
              </w:tc>
              <w:tc>
                <w:tcPr>
                  <w:tcW w:w="1170" w:type="pct"/>
                </w:tcPr>
                <w:p>
                  <w:pPr>
                    <w:spacing w:line="300" w:lineRule="exact"/>
                    <w:jc w:val="center"/>
                    <w:rPr>
                      <w:szCs w:val="21"/>
                    </w:rPr>
                  </w:pPr>
                  <w:r>
                    <w:rPr>
                      <w:szCs w:val="21"/>
                    </w:rPr>
                    <w:t>125°24′20.229″</w:t>
                  </w:r>
                </w:p>
              </w:tc>
              <w:tc>
                <w:tcPr>
                  <w:tcW w:w="487" w:type="pct"/>
                </w:tcPr>
                <w:p>
                  <w:pPr>
                    <w:spacing w:line="300" w:lineRule="exact"/>
                    <w:jc w:val="center"/>
                    <w:rPr>
                      <w:szCs w:val="21"/>
                    </w:rPr>
                  </w:pPr>
                  <w:r>
                    <w:rPr>
                      <w:rFonts w:hint="eastAsia"/>
                      <w:szCs w:val="21"/>
                    </w:rPr>
                    <w:t>纬度</w:t>
                  </w:r>
                </w:p>
              </w:tc>
              <w:tc>
                <w:tcPr>
                  <w:tcW w:w="1736" w:type="pct"/>
                </w:tcPr>
                <w:p>
                  <w:pPr>
                    <w:spacing w:line="300" w:lineRule="exact"/>
                    <w:jc w:val="center"/>
                    <w:rPr>
                      <w:szCs w:val="21"/>
                    </w:rPr>
                  </w:pPr>
                  <w:r>
                    <w:rPr>
                      <w:szCs w:val="21"/>
                    </w:rPr>
                    <w:t>44°0′55.056″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Pr>
              <w:tc>
                <w:tcPr>
                  <w:tcW w:w="903" w:type="pct"/>
                </w:tcPr>
                <w:p>
                  <w:pPr>
                    <w:spacing w:line="300" w:lineRule="exact"/>
                    <w:jc w:val="center"/>
                    <w:rPr>
                      <w:szCs w:val="21"/>
                    </w:rPr>
                  </w:pPr>
                  <w:r>
                    <w:rPr>
                      <w:rFonts w:hint="eastAsia"/>
                      <w:szCs w:val="21"/>
                    </w:rPr>
                    <w:t>主要危险物质及分布</w:t>
                  </w:r>
                </w:p>
              </w:tc>
              <w:tc>
                <w:tcPr>
                  <w:tcW w:w="4092" w:type="pct"/>
                  <w:gridSpan w:val="4"/>
                  <w:vAlign w:val="center"/>
                </w:tcPr>
                <w:p>
                  <w:pPr>
                    <w:spacing w:line="300" w:lineRule="exact"/>
                    <w:rPr>
                      <w:szCs w:val="21"/>
                    </w:rPr>
                  </w:pPr>
                  <w:r>
                    <w:rPr>
                      <w:rFonts w:hint="eastAsia"/>
                      <w:szCs w:val="21"/>
                    </w:rPr>
                    <w:t>天然气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Pr>
              <w:tc>
                <w:tcPr>
                  <w:tcW w:w="903" w:type="pct"/>
                </w:tcPr>
                <w:p>
                  <w:pPr>
                    <w:spacing w:line="300" w:lineRule="exact"/>
                    <w:jc w:val="center"/>
                    <w:rPr>
                      <w:szCs w:val="21"/>
                    </w:rPr>
                  </w:pPr>
                  <w:r>
                    <w:rPr>
                      <w:rFonts w:hint="eastAsia"/>
                      <w:szCs w:val="21"/>
                    </w:rPr>
                    <w:t>环境影响途径及危害后果</w:t>
                  </w:r>
                </w:p>
              </w:tc>
              <w:tc>
                <w:tcPr>
                  <w:tcW w:w="4092" w:type="pct"/>
                  <w:gridSpan w:val="4"/>
                  <w:vAlign w:val="center"/>
                </w:tcPr>
                <w:p>
                  <w:pPr>
                    <w:spacing w:line="300" w:lineRule="exact"/>
                    <w:rPr>
                      <w:szCs w:val="21"/>
                    </w:rPr>
                  </w:pPr>
                  <w:r>
                    <w:rPr>
                      <w:rFonts w:hint="eastAsia"/>
                      <w:szCs w:val="21"/>
                    </w:rPr>
                    <w:t>火灾、爆炸等。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5" w:type="pct"/>
              </w:trPr>
              <w:tc>
                <w:tcPr>
                  <w:tcW w:w="903" w:type="pct"/>
                  <w:vAlign w:val="center"/>
                </w:tcPr>
                <w:p>
                  <w:pPr>
                    <w:spacing w:line="300" w:lineRule="exact"/>
                    <w:jc w:val="center"/>
                    <w:rPr>
                      <w:szCs w:val="21"/>
                    </w:rPr>
                  </w:pPr>
                  <w:r>
                    <w:rPr>
                      <w:rFonts w:hint="eastAsia"/>
                      <w:szCs w:val="21"/>
                    </w:rPr>
                    <w:t>风险防范措施要求</w:t>
                  </w:r>
                </w:p>
              </w:tc>
              <w:tc>
                <w:tcPr>
                  <w:tcW w:w="4092" w:type="pct"/>
                  <w:gridSpan w:val="4"/>
                  <w:vAlign w:val="center"/>
                </w:tcPr>
                <w:p>
                  <w:pPr>
                    <w:spacing w:line="300" w:lineRule="exact"/>
                    <w:rPr>
                      <w:szCs w:val="21"/>
                    </w:rPr>
                  </w:pPr>
                  <w:r>
                    <w:rPr>
                      <w:rFonts w:hint="eastAsia"/>
                      <w:szCs w:val="21"/>
                    </w:rPr>
                    <w:t>应设专人对管道进行维护和保养，一旦发现渗漏，应停止使用，待修复后方可使用。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000" w:type="pct"/>
                  <w:gridSpan w:val="6"/>
                  <w:vAlign w:val="center"/>
                </w:tcPr>
                <w:p>
                  <w:pPr>
                    <w:spacing w:line="300" w:lineRule="exact"/>
                    <w:rPr>
                      <w:szCs w:val="21"/>
                    </w:rPr>
                  </w:pPr>
                  <w:r>
                    <w:rPr>
                      <w:rFonts w:hint="eastAsia"/>
                      <w:szCs w:val="21"/>
                    </w:rPr>
                    <w:t>填表说明：—</w:t>
                  </w:r>
                </w:p>
              </w:tc>
            </w:tr>
          </w:tbl>
          <w:p>
            <w:pPr>
              <w:pStyle w:val="46"/>
              <w:widowControl w:val="0"/>
              <w:ind w:firstLine="422"/>
              <w:rPr>
                <w:rFonts w:cs="Times New Roman"/>
                <w:b/>
              </w:rPr>
            </w:pPr>
            <w:r>
              <w:rPr>
                <w:rFonts w:hint="eastAsia" w:cs="Times New Roman"/>
                <w:b/>
              </w:rPr>
              <w:t>8、电磁辐射</w:t>
            </w:r>
          </w:p>
          <w:p>
            <w:pPr>
              <w:adjustRightInd w:val="0"/>
              <w:snapToGrid w:val="0"/>
              <w:spacing w:line="360" w:lineRule="auto"/>
              <w:ind w:firstLine="420" w:firstLineChars="200"/>
            </w:pPr>
            <w:r>
              <w:rPr>
                <w:rFonts w:hint="eastAsia"/>
              </w:rPr>
              <w:t>本项目不属于电磁辐射类项目。</w:t>
            </w:r>
          </w:p>
          <w:p>
            <w:pPr>
              <w:pStyle w:val="46"/>
              <w:widowControl w:val="0"/>
              <w:ind w:firstLine="402"/>
              <w:rPr>
                <w:rFonts w:cs="Times New Roman"/>
                <w:b/>
              </w:rPr>
            </w:pPr>
            <w:r>
              <w:rPr>
                <w:rFonts w:cs="Times New Roman"/>
                <w:b/>
                <w:spacing w:val="-10"/>
              </w:rPr>
              <w:t>9</w:t>
            </w:r>
            <w:r>
              <w:rPr>
                <w:rFonts w:cs="Times New Roman"/>
                <w:b/>
              </w:rPr>
              <w:t>、环</w:t>
            </w:r>
            <w:r>
              <w:rPr>
                <w:rFonts w:hint="eastAsia" w:cs="Times New Roman"/>
                <w:b/>
              </w:rPr>
              <w:t>保投资</w:t>
            </w:r>
          </w:p>
          <w:p>
            <w:pPr>
              <w:adjustRightInd w:val="0"/>
              <w:snapToGrid w:val="0"/>
              <w:spacing w:line="360" w:lineRule="auto"/>
              <w:ind w:firstLine="420" w:firstLineChars="200"/>
            </w:pPr>
            <w:r>
              <w:t>本项目总</w:t>
            </w:r>
            <w:r>
              <w:rPr>
                <w:rFonts w:hint="eastAsia"/>
              </w:rPr>
              <w:t>投资</w:t>
            </w:r>
            <w:r>
              <w:t>200万元，其中环保投资23万元，占总投资的11.5%。项目环保投资估算情况一览表见下表。</w:t>
            </w:r>
          </w:p>
          <w:p>
            <w:pPr>
              <w:pStyle w:val="17"/>
              <w:spacing w:before="0" w:beforeAutospacing="0" w:after="0" w:afterAutospacing="0" w:line="460" w:lineRule="exact"/>
              <w:jc w:val="center"/>
              <w:outlineLvl w:val="0"/>
              <w:rPr>
                <w:rFonts w:cs="宋体"/>
                <w:b/>
                <w:bCs/>
                <w:spacing w:val="1"/>
                <w:sz w:val="21"/>
                <w:szCs w:val="21"/>
              </w:rPr>
            </w:pPr>
            <w:r>
              <w:rPr>
                <w:rFonts w:cs="宋体"/>
                <w:b/>
                <w:bCs/>
                <w:sz w:val="21"/>
                <w:szCs w:val="21"/>
              </w:rPr>
              <w:t>表</w:t>
            </w:r>
            <w:r>
              <w:rPr>
                <w:rFonts w:cs="宋体"/>
                <w:b/>
                <w:bCs/>
                <w:spacing w:val="-67"/>
                <w:sz w:val="21"/>
                <w:szCs w:val="21"/>
              </w:rPr>
              <w:t xml:space="preserve"> </w:t>
            </w:r>
            <w:r>
              <w:rPr>
                <w:rFonts w:ascii="Times New Roman" w:hAnsi="Times New Roman" w:eastAsia="Times New Roman"/>
                <w:b/>
                <w:bCs/>
                <w:spacing w:val="-1"/>
                <w:sz w:val="21"/>
                <w:szCs w:val="21"/>
              </w:rPr>
              <w:t>4-1</w:t>
            </w:r>
            <w:r>
              <w:rPr>
                <w:rFonts w:ascii="Times New Roman" w:hAnsi="Times New Roman"/>
                <w:b/>
                <w:bCs/>
                <w:spacing w:val="-1"/>
                <w:sz w:val="21"/>
                <w:szCs w:val="21"/>
              </w:rPr>
              <w:t>7</w:t>
            </w:r>
            <w:r>
              <w:rPr>
                <w:rFonts w:hint="eastAsia" w:ascii="Times New Roman" w:hAnsi="Times New Roman"/>
                <w:b/>
                <w:bCs/>
                <w:spacing w:val="-1"/>
                <w:sz w:val="21"/>
                <w:szCs w:val="21"/>
              </w:rPr>
              <w:t xml:space="preserve"> </w:t>
            </w:r>
            <w:r>
              <w:rPr>
                <w:rFonts w:ascii="Times New Roman" w:hAnsi="Times New Roman" w:eastAsia="Times New Roman"/>
                <w:b/>
                <w:bCs/>
                <w:spacing w:val="-15"/>
                <w:sz w:val="21"/>
                <w:szCs w:val="21"/>
              </w:rPr>
              <w:t xml:space="preserve"> </w:t>
            </w:r>
            <w:r>
              <w:rPr>
                <w:rFonts w:cs="宋体"/>
                <w:b/>
                <w:bCs/>
                <w:spacing w:val="1"/>
                <w:sz w:val="21"/>
                <w:szCs w:val="21"/>
              </w:rPr>
              <w:t>环保设施及投资估算一览表</w:t>
            </w:r>
            <w:r>
              <w:rPr>
                <w:rFonts w:hint="eastAsia" w:cs="宋体"/>
                <w:b/>
                <w:bCs/>
                <w:spacing w:val="1"/>
                <w:sz w:val="21"/>
                <w:szCs w:val="21"/>
              </w:rPr>
              <w:t xml:space="preserve">   单位：万元</w:t>
            </w:r>
          </w:p>
          <w:tbl>
            <w:tblPr>
              <w:tblStyle w:val="19"/>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35"/>
              <w:gridCol w:w="930"/>
              <w:gridCol w:w="2068"/>
              <w:gridCol w:w="4353"/>
              <w:gridCol w:w="10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821" w:type="pct"/>
                  <w:gridSpan w:val="2"/>
                  <w:vAlign w:val="center"/>
                </w:tcPr>
                <w:p>
                  <w:pPr>
                    <w:pStyle w:val="47"/>
                    <w:spacing w:line="300" w:lineRule="exact"/>
                    <w:jc w:val="center"/>
                    <w:rPr>
                      <w:szCs w:val="21"/>
                    </w:rPr>
                  </w:pPr>
                  <w:r>
                    <w:rPr>
                      <w:b/>
                      <w:bCs/>
                      <w:szCs w:val="21"/>
                    </w:rPr>
                    <w:t>类别</w:t>
                  </w:r>
                </w:p>
              </w:tc>
              <w:tc>
                <w:tcPr>
                  <w:tcW w:w="1159" w:type="pct"/>
                  <w:vAlign w:val="center"/>
                </w:tcPr>
                <w:p>
                  <w:pPr>
                    <w:pStyle w:val="47"/>
                    <w:spacing w:line="300" w:lineRule="exact"/>
                    <w:jc w:val="center"/>
                    <w:rPr>
                      <w:szCs w:val="21"/>
                    </w:rPr>
                  </w:pPr>
                  <w:r>
                    <w:rPr>
                      <w:b/>
                      <w:bCs/>
                      <w:szCs w:val="21"/>
                    </w:rPr>
                    <w:t>产生工序及名称</w:t>
                  </w:r>
                </w:p>
              </w:tc>
              <w:tc>
                <w:tcPr>
                  <w:tcW w:w="2439" w:type="pct"/>
                  <w:vAlign w:val="center"/>
                </w:tcPr>
                <w:p>
                  <w:pPr>
                    <w:pStyle w:val="47"/>
                    <w:spacing w:line="300" w:lineRule="exact"/>
                    <w:jc w:val="center"/>
                    <w:rPr>
                      <w:szCs w:val="21"/>
                    </w:rPr>
                  </w:pPr>
                  <w:r>
                    <w:rPr>
                      <w:b/>
                      <w:bCs/>
                      <w:szCs w:val="21"/>
                    </w:rPr>
                    <w:t>治理措施</w:t>
                  </w:r>
                </w:p>
              </w:tc>
              <w:tc>
                <w:tcPr>
                  <w:tcW w:w="581" w:type="pct"/>
                  <w:vAlign w:val="center"/>
                </w:tcPr>
                <w:p>
                  <w:pPr>
                    <w:pStyle w:val="47"/>
                    <w:spacing w:line="300" w:lineRule="exact"/>
                    <w:jc w:val="center"/>
                    <w:rPr>
                      <w:szCs w:val="21"/>
                    </w:rPr>
                  </w:pPr>
                  <w:r>
                    <w:rPr>
                      <w:b/>
                      <w:bCs/>
                      <w:szCs w:val="21"/>
                    </w:rPr>
                    <w:t>费用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300" w:type="pct"/>
                  <w:vMerge w:val="restart"/>
                  <w:vAlign w:val="center"/>
                </w:tcPr>
                <w:p>
                  <w:pPr>
                    <w:pStyle w:val="47"/>
                    <w:spacing w:line="300" w:lineRule="exact"/>
                    <w:jc w:val="center"/>
                    <w:rPr>
                      <w:szCs w:val="21"/>
                    </w:rPr>
                  </w:pPr>
                  <w:r>
                    <w:rPr>
                      <w:szCs w:val="21"/>
                    </w:rPr>
                    <w:t>营运期</w:t>
                  </w:r>
                </w:p>
              </w:tc>
              <w:tc>
                <w:tcPr>
                  <w:tcW w:w="521" w:type="pct"/>
                  <w:vMerge w:val="restart"/>
                  <w:vAlign w:val="center"/>
                </w:tcPr>
                <w:p>
                  <w:pPr>
                    <w:pStyle w:val="47"/>
                    <w:spacing w:line="300" w:lineRule="exact"/>
                    <w:jc w:val="center"/>
                    <w:rPr>
                      <w:szCs w:val="21"/>
                    </w:rPr>
                  </w:pPr>
                  <w:r>
                    <w:rPr>
                      <w:szCs w:val="21"/>
                    </w:rPr>
                    <w:t>废气</w:t>
                  </w:r>
                </w:p>
              </w:tc>
              <w:tc>
                <w:tcPr>
                  <w:tcW w:w="1159" w:type="pct"/>
                  <w:vAlign w:val="center"/>
                </w:tcPr>
                <w:p>
                  <w:pPr>
                    <w:pStyle w:val="47"/>
                    <w:spacing w:line="300" w:lineRule="exact"/>
                    <w:jc w:val="center"/>
                    <w:rPr>
                      <w:szCs w:val="21"/>
                    </w:rPr>
                  </w:pPr>
                  <w:r>
                    <w:rPr>
                      <w:rFonts w:hint="eastAsia"/>
                      <w:szCs w:val="21"/>
                    </w:rPr>
                    <w:t>排气筒</w:t>
                  </w:r>
                  <w:r>
                    <w:rPr>
                      <w:szCs w:val="21"/>
                    </w:rPr>
                    <w:t>DA001</w:t>
                  </w:r>
                </w:p>
              </w:tc>
              <w:tc>
                <w:tcPr>
                  <w:tcW w:w="2439" w:type="pct"/>
                  <w:vAlign w:val="center"/>
                </w:tcPr>
                <w:p>
                  <w:pPr>
                    <w:pStyle w:val="47"/>
                    <w:spacing w:line="300" w:lineRule="exact"/>
                    <w:jc w:val="left"/>
                    <w:rPr>
                      <w:szCs w:val="21"/>
                    </w:rPr>
                  </w:pPr>
                  <w:r>
                    <w:rPr>
                      <w:rFonts w:hint="eastAsia"/>
                      <w:szCs w:val="21"/>
                    </w:rPr>
                    <w:t>2</w:t>
                  </w:r>
                  <w:r>
                    <w:rPr>
                      <w:szCs w:val="21"/>
                    </w:rPr>
                    <w:t>7</w:t>
                  </w:r>
                  <w:r>
                    <w:rPr>
                      <w:rFonts w:hint="eastAsia"/>
                      <w:szCs w:val="21"/>
                    </w:rPr>
                    <w:t>m高排气筒</w:t>
                  </w:r>
                </w:p>
              </w:tc>
              <w:tc>
                <w:tcPr>
                  <w:tcW w:w="581" w:type="pct"/>
                  <w:vMerge w:val="restart"/>
                  <w:vAlign w:val="center"/>
                </w:tcPr>
                <w:p>
                  <w:pPr>
                    <w:pStyle w:val="47"/>
                    <w:spacing w:line="300" w:lineRule="exact"/>
                    <w:jc w:val="center"/>
                    <w:rPr>
                      <w:szCs w:val="21"/>
                    </w:rPr>
                  </w:pPr>
                  <w:r>
                    <w:rPr>
                      <w:szCs w:val="21"/>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300" w:type="pct"/>
                  <w:vMerge w:val="continue"/>
                  <w:vAlign w:val="center"/>
                </w:tcPr>
                <w:p>
                  <w:pPr>
                    <w:pStyle w:val="47"/>
                    <w:spacing w:line="300" w:lineRule="exact"/>
                    <w:jc w:val="center"/>
                    <w:rPr>
                      <w:szCs w:val="21"/>
                    </w:rPr>
                  </w:pPr>
                </w:p>
              </w:tc>
              <w:tc>
                <w:tcPr>
                  <w:tcW w:w="521" w:type="pct"/>
                  <w:vMerge w:val="continue"/>
                  <w:vAlign w:val="center"/>
                </w:tcPr>
                <w:p>
                  <w:pPr>
                    <w:pStyle w:val="47"/>
                    <w:spacing w:line="300" w:lineRule="exact"/>
                    <w:jc w:val="center"/>
                    <w:rPr>
                      <w:szCs w:val="21"/>
                    </w:rPr>
                  </w:pPr>
                </w:p>
              </w:tc>
              <w:tc>
                <w:tcPr>
                  <w:tcW w:w="1159" w:type="pct"/>
                  <w:vAlign w:val="center"/>
                </w:tcPr>
                <w:p>
                  <w:pPr>
                    <w:pStyle w:val="47"/>
                    <w:spacing w:line="300" w:lineRule="exact"/>
                    <w:jc w:val="center"/>
                    <w:rPr>
                      <w:szCs w:val="21"/>
                    </w:rPr>
                  </w:pPr>
                  <w:r>
                    <w:rPr>
                      <w:rFonts w:hint="eastAsia"/>
                      <w:szCs w:val="21"/>
                    </w:rPr>
                    <w:t>排气筒D</w:t>
                  </w:r>
                  <w:r>
                    <w:rPr>
                      <w:szCs w:val="21"/>
                    </w:rPr>
                    <w:t>A002</w:t>
                  </w:r>
                </w:p>
              </w:tc>
              <w:tc>
                <w:tcPr>
                  <w:tcW w:w="2439" w:type="pct"/>
                  <w:vAlign w:val="center"/>
                </w:tcPr>
                <w:p>
                  <w:pPr>
                    <w:pStyle w:val="47"/>
                    <w:spacing w:line="300" w:lineRule="exact"/>
                    <w:jc w:val="left"/>
                    <w:rPr>
                      <w:szCs w:val="21"/>
                    </w:rPr>
                  </w:pPr>
                  <w:r>
                    <w:rPr>
                      <w:rFonts w:hint="eastAsia"/>
                      <w:szCs w:val="21"/>
                    </w:rPr>
                    <w:t>2</w:t>
                  </w:r>
                  <w:r>
                    <w:rPr>
                      <w:szCs w:val="21"/>
                    </w:rPr>
                    <w:t>7</w:t>
                  </w:r>
                  <w:r>
                    <w:rPr>
                      <w:rFonts w:hint="eastAsia"/>
                      <w:szCs w:val="21"/>
                    </w:rPr>
                    <w:t>m高排气筒</w:t>
                  </w:r>
                </w:p>
              </w:tc>
              <w:tc>
                <w:tcPr>
                  <w:tcW w:w="581" w:type="pct"/>
                  <w:vMerge w:val="continue"/>
                  <w:vAlign w:val="center"/>
                </w:tcPr>
                <w:p>
                  <w:pPr>
                    <w:pStyle w:val="47"/>
                    <w:spacing w:line="300" w:lineRule="exact"/>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00" w:type="pct"/>
                  <w:vMerge w:val="continue"/>
                  <w:vAlign w:val="center"/>
                </w:tcPr>
                <w:p>
                  <w:pPr>
                    <w:pStyle w:val="47"/>
                    <w:spacing w:line="300" w:lineRule="exact"/>
                    <w:jc w:val="center"/>
                    <w:rPr>
                      <w:szCs w:val="21"/>
                    </w:rPr>
                  </w:pPr>
                </w:p>
              </w:tc>
              <w:tc>
                <w:tcPr>
                  <w:tcW w:w="521" w:type="pct"/>
                  <w:vMerge w:val="continue"/>
                  <w:vAlign w:val="center"/>
                </w:tcPr>
                <w:p>
                  <w:pPr>
                    <w:pStyle w:val="47"/>
                    <w:spacing w:line="300" w:lineRule="exact"/>
                    <w:jc w:val="center"/>
                    <w:rPr>
                      <w:szCs w:val="21"/>
                    </w:rPr>
                  </w:pPr>
                </w:p>
              </w:tc>
              <w:tc>
                <w:tcPr>
                  <w:tcW w:w="1159" w:type="pct"/>
                  <w:vAlign w:val="center"/>
                </w:tcPr>
                <w:p>
                  <w:pPr>
                    <w:pStyle w:val="47"/>
                    <w:spacing w:line="300" w:lineRule="exact"/>
                    <w:jc w:val="center"/>
                    <w:rPr>
                      <w:szCs w:val="21"/>
                    </w:rPr>
                  </w:pPr>
                  <w:r>
                    <w:rPr>
                      <w:rFonts w:hint="eastAsia"/>
                      <w:szCs w:val="21"/>
                    </w:rPr>
                    <w:t>排气筒</w:t>
                  </w:r>
                  <w:r>
                    <w:rPr>
                      <w:szCs w:val="21"/>
                    </w:rPr>
                    <w:t>DA003</w:t>
                  </w:r>
                </w:p>
              </w:tc>
              <w:tc>
                <w:tcPr>
                  <w:tcW w:w="2439" w:type="pct"/>
                  <w:vAlign w:val="center"/>
                </w:tcPr>
                <w:p>
                  <w:pPr>
                    <w:pStyle w:val="47"/>
                    <w:spacing w:line="300" w:lineRule="exact"/>
                    <w:jc w:val="left"/>
                    <w:rPr>
                      <w:szCs w:val="21"/>
                    </w:rPr>
                  </w:pPr>
                  <w:r>
                    <w:rPr>
                      <w:rFonts w:hint="eastAsia"/>
                      <w:szCs w:val="21"/>
                    </w:rPr>
                    <w:t>2</w:t>
                  </w:r>
                  <w:r>
                    <w:rPr>
                      <w:szCs w:val="21"/>
                    </w:rPr>
                    <w:t>7</w:t>
                  </w:r>
                  <w:r>
                    <w:rPr>
                      <w:rFonts w:hint="eastAsia"/>
                      <w:szCs w:val="21"/>
                    </w:rPr>
                    <w:t>m高排气筒</w:t>
                  </w:r>
                </w:p>
              </w:tc>
              <w:tc>
                <w:tcPr>
                  <w:tcW w:w="581" w:type="pct"/>
                  <w:vMerge w:val="continue"/>
                  <w:vAlign w:val="center"/>
                </w:tcPr>
                <w:p>
                  <w:pPr>
                    <w:pStyle w:val="47"/>
                    <w:spacing w:line="300" w:lineRule="exact"/>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300" w:type="pct"/>
                  <w:vMerge w:val="continue"/>
                  <w:vAlign w:val="center"/>
                </w:tcPr>
                <w:p>
                  <w:pPr>
                    <w:pStyle w:val="47"/>
                    <w:spacing w:line="300" w:lineRule="exact"/>
                    <w:jc w:val="center"/>
                    <w:rPr>
                      <w:szCs w:val="21"/>
                    </w:rPr>
                  </w:pPr>
                </w:p>
              </w:tc>
              <w:tc>
                <w:tcPr>
                  <w:tcW w:w="521" w:type="pct"/>
                  <w:vMerge w:val="continue"/>
                  <w:vAlign w:val="center"/>
                </w:tcPr>
                <w:p>
                  <w:pPr>
                    <w:pStyle w:val="47"/>
                    <w:spacing w:line="300" w:lineRule="exact"/>
                    <w:jc w:val="center"/>
                    <w:rPr>
                      <w:szCs w:val="21"/>
                    </w:rPr>
                  </w:pPr>
                </w:p>
              </w:tc>
              <w:tc>
                <w:tcPr>
                  <w:tcW w:w="1159" w:type="pct"/>
                  <w:vAlign w:val="center"/>
                </w:tcPr>
                <w:p>
                  <w:pPr>
                    <w:pStyle w:val="47"/>
                    <w:spacing w:line="300" w:lineRule="exact"/>
                    <w:jc w:val="center"/>
                    <w:rPr>
                      <w:szCs w:val="21"/>
                    </w:rPr>
                  </w:pPr>
                  <w:r>
                    <w:rPr>
                      <w:rFonts w:hint="eastAsia"/>
                      <w:szCs w:val="21"/>
                    </w:rPr>
                    <w:t>排气筒D</w:t>
                  </w:r>
                  <w:r>
                    <w:rPr>
                      <w:szCs w:val="21"/>
                    </w:rPr>
                    <w:t>A004</w:t>
                  </w:r>
                </w:p>
              </w:tc>
              <w:tc>
                <w:tcPr>
                  <w:tcW w:w="2439" w:type="pct"/>
                  <w:vAlign w:val="center"/>
                </w:tcPr>
                <w:p>
                  <w:pPr>
                    <w:pStyle w:val="47"/>
                    <w:spacing w:line="300" w:lineRule="exact"/>
                    <w:jc w:val="left"/>
                    <w:rPr>
                      <w:szCs w:val="21"/>
                    </w:rPr>
                  </w:pPr>
                  <w:r>
                    <w:rPr>
                      <w:rFonts w:hint="eastAsia"/>
                      <w:szCs w:val="21"/>
                    </w:rPr>
                    <w:t>2</w:t>
                  </w:r>
                  <w:r>
                    <w:rPr>
                      <w:szCs w:val="21"/>
                    </w:rPr>
                    <w:t>7</w:t>
                  </w:r>
                  <w:r>
                    <w:rPr>
                      <w:rFonts w:hint="eastAsia"/>
                      <w:szCs w:val="21"/>
                    </w:rPr>
                    <w:t>m高排气筒</w:t>
                  </w:r>
                </w:p>
              </w:tc>
              <w:tc>
                <w:tcPr>
                  <w:tcW w:w="581" w:type="pct"/>
                  <w:vMerge w:val="continue"/>
                  <w:vAlign w:val="center"/>
                </w:tcPr>
                <w:p>
                  <w:pPr>
                    <w:pStyle w:val="47"/>
                    <w:spacing w:line="300" w:lineRule="exact"/>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00" w:type="pct"/>
                  <w:vMerge w:val="continue"/>
                  <w:vAlign w:val="center"/>
                </w:tcPr>
                <w:p>
                  <w:pPr>
                    <w:spacing w:line="300" w:lineRule="exact"/>
                    <w:jc w:val="center"/>
                    <w:rPr>
                      <w:szCs w:val="21"/>
                    </w:rPr>
                  </w:pPr>
                </w:p>
              </w:tc>
              <w:tc>
                <w:tcPr>
                  <w:tcW w:w="521" w:type="pct"/>
                  <w:vAlign w:val="center"/>
                </w:tcPr>
                <w:p>
                  <w:pPr>
                    <w:pStyle w:val="47"/>
                    <w:spacing w:line="300" w:lineRule="exact"/>
                    <w:jc w:val="center"/>
                    <w:rPr>
                      <w:szCs w:val="21"/>
                    </w:rPr>
                  </w:pPr>
                  <w:r>
                    <w:rPr>
                      <w:szCs w:val="21"/>
                    </w:rPr>
                    <w:t>废水</w:t>
                  </w:r>
                </w:p>
              </w:tc>
              <w:tc>
                <w:tcPr>
                  <w:tcW w:w="1159" w:type="pct"/>
                  <w:vAlign w:val="center"/>
                </w:tcPr>
                <w:p>
                  <w:pPr>
                    <w:pStyle w:val="47"/>
                    <w:jc w:val="center"/>
                    <w:rPr>
                      <w:szCs w:val="21"/>
                    </w:rPr>
                  </w:pPr>
                  <w:r>
                    <w:rPr>
                      <w:rFonts w:hint="eastAsia"/>
                      <w:szCs w:val="21"/>
                    </w:rPr>
                    <w:t>锅炉排水、软化水排水</w:t>
                  </w:r>
                </w:p>
              </w:tc>
              <w:tc>
                <w:tcPr>
                  <w:tcW w:w="2439" w:type="pct"/>
                  <w:vAlign w:val="center"/>
                </w:tcPr>
                <w:p>
                  <w:pPr>
                    <w:pStyle w:val="47"/>
                    <w:spacing w:line="300" w:lineRule="exact"/>
                    <w:jc w:val="left"/>
                    <w:rPr>
                      <w:szCs w:val="21"/>
                    </w:rPr>
                  </w:pPr>
                  <w:r>
                    <w:rPr>
                      <w:rFonts w:hint="eastAsia"/>
                      <w:szCs w:val="21"/>
                    </w:rPr>
                    <w:t>排入市政污水管网</w:t>
                  </w:r>
                </w:p>
              </w:tc>
              <w:tc>
                <w:tcPr>
                  <w:tcW w:w="581" w:type="pct"/>
                  <w:vAlign w:val="center"/>
                </w:tcPr>
                <w:p>
                  <w:pPr>
                    <w:pStyle w:val="47"/>
                    <w:spacing w:line="300" w:lineRule="exact"/>
                    <w:jc w:val="center"/>
                    <w:rPr>
                      <w:szCs w:val="21"/>
                    </w:rPr>
                  </w:pPr>
                  <w:r>
                    <w:rPr>
                      <w:szCs w:val="21"/>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00" w:type="pct"/>
                  <w:vMerge w:val="continue"/>
                  <w:vAlign w:val="center"/>
                </w:tcPr>
                <w:p>
                  <w:pPr>
                    <w:spacing w:line="300" w:lineRule="exact"/>
                    <w:jc w:val="center"/>
                    <w:rPr>
                      <w:szCs w:val="21"/>
                    </w:rPr>
                  </w:pPr>
                </w:p>
              </w:tc>
              <w:tc>
                <w:tcPr>
                  <w:tcW w:w="521" w:type="pct"/>
                  <w:vAlign w:val="center"/>
                </w:tcPr>
                <w:p>
                  <w:pPr>
                    <w:pStyle w:val="47"/>
                    <w:spacing w:line="300" w:lineRule="exact"/>
                    <w:jc w:val="center"/>
                    <w:rPr>
                      <w:szCs w:val="21"/>
                    </w:rPr>
                  </w:pPr>
                  <w:r>
                    <w:rPr>
                      <w:szCs w:val="21"/>
                    </w:rPr>
                    <w:t>噪声</w:t>
                  </w:r>
                </w:p>
              </w:tc>
              <w:tc>
                <w:tcPr>
                  <w:tcW w:w="1159" w:type="pct"/>
                  <w:vAlign w:val="center"/>
                </w:tcPr>
                <w:p>
                  <w:pPr>
                    <w:pStyle w:val="47"/>
                    <w:spacing w:line="300" w:lineRule="exact"/>
                    <w:jc w:val="center"/>
                    <w:rPr>
                      <w:szCs w:val="21"/>
                    </w:rPr>
                  </w:pPr>
                  <w:r>
                    <w:rPr>
                      <w:szCs w:val="21"/>
                    </w:rPr>
                    <w:t>设备噪声</w:t>
                  </w:r>
                </w:p>
              </w:tc>
              <w:tc>
                <w:tcPr>
                  <w:tcW w:w="2439" w:type="pct"/>
                  <w:vAlign w:val="center"/>
                </w:tcPr>
                <w:p>
                  <w:pPr>
                    <w:pStyle w:val="47"/>
                    <w:spacing w:line="300" w:lineRule="exact"/>
                    <w:jc w:val="left"/>
                    <w:rPr>
                      <w:szCs w:val="21"/>
                    </w:rPr>
                  </w:pPr>
                  <w:r>
                    <w:rPr>
                      <w:szCs w:val="21"/>
                    </w:rPr>
                    <w:t>选用低噪声设备，设置</w:t>
                  </w:r>
                  <w:r>
                    <w:rPr>
                      <w:rFonts w:hint="eastAsia"/>
                      <w:szCs w:val="21"/>
                    </w:rPr>
                    <w:t>减振</w:t>
                  </w:r>
                  <w:r>
                    <w:rPr>
                      <w:szCs w:val="21"/>
                    </w:rPr>
                    <w:t>垫，风机设置消声器；合理布局、距离衰减降噪。</w:t>
                  </w:r>
                </w:p>
              </w:tc>
              <w:tc>
                <w:tcPr>
                  <w:tcW w:w="581" w:type="pct"/>
                  <w:vAlign w:val="center"/>
                </w:tcPr>
                <w:p>
                  <w:pPr>
                    <w:pStyle w:val="47"/>
                    <w:spacing w:line="300" w:lineRule="exact"/>
                    <w:jc w:val="center"/>
                    <w:rPr>
                      <w:szCs w:val="21"/>
                    </w:rPr>
                  </w:pPr>
                  <w:r>
                    <w:rPr>
                      <w:szCs w:val="21"/>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4419" w:type="pct"/>
                  <w:gridSpan w:val="4"/>
                  <w:vAlign w:val="center"/>
                </w:tcPr>
                <w:p>
                  <w:pPr>
                    <w:pStyle w:val="47"/>
                    <w:spacing w:line="300" w:lineRule="exact"/>
                    <w:jc w:val="center"/>
                    <w:rPr>
                      <w:szCs w:val="21"/>
                    </w:rPr>
                  </w:pPr>
                  <w:r>
                    <w:rPr>
                      <w:rFonts w:hint="eastAsia"/>
                      <w:szCs w:val="21"/>
                    </w:rPr>
                    <w:t>合计</w:t>
                  </w:r>
                </w:p>
              </w:tc>
              <w:tc>
                <w:tcPr>
                  <w:tcW w:w="581" w:type="pct"/>
                  <w:vAlign w:val="center"/>
                </w:tcPr>
                <w:p>
                  <w:pPr>
                    <w:pStyle w:val="47"/>
                    <w:spacing w:line="300" w:lineRule="exact"/>
                    <w:jc w:val="center"/>
                    <w:rPr>
                      <w:szCs w:val="21"/>
                    </w:rPr>
                  </w:pPr>
                  <w:r>
                    <w:rPr>
                      <w:szCs w:val="21"/>
                    </w:rPr>
                    <w:t>23</w:t>
                  </w:r>
                </w:p>
              </w:tc>
            </w:tr>
          </w:tbl>
          <w:p>
            <w:pPr>
              <w:pStyle w:val="46"/>
              <w:widowControl w:val="0"/>
              <w:ind w:firstLine="400"/>
              <w:rPr>
                <w:rFonts w:ascii="宋体" w:hAnsi="宋体"/>
                <w:bCs/>
                <w:spacing w:val="-10"/>
              </w:rPr>
            </w:pPr>
            <w:r>
              <w:rPr>
                <w:rFonts w:hint="eastAsia" w:ascii="宋体" w:hAnsi="宋体"/>
                <w:bCs/>
                <w:spacing w:val="-10"/>
              </w:rPr>
              <w:t xml:space="preserve"> </w:t>
            </w: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p>
            <w:pPr>
              <w:pStyle w:val="46"/>
              <w:widowControl w:val="0"/>
              <w:ind w:firstLine="400"/>
              <w:rPr>
                <w:rFonts w:ascii="宋体" w:hAnsi="宋体"/>
                <w:bCs/>
                <w:spacing w:val="-10"/>
              </w:rPr>
            </w:pPr>
          </w:p>
        </w:tc>
      </w:tr>
    </w:tbl>
    <w:p>
      <w:pPr>
        <w:pStyle w:val="17"/>
        <w:pageBreakBefore/>
        <w:adjustRightInd w:val="0"/>
        <w:snapToGrid w:val="0"/>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2" w:name="_Hlk54167917"/>
      <w:r>
        <w:rPr>
          <w:rFonts w:hint="eastAsia" w:ascii="黑体" w:hAnsi="黑体" w:eastAsia="黑体"/>
          <w:snapToGrid w:val="0"/>
          <w:sz w:val="30"/>
          <w:szCs w:val="30"/>
        </w:rPr>
        <w:t>环境保护措施监督检查清单</w:t>
      </w:r>
      <w:bookmarkEnd w:id="12"/>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2032"/>
        <w:gridCol w:w="1309"/>
        <w:gridCol w:w="2326"/>
        <w:gridCol w:w="2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tcBorders>
              <w:tl2br w:val="single" w:color="auto" w:sz="4" w:space="0"/>
            </w:tcBorders>
          </w:tcPr>
          <w:p>
            <w:pPr>
              <w:adjustRightInd w:val="0"/>
              <w:snapToGrid w:val="0"/>
              <w:ind w:firstLine="840"/>
              <w:jc w:val="right"/>
              <w:rPr>
                <w:szCs w:val="21"/>
              </w:rPr>
            </w:pPr>
            <w:r>
              <w:rPr>
                <w:szCs w:val="21"/>
              </w:rPr>
              <w:t>内容</w:t>
            </w:r>
          </w:p>
          <w:p>
            <w:pPr>
              <w:adjustRightInd w:val="0"/>
              <w:snapToGrid w:val="0"/>
              <w:rPr>
                <w:szCs w:val="21"/>
              </w:rPr>
            </w:pPr>
            <w:r>
              <w:rPr>
                <w:szCs w:val="21"/>
              </w:rPr>
              <w:t>要素</w:t>
            </w:r>
          </w:p>
        </w:tc>
        <w:tc>
          <w:tcPr>
            <w:tcW w:w="1031" w:type="pct"/>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664" w:type="pct"/>
            <w:vAlign w:val="center"/>
          </w:tcPr>
          <w:p>
            <w:pPr>
              <w:adjustRightInd w:val="0"/>
              <w:snapToGrid w:val="0"/>
              <w:jc w:val="center"/>
              <w:rPr>
                <w:szCs w:val="21"/>
              </w:rPr>
            </w:pPr>
            <w:r>
              <w:rPr>
                <w:szCs w:val="21"/>
              </w:rPr>
              <w:t>污染物项目</w:t>
            </w:r>
          </w:p>
        </w:tc>
        <w:tc>
          <w:tcPr>
            <w:tcW w:w="1180" w:type="pct"/>
            <w:vAlign w:val="center"/>
          </w:tcPr>
          <w:p>
            <w:pPr>
              <w:adjustRightInd w:val="0"/>
              <w:snapToGrid w:val="0"/>
              <w:jc w:val="center"/>
              <w:rPr>
                <w:szCs w:val="21"/>
              </w:rPr>
            </w:pPr>
            <w:r>
              <w:rPr>
                <w:szCs w:val="21"/>
              </w:rPr>
              <w:t>环境保护措施</w:t>
            </w:r>
          </w:p>
        </w:tc>
        <w:tc>
          <w:tcPr>
            <w:tcW w:w="1319" w:type="pct"/>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Merge w:val="restart"/>
            <w:vAlign w:val="center"/>
          </w:tcPr>
          <w:p>
            <w:pPr>
              <w:adjustRightInd w:val="0"/>
              <w:snapToGrid w:val="0"/>
              <w:jc w:val="center"/>
              <w:rPr>
                <w:szCs w:val="21"/>
              </w:rPr>
            </w:pPr>
            <w:r>
              <w:rPr>
                <w:rFonts w:hint="eastAsia"/>
                <w:szCs w:val="21"/>
              </w:rPr>
              <w:t>大气环境</w:t>
            </w:r>
          </w:p>
        </w:tc>
        <w:tc>
          <w:tcPr>
            <w:tcW w:w="1031" w:type="pct"/>
            <w:vAlign w:val="center"/>
          </w:tcPr>
          <w:p>
            <w:pPr>
              <w:adjustRightInd w:val="0"/>
              <w:snapToGrid w:val="0"/>
              <w:jc w:val="center"/>
              <w:rPr>
                <w:b/>
                <w:bCs/>
                <w:i/>
                <w:iCs/>
                <w:color w:val="000000"/>
                <w:szCs w:val="21"/>
                <w:u w:val="single"/>
              </w:rPr>
            </w:pPr>
            <w:r>
              <w:rPr>
                <w:b/>
                <w:bCs/>
                <w:i/>
                <w:iCs/>
                <w:color w:val="000000"/>
                <w:szCs w:val="21"/>
                <w:u w:val="single"/>
              </w:rPr>
              <w:t>燃气热水锅炉排气筒DA001、DA002</w:t>
            </w:r>
          </w:p>
        </w:tc>
        <w:tc>
          <w:tcPr>
            <w:tcW w:w="664" w:type="pct"/>
            <w:vAlign w:val="center"/>
          </w:tcPr>
          <w:p>
            <w:pPr>
              <w:adjustRightInd w:val="0"/>
              <w:snapToGrid w:val="0"/>
              <w:jc w:val="center"/>
              <w:rPr>
                <w:b/>
                <w:bCs/>
                <w:i/>
                <w:iCs/>
                <w:szCs w:val="21"/>
                <w:u w:val="single"/>
              </w:rPr>
            </w:pPr>
            <w:r>
              <w:rPr>
                <w:rFonts w:hint="eastAsia"/>
                <w:b/>
                <w:bCs/>
                <w:i/>
                <w:iCs/>
                <w:szCs w:val="21"/>
                <w:u w:val="single"/>
              </w:rPr>
              <w:t>颗粒物</w:t>
            </w:r>
          </w:p>
          <w:p>
            <w:pPr>
              <w:adjustRightInd w:val="0"/>
              <w:snapToGrid w:val="0"/>
              <w:jc w:val="center"/>
              <w:rPr>
                <w:b/>
                <w:bCs/>
                <w:i/>
                <w:iCs/>
                <w:szCs w:val="21"/>
                <w:u w:val="single"/>
              </w:rPr>
            </w:pPr>
            <w:r>
              <w:rPr>
                <w:rFonts w:hint="eastAsia"/>
                <w:b/>
                <w:bCs/>
                <w:i/>
                <w:iCs/>
                <w:szCs w:val="21"/>
                <w:u w:val="single"/>
              </w:rPr>
              <w:t>二氧化硫</w:t>
            </w:r>
          </w:p>
          <w:p>
            <w:pPr>
              <w:adjustRightInd w:val="0"/>
              <w:snapToGrid w:val="0"/>
              <w:jc w:val="center"/>
              <w:rPr>
                <w:b/>
                <w:bCs/>
                <w:i/>
                <w:iCs/>
                <w:szCs w:val="21"/>
                <w:u w:val="single"/>
              </w:rPr>
            </w:pPr>
            <w:r>
              <w:rPr>
                <w:rFonts w:hint="eastAsia"/>
                <w:b/>
                <w:bCs/>
                <w:i/>
                <w:iCs/>
                <w:szCs w:val="21"/>
                <w:u w:val="single"/>
              </w:rPr>
              <w:t>氮氧化物</w:t>
            </w:r>
          </w:p>
        </w:tc>
        <w:tc>
          <w:tcPr>
            <w:tcW w:w="1180" w:type="pct"/>
            <w:vAlign w:val="center"/>
          </w:tcPr>
          <w:p>
            <w:pPr>
              <w:adjustRightInd w:val="0"/>
              <w:snapToGrid w:val="0"/>
              <w:jc w:val="center"/>
              <w:rPr>
                <w:b/>
                <w:bCs/>
                <w:i/>
                <w:iCs/>
                <w:szCs w:val="21"/>
                <w:u w:val="single"/>
              </w:rPr>
            </w:pPr>
            <w:r>
              <w:rPr>
                <w:rFonts w:hint="eastAsia"/>
                <w:b/>
                <w:bCs/>
                <w:i/>
                <w:iCs/>
                <w:szCs w:val="21"/>
                <w:u w:val="single"/>
              </w:rPr>
              <w:t>2</w:t>
            </w:r>
            <w:r>
              <w:rPr>
                <w:b/>
                <w:bCs/>
                <w:i/>
                <w:iCs/>
                <w:szCs w:val="21"/>
                <w:u w:val="single"/>
              </w:rPr>
              <w:t>7</w:t>
            </w:r>
            <w:r>
              <w:rPr>
                <w:rFonts w:hint="eastAsia"/>
                <w:b/>
                <w:bCs/>
                <w:i/>
                <w:iCs/>
                <w:szCs w:val="21"/>
                <w:u w:val="single"/>
              </w:rPr>
              <w:t>m高排气筒</w:t>
            </w:r>
          </w:p>
        </w:tc>
        <w:tc>
          <w:tcPr>
            <w:tcW w:w="1319" w:type="pct"/>
            <w:vMerge w:val="restart"/>
            <w:vAlign w:val="center"/>
          </w:tcPr>
          <w:p>
            <w:pPr>
              <w:adjustRightInd w:val="0"/>
              <w:snapToGrid w:val="0"/>
              <w:jc w:val="center"/>
              <w:rPr>
                <w:b/>
                <w:bCs/>
                <w:i/>
                <w:iCs/>
                <w:szCs w:val="21"/>
                <w:u w:val="single"/>
              </w:rPr>
            </w:pPr>
            <w:r>
              <w:rPr>
                <w:rFonts w:hint="eastAsia"/>
                <w:b/>
                <w:bCs/>
                <w:i/>
                <w:iCs/>
                <w:u w:val="single"/>
              </w:rPr>
              <w:t>《锅炉大气污染物排放标准》（G</w:t>
            </w:r>
            <w:r>
              <w:rPr>
                <w:b/>
                <w:bCs/>
                <w:i/>
                <w:iCs/>
                <w:u w:val="single"/>
              </w:rPr>
              <w:t>B 13271-2014</w:t>
            </w:r>
            <w:r>
              <w:rPr>
                <w:rFonts w:hint="eastAsia"/>
                <w:b/>
                <w:bCs/>
                <w:i/>
                <w:iCs/>
                <w:u w:val="single"/>
              </w:rPr>
              <w:t>）</w:t>
            </w:r>
            <w:r>
              <w:rPr>
                <w:rFonts w:hint="eastAsia"/>
                <w:b/>
                <w:bCs/>
                <w:i/>
                <w:iCs/>
                <w:highlight w:val="yellow"/>
                <w:u w:val="single"/>
              </w:rPr>
              <w:t>表3大气污染物特别排放限值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Merge w:val="continue"/>
            <w:vAlign w:val="center"/>
          </w:tcPr>
          <w:p>
            <w:pPr>
              <w:adjustRightInd w:val="0"/>
              <w:snapToGrid w:val="0"/>
              <w:jc w:val="center"/>
              <w:rPr>
                <w:szCs w:val="21"/>
              </w:rPr>
            </w:pPr>
          </w:p>
        </w:tc>
        <w:tc>
          <w:tcPr>
            <w:tcW w:w="1031" w:type="pct"/>
            <w:vAlign w:val="center"/>
          </w:tcPr>
          <w:p>
            <w:pPr>
              <w:adjustRightInd w:val="0"/>
              <w:snapToGrid w:val="0"/>
              <w:jc w:val="center"/>
              <w:rPr>
                <w:b/>
                <w:bCs/>
                <w:i/>
                <w:iCs/>
                <w:color w:val="000000"/>
                <w:szCs w:val="21"/>
                <w:u w:val="single"/>
              </w:rPr>
            </w:pPr>
            <w:r>
              <w:rPr>
                <w:b/>
                <w:bCs/>
                <w:i/>
                <w:iCs/>
                <w:color w:val="000000"/>
                <w:szCs w:val="21"/>
                <w:u w:val="single"/>
              </w:rPr>
              <w:t>燃气蒸汽锅炉排气筒DA003、DA004</w:t>
            </w:r>
          </w:p>
        </w:tc>
        <w:tc>
          <w:tcPr>
            <w:tcW w:w="664" w:type="pct"/>
            <w:vAlign w:val="center"/>
          </w:tcPr>
          <w:p>
            <w:pPr>
              <w:adjustRightInd w:val="0"/>
              <w:snapToGrid w:val="0"/>
              <w:jc w:val="center"/>
              <w:rPr>
                <w:b/>
                <w:bCs/>
                <w:i/>
                <w:iCs/>
                <w:szCs w:val="21"/>
                <w:u w:val="single"/>
              </w:rPr>
            </w:pPr>
            <w:r>
              <w:rPr>
                <w:rFonts w:hint="eastAsia"/>
                <w:b/>
                <w:bCs/>
                <w:i/>
                <w:iCs/>
                <w:szCs w:val="21"/>
                <w:u w:val="single"/>
              </w:rPr>
              <w:t>颗粒物</w:t>
            </w:r>
          </w:p>
          <w:p>
            <w:pPr>
              <w:adjustRightInd w:val="0"/>
              <w:snapToGrid w:val="0"/>
              <w:jc w:val="center"/>
              <w:rPr>
                <w:b/>
                <w:bCs/>
                <w:i/>
                <w:iCs/>
                <w:szCs w:val="21"/>
                <w:u w:val="single"/>
              </w:rPr>
            </w:pPr>
            <w:r>
              <w:rPr>
                <w:rFonts w:hint="eastAsia"/>
                <w:b/>
                <w:bCs/>
                <w:i/>
                <w:iCs/>
                <w:szCs w:val="21"/>
                <w:u w:val="single"/>
              </w:rPr>
              <w:t>二氧化硫</w:t>
            </w:r>
          </w:p>
          <w:p>
            <w:pPr>
              <w:adjustRightInd w:val="0"/>
              <w:snapToGrid w:val="0"/>
              <w:jc w:val="center"/>
              <w:rPr>
                <w:b/>
                <w:bCs/>
                <w:i/>
                <w:iCs/>
                <w:szCs w:val="21"/>
                <w:u w:val="single"/>
              </w:rPr>
            </w:pPr>
            <w:r>
              <w:rPr>
                <w:rFonts w:hint="eastAsia"/>
                <w:b/>
                <w:bCs/>
                <w:i/>
                <w:iCs/>
                <w:szCs w:val="21"/>
                <w:u w:val="single"/>
              </w:rPr>
              <w:t>氮氧化物</w:t>
            </w:r>
          </w:p>
        </w:tc>
        <w:tc>
          <w:tcPr>
            <w:tcW w:w="1180" w:type="pct"/>
            <w:vAlign w:val="center"/>
          </w:tcPr>
          <w:p>
            <w:pPr>
              <w:adjustRightInd w:val="0"/>
              <w:snapToGrid w:val="0"/>
              <w:jc w:val="center"/>
              <w:rPr>
                <w:b/>
                <w:bCs/>
                <w:i/>
                <w:iCs/>
                <w:szCs w:val="21"/>
                <w:u w:val="single"/>
              </w:rPr>
            </w:pPr>
            <w:r>
              <w:rPr>
                <w:rFonts w:hint="eastAsia"/>
                <w:b/>
                <w:bCs/>
                <w:i/>
                <w:iCs/>
                <w:szCs w:val="21"/>
                <w:u w:val="single"/>
              </w:rPr>
              <w:t>2</w:t>
            </w:r>
            <w:r>
              <w:rPr>
                <w:b/>
                <w:bCs/>
                <w:i/>
                <w:iCs/>
                <w:szCs w:val="21"/>
                <w:u w:val="single"/>
              </w:rPr>
              <w:t>7</w:t>
            </w:r>
            <w:r>
              <w:rPr>
                <w:rFonts w:hint="eastAsia"/>
                <w:b/>
                <w:bCs/>
                <w:i/>
                <w:iCs/>
                <w:szCs w:val="21"/>
                <w:u w:val="single"/>
              </w:rPr>
              <w:t>m高排气筒</w:t>
            </w:r>
          </w:p>
        </w:tc>
        <w:tc>
          <w:tcPr>
            <w:tcW w:w="1319" w:type="pct"/>
            <w:vMerge w:val="continue"/>
            <w:vAlign w:val="center"/>
          </w:tcPr>
          <w:p>
            <w:pPr>
              <w:adjustRightInd w:val="0"/>
              <w:snapToGrid w:val="0"/>
              <w:jc w:val="center"/>
              <w:rPr>
                <w:b/>
                <w:bCs/>
                <w:i/>
                <w:i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zCs w:val="21"/>
              </w:rPr>
            </w:pPr>
            <w:r>
              <w:rPr>
                <w:szCs w:val="21"/>
              </w:rPr>
              <w:t>地表水环境</w:t>
            </w:r>
          </w:p>
        </w:tc>
        <w:tc>
          <w:tcPr>
            <w:tcW w:w="1031" w:type="pct"/>
            <w:vAlign w:val="center"/>
          </w:tcPr>
          <w:p>
            <w:pPr>
              <w:adjustRightInd w:val="0"/>
              <w:snapToGrid w:val="0"/>
              <w:jc w:val="center"/>
              <w:rPr>
                <w:b/>
                <w:bCs/>
                <w:i/>
                <w:iCs/>
                <w:szCs w:val="21"/>
                <w:u w:val="single"/>
              </w:rPr>
            </w:pPr>
            <w:r>
              <w:rPr>
                <w:b/>
                <w:bCs/>
                <w:i/>
                <w:iCs/>
                <w:szCs w:val="21"/>
                <w:u w:val="single"/>
              </w:rPr>
              <w:t>污水总排口TW001</w:t>
            </w:r>
          </w:p>
        </w:tc>
        <w:tc>
          <w:tcPr>
            <w:tcW w:w="664" w:type="pct"/>
            <w:vAlign w:val="center"/>
          </w:tcPr>
          <w:p>
            <w:pPr>
              <w:adjustRightInd w:val="0"/>
              <w:snapToGrid w:val="0"/>
              <w:jc w:val="center"/>
              <w:rPr>
                <w:b/>
                <w:bCs/>
                <w:i/>
                <w:iCs/>
                <w:szCs w:val="21"/>
                <w:u w:val="single"/>
              </w:rPr>
            </w:pPr>
            <w:r>
              <w:rPr>
                <w:rFonts w:hint="eastAsia"/>
                <w:b/>
                <w:bCs/>
                <w:i/>
                <w:iCs/>
                <w:szCs w:val="21"/>
                <w:u w:val="single"/>
              </w:rPr>
              <w:t>C</w:t>
            </w:r>
            <w:r>
              <w:rPr>
                <w:b/>
                <w:bCs/>
                <w:i/>
                <w:iCs/>
                <w:szCs w:val="21"/>
                <w:u w:val="single"/>
              </w:rPr>
              <w:t>OD</w:t>
            </w:r>
          </w:p>
          <w:p>
            <w:pPr>
              <w:adjustRightInd w:val="0"/>
              <w:snapToGrid w:val="0"/>
              <w:jc w:val="center"/>
              <w:rPr>
                <w:b/>
                <w:bCs/>
                <w:i/>
                <w:iCs/>
                <w:szCs w:val="21"/>
                <w:u w:val="single"/>
              </w:rPr>
            </w:pPr>
            <w:r>
              <w:rPr>
                <w:rFonts w:hint="eastAsia"/>
                <w:b/>
                <w:bCs/>
                <w:i/>
                <w:iCs/>
                <w:szCs w:val="21"/>
                <w:u w:val="single"/>
              </w:rPr>
              <w:t>S</w:t>
            </w:r>
            <w:r>
              <w:rPr>
                <w:b/>
                <w:bCs/>
                <w:i/>
                <w:iCs/>
                <w:szCs w:val="21"/>
                <w:u w:val="single"/>
              </w:rPr>
              <w:t>S</w:t>
            </w:r>
          </w:p>
        </w:tc>
        <w:tc>
          <w:tcPr>
            <w:tcW w:w="1180" w:type="pct"/>
            <w:vAlign w:val="center"/>
          </w:tcPr>
          <w:p>
            <w:pPr>
              <w:adjustRightInd w:val="0"/>
              <w:snapToGrid w:val="0"/>
              <w:jc w:val="center"/>
              <w:rPr>
                <w:b/>
                <w:bCs/>
                <w:i/>
                <w:iCs/>
                <w:szCs w:val="21"/>
                <w:u w:val="single"/>
              </w:rPr>
            </w:pPr>
            <w:r>
              <w:rPr>
                <w:rFonts w:hint="eastAsia"/>
                <w:b/>
                <w:bCs/>
                <w:i/>
                <w:iCs/>
                <w:szCs w:val="21"/>
                <w:u w:val="single"/>
              </w:rPr>
              <w:t>/</w:t>
            </w:r>
          </w:p>
        </w:tc>
        <w:tc>
          <w:tcPr>
            <w:tcW w:w="1319" w:type="pct"/>
            <w:vAlign w:val="center"/>
          </w:tcPr>
          <w:p>
            <w:pPr>
              <w:adjustRightInd w:val="0"/>
              <w:snapToGrid w:val="0"/>
              <w:jc w:val="center"/>
              <w:rPr>
                <w:b/>
                <w:bCs/>
                <w:i/>
                <w:iCs/>
                <w:szCs w:val="21"/>
                <w:u w:val="single"/>
              </w:rPr>
            </w:pPr>
            <w:r>
              <w:rPr>
                <w:rFonts w:hint="eastAsia"/>
                <w:b/>
                <w:bCs/>
                <w:i/>
                <w:iCs/>
                <w:u w:val="single"/>
              </w:rPr>
              <w:t>《污水综合排放标准》（G</w:t>
            </w:r>
            <w:r>
              <w:rPr>
                <w:b/>
                <w:bCs/>
                <w:i/>
                <w:iCs/>
                <w:u w:val="single"/>
              </w:rPr>
              <w:t>B 8978-1996</w:t>
            </w:r>
            <w:r>
              <w:rPr>
                <w:rFonts w:hint="eastAsia"/>
                <w:b/>
                <w:bCs/>
                <w:i/>
                <w:iCs/>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zCs w:val="21"/>
              </w:rPr>
            </w:pPr>
            <w:r>
              <w:rPr>
                <w:szCs w:val="21"/>
              </w:rPr>
              <w:t>声环境</w:t>
            </w:r>
          </w:p>
        </w:tc>
        <w:tc>
          <w:tcPr>
            <w:tcW w:w="1031" w:type="pct"/>
            <w:vAlign w:val="center"/>
          </w:tcPr>
          <w:p>
            <w:pPr>
              <w:adjustRightInd w:val="0"/>
              <w:snapToGrid w:val="0"/>
              <w:jc w:val="center"/>
              <w:rPr>
                <w:b/>
                <w:bCs/>
                <w:i/>
                <w:iCs/>
                <w:szCs w:val="21"/>
                <w:u w:val="single"/>
              </w:rPr>
            </w:pPr>
            <w:r>
              <w:rPr>
                <w:rFonts w:hint="eastAsia"/>
                <w:b/>
                <w:bCs/>
                <w:i/>
                <w:iCs/>
                <w:szCs w:val="21"/>
                <w:u w:val="single"/>
              </w:rPr>
              <w:t>风机</w:t>
            </w:r>
          </w:p>
        </w:tc>
        <w:tc>
          <w:tcPr>
            <w:tcW w:w="664" w:type="pct"/>
            <w:vAlign w:val="center"/>
          </w:tcPr>
          <w:p>
            <w:pPr>
              <w:adjustRightInd w:val="0"/>
              <w:snapToGrid w:val="0"/>
              <w:jc w:val="center"/>
              <w:rPr>
                <w:b/>
                <w:bCs/>
                <w:i/>
                <w:iCs/>
                <w:szCs w:val="21"/>
                <w:u w:val="single"/>
              </w:rPr>
            </w:pPr>
            <w:r>
              <w:rPr>
                <w:b/>
                <w:bCs/>
                <w:i/>
                <w:iCs/>
                <w:szCs w:val="21"/>
                <w:u w:val="single"/>
              </w:rPr>
              <w:t>等效声级</w:t>
            </w:r>
          </w:p>
        </w:tc>
        <w:tc>
          <w:tcPr>
            <w:tcW w:w="1180" w:type="pct"/>
            <w:vAlign w:val="center"/>
          </w:tcPr>
          <w:p>
            <w:pPr>
              <w:adjustRightInd w:val="0"/>
              <w:snapToGrid w:val="0"/>
              <w:jc w:val="center"/>
              <w:rPr>
                <w:b/>
                <w:bCs/>
                <w:i/>
                <w:iCs/>
                <w:szCs w:val="21"/>
                <w:u w:val="single"/>
              </w:rPr>
            </w:pPr>
            <w:r>
              <w:rPr>
                <w:b/>
                <w:bCs/>
                <w:i/>
                <w:iCs/>
                <w:szCs w:val="21"/>
                <w:u w:val="single"/>
              </w:rPr>
              <w:t>隔声、吸声、消声、减振等</w:t>
            </w:r>
          </w:p>
        </w:tc>
        <w:tc>
          <w:tcPr>
            <w:tcW w:w="1319" w:type="pct"/>
            <w:vAlign w:val="center"/>
          </w:tcPr>
          <w:p>
            <w:pPr>
              <w:adjustRightInd w:val="0"/>
              <w:snapToGrid w:val="0"/>
              <w:jc w:val="center"/>
              <w:rPr>
                <w:b/>
                <w:bCs/>
                <w:i/>
                <w:iCs/>
                <w:szCs w:val="21"/>
                <w:u w:val="single"/>
              </w:rPr>
            </w:pPr>
            <w:r>
              <w:rPr>
                <w:b/>
                <w:bCs/>
                <w:i/>
                <w:iCs/>
                <w:szCs w:val="21"/>
                <w:u w:val="single"/>
              </w:rPr>
              <w:t>《工业企业厂界环境噪声排放标准》（GB 12348-2008）中</w:t>
            </w:r>
            <w:r>
              <w:rPr>
                <w:rFonts w:hint="eastAsia"/>
                <w:b/>
                <w:bCs/>
                <w:i/>
                <w:iCs/>
                <w:szCs w:val="21"/>
                <w:u w:val="single"/>
              </w:rPr>
              <w:t>3</w:t>
            </w:r>
            <w:r>
              <w:rPr>
                <w:b/>
                <w:bCs/>
                <w:i/>
                <w:iCs/>
                <w:szCs w:val="21"/>
                <w:u w:val="singl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zCs w:val="21"/>
              </w:rPr>
            </w:pPr>
            <w:r>
              <w:rPr>
                <w:szCs w:val="21"/>
              </w:rPr>
              <w:t>电磁辐射</w:t>
            </w:r>
          </w:p>
        </w:tc>
        <w:tc>
          <w:tcPr>
            <w:tcW w:w="1031" w:type="pct"/>
            <w:vAlign w:val="center"/>
          </w:tcPr>
          <w:p>
            <w:pPr>
              <w:adjustRightInd w:val="0"/>
              <w:snapToGrid w:val="0"/>
              <w:jc w:val="center"/>
              <w:rPr>
                <w:szCs w:val="21"/>
              </w:rPr>
            </w:pPr>
            <w:r>
              <w:rPr>
                <w:rFonts w:hint="eastAsia"/>
                <w:szCs w:val="21"/>
              </w:rPr>
              <w:t>/</w:t>
            </w:r>
          </w:p>
        </w:tc>
        <w:tc>
          <w:tcPr>
            <w:tcW w:w="664" w:type="pct"/>
            <w:vAlign w:val="center"/>
          </w:tcPr>
          <w:p>
            <w:pPr>
              <w:adjustRightInd w:val="0"/>
              <w:snapToGrid w:val="0"/>
              <w:jc w:val="center"/>
              <w:rPr>
                <w:szCs w:val="21"/>
              </w:rPr>
            </w:pPr>
            <w:r>
              <w:rPr>
                <w:rFonts w:hint="eastAsia"/>
                <w:szCs w:val="21"/>
              </w:rPr>
              <w:t>/</w:t>
            </w:r>
          </w:p>
        </w:tc>
        <w:tc>
          <w:tcPr>
            <w:tcW w:w="1180" w:type="pct"/>
            <w:vAlign w:val="center"/>
          </w:tcPr>
          <w:p>
            <w:pPr>
              <w:adjustRightInd w:val="0"/>
              <w:snapToGrid w:val="0"/>
              <w:jc w:val="center"/>
              <w:rPr>
                <w:szCs w:val="21"/>
              </w:rPr>
            </w:pPr>
            <w:r>
              <w:rPr>
                <w:rFonts w:hint="eastAsia"/>
                <w:szCs w:val="21"/>
              </w:rPr>
              <w:t>/</w:t>
            </w:r>
          </w:p>
        </w:tc>
        <w:tc>
          <w:tcPr>
            <w:tcW w:w="1319" w:type="pct"/>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zCs w:val="21"/>
              </w:rPr>
            </w:pPr>
            <w:r>
              <w:rPr>
                <w:szCs w:val="21"/>
              </w:rPr>
              <w:t>固体废物</w:t>
            </w:r>
          </w:p>
        </w:tc>
        <w:tc>
          <w:tcPr>
            <w:tcW w:w="1031" w:type="pct"/>
            <w:vAlign w:val="center"/>
          </w:tcPr>
          <w:p>
            <w:pPr>
              <w:adjustRightInd w:val="0"/>
              <w:snapToGrid w:val="0"/>
              <w:jc w:val="center"/>
              <w:rPr>
                <w:szCs w:val="21"/>
              </w:rPr>
            </w:pPr>
            <w:r>
              <w:rPr>
                <w:rFonts w:hint="eastAsia"/>
                <w:szCs w:val="21"/>
              </w:rPr>
              <w:t>/</w:t>
            </w:r>
          </w:p>
        </w:tc>
        <w:tc>
          <w:tcPr>
            <w:tcW w:w="664" w:type="pct"/>
            <w:vAlign w:val="center"/>
          </w:tcPr>
          <w:p>
            <w:pPr>
              <w:adjustRightInd w:val="0"/>
              <w:snapToGrid w:val="0"/>
              <w:jc w:val="center"/>
              <w:rPr>
                <w:szCs w:val="21"/>
              </w:rPr>
            </w:pPr>
            <w:r>
              <w:rPr>
                <w:rFonts w:hint="eastAsia"/>
                <w:szCs w:val="21"/>
              </w:rPr>
              <w:t>/</w:t>
            </w:r>
          </w:p>
        </w:tc>
        <w:tc>
          <w:tcPr>
            <w:tcW w:w="1180" w:type="pct"/>
            <w:vAlign w:val="center"/>
          </w:tcPr>
          <w:p>
            <w:pPr>
              <w:adjustRightInd w:val="0"/>
              <w:snapToGrid w:val="0"/>
              <w:jc w:val="center"/>
              <w:rPr>
                <w:szCs w:val="21"/>
              </w:rPr>
            </w:pPr>
            <w:r>
              <w:rPr>
                <w:rFonts w:hint="eastAsia"/>
                <w:szCs w:val="21"/>
              </w:rPr>
              <w:t>/</w:t>
            </w:r>
          </w:p>
        </w:tc>
        <w:tc>
          <w:tcPr>
            <w:tcW w:w="1319" w:type="pct"/>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zCs w:val="21"/>
              </w:rPr>
            </w:pPr>
            <w:r>
              <w:rPr>
                <w:rFonts w:hint="eastAsia"/>
                <w:szCs w:val="21"/>
              </w:rPr>
              <w:t>危险废物</w:t>
            </w:r>
          </w:p>
        </w:tc>
        <w:tc>
          <w:tcPr>
            <w:tcW w:w="1031" w:type="pct"/>
            <w:vAlign w:val="center"/>
          </w:tcPr>
          <w:p>
            <w:pPr>
              <w:adjustRightInd w:val="0"/>
              <w:snapToGrid w:val="0"/>
              <w:jc w:val="center"/>
              <w:rPr>
                <w:szCs w:val="21"/>
              </w:rPr>
            </w:pPr>
            <w:r>
              <w:rPr>
                <w:rFonts w:hint="eastAsia"/>
                <w:szCs w:val="21"/>
              </w:rPr>
              <w:t>/</w:t>
            </w:r>
          </w:p>
        </w:tc>
        <w:tc>
          <w:tcPr>
            <w:tcW w:w="664" w:type="pct"/>
            <w:vAlign w:val="center"/>
          </w:tcPr>
          <w:p>
            <w:pPr>
              <w:adjustRightInd w:val="0"/>
              <w:snapToGrid w:val="0"/>
              <w:jc w:val="center"/>
              <w:rPr>
                <w:szCs w:val="21"/>
              </w:rPr>
            </w:pPr>
            <w:r>
              <w:rPr>
                <w:rFonts w:hint="eastAsia"/>
                <w:szCs w:val="21"/>
              </w:rPr>
              <w:t>/</w:t>
            </w:r>
          </w:p>
        </w:tc>
        <w:tc>
          <w:tcPr>
            <w:tcW w:w="1180" w:type="pct"/>
            <w:vAlign w:val="center"/>
          </w:tcPr>
          <w:p>
            <w:pPr>
              <w:adjustRightInd w:val="0"/>
              <w:snapToGrid w:val="0"/>
              <w:jc w:val="center"/>
              <w:rPr>
                <w:szCs w:val="21"/>
              </w:rPr>
            </w:pPr>
            <w:r>
              <w:rPr>
                <w:rFonts w:hint="eastAsia"/>
                <w:szCs w:val="21"/>
              </w:rPr>
              <w:t>/</w:t>
            </w:r>
          </w:p>
        </w:tc>
        <w:tc>
          <w:tcPr>
            <w:tcW w:w="1319" w:type="pct"/>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4194" w:type="pct"/>
            <w:gridSpan w:val="4"/>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zCs w:val="21"/>
              </w:rPr>
            </w:pPr>
            <w:r>
              <w:rPr>
                <w:szCs w:val="21"/>
              </w:rPr>
              <w:t>生态保护措施</w:t>
            </w:r>
          </w:p>
        </w:tc>
        <w:tc>
          <w:tcPr>
            <w:tcW w:w="4194" w:type="pct"/>
            <w:gridSpan w:val="4"/>
            <w:vAlign w:val="center"/>
          </w:tcPr>
          <w:p>
            <w:pPr>
              <w:adjustRightInd w:val="0"/>
              <w:snapToGrid w:val="0"/>
              <w:rPr>
                <w:szCs w:val="21"/>
              </w:rPr>
            </w:pPr>
            <w:r>
              <w:rPr>
                <w:rFonts w:hint="eastAsia"/>
                <w:szCs w:val="21"/>
              </w:rPr>
              <w:t>项目选址附近植被覆盖率较低，属于人类活动频繁区，周围无原始植被生长和野生生物活动，主要生物均为常见物种，区域生态系统敏感程度较低，不涉及生态环境，对区域生态环境影响可接受。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4194" w:type="pct"/>
            <w:gridSpan w:val="4"/>
            <w:vAlign w:val="center"/>
          </w:tcPr>
          <w:p>
            <w:pPr>
              <w:adjustRightInd w:val="0"/>
              <w:snapToGrid w:val="0"/>
              <w:rPr>
                <w:szCs w:val="21"/>
              </w:rPr>
            </w:pPr>
            <w:r>
              <w:rPr>
                <w:rFonts w:hint="eastAsia" w:ascii="宋体" w:hAnsi="宋体"/>
              </w:rPr>
              <w:t>厂区内禁止吸烟、禁止携带火种；地面均硬化处理，危险品密封储存，设置专人定期检查，应急物资定期更新等。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6" w:type="pct"/>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4194" w:type="pct"/>
            <w:gridSpan w:val="4"/>
            <w:vAlign w:val="center"/>
          </w:tcPr>
          <w:p>
            <w:pPr>
              <w:adjustRightInd w:val="0"/>
              <w:snapToGrid w:val="0"/>
              <w:rPr>
                <w:szCs w:val="21"/>
              </w:rPr>
            </w:pPr>
            <w:r>
              <w:rPr>
                <w:rFonts w:hint="eastAsia"/>
                <w:kern w:val="0"/>
                <w:szCs w:val="21"/>
                <w:highlight w:val="yellow"/>
              </w:rPr>
              <w:t>按照《固定污染源排污许可分类管理名录（2019年版）》，对主行业与本项目均实施登记管理。</w:t>
            </w:r>
          </w:p>
        </w:tc>
      </w:tr>
    </w:tbl>
    <w:p>
      <w:pPr>
        <w:pStyle w:val="17"/>
        <w:pageBreakBefore/>
        <w:adjustRightInd w:val="0"/>
        <w:snapToGrid w:val="0"/>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六、结论</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5000" w:type="pct"/>
          </w:tcPr>
          <w:p>
            <w:pPr>
              <w:spacing w:line="360" w:lineRule="auto"/>
              <w:ind w:firstLine="420" w:firstLineChars="200"/>
              <w:rPr>
                <w:rFonts w:ascii="宋体" w:cs="宋体"/>
                <w:sz w:val="24"/>
              </w:rPr>
            </w:pPr>
            <w:r>
              <w:t>本项目选址符合所在区生态保护红线、资源利用上线、环境质量底线和生态环境准入清单的要求；项目建设符合国家的产业政策；建设单位在生产经营过程中只要保证遵守相关的环保法律法规，落实</w:t>
            </w:r>
            <w:r>
              <w:rPr>
                <w:rFonts w:ascii="宋体" w:hAnsi="宋体"/>
              </w:rPr>
              <w:t>“三同时”制度</w:t>
            </w:r>
            <w:r>
              <w:t>，保证有效地实施相应环境保护措施，妥善处理处置废水、废气、噪声、固体废物等污染物的前提下，从环境保护角度分析，本项目建设是可行的</w:t>
            </w:r>
            <w:r>
              <w:rPr>
                <w:rFonts w:hint="eastAsia"/>
              </w:rPr>
              <w:t>。</w:t>
            </w:r>
          </w:p>
        </w:tc>
      </w:tr>
    </w:tbl>
    <w:p>
      <w:pPr>
        <w:rPr>
          <w:rFonts w:ascii="宋体"/>
        </w:rPr>
        <w:sectPr>
          <w:pgSz w:w="11906" w:h="16838"/>
          <w:pgMar w:top="1134" w:right="1134" w:bottom="1134" w:left="1134" w:header="851" w:footer="851" w:gutter="0"/>
          <w:cols w:space="720" w:num="1"/>
          <w:docGrid w:linePitch="312" w:charSpace="0"/>
        </w:sectPr>
      </w:pPr>
    </w:p>
    <w:p>
      <w:pPr>
        <w:pStyle w:val="17"/>
        <w:adjustRightInd w:val="0"/>
        <w:snapToGrid w:val="0"/>
        <w:spacing w:before="0" w:beforeAutospacing="0" w:after="0" w:afterAutospacing="0"/>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7"/>
        <w:adjustRightInd w:val="0"/>
        <w:snapToGrid w:val="0"/>
        <w:spacing w:before="0" w:beforeAutospacing="0" w:after="0" w:afterAutospacing="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建设项目污染物排放量汇总表（t/a）</w:t>
      </w:r>
    </w:p>
    <w:tbl>
      <w:tblPr>
        <w:tblStyle w:val="1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472"/>
        <w:gridCol w:w="1773"/>
        <w:gridCol w:w="1322"/>
        <w:gridCol w:w="1773"/>
        <w:gridCol w:w="1621"/>
        <w:gridCol w:w="1837"/>
        <w:gridCol w:w="2045"/>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tcBorders>
              <w:tl2br w:val="single" w:color="auto" w:sz="4" w:space="0"/>
            </w:tcBorders>
            <w:tcMar>
              <w:left w:w="28" w:type="dxa"/>
              <w:right w:w="28" w:type="dxa"/>
            </w:tcMar>
            <w:vAlign w:val="center"/>
          </w:tcPr>
          <w:p>
            <w:pPr>
              <w:pStyle w:val="33"/>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33"/>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503" w:type="pct"/>
            <w:tcMar>
              <w:left w:w="28" w:type="dxa"/>
              <w:right w:w="28" w:type="dxa"/>
            </w:tcMar>
            <w:vAlign w:val="center"/>
          </w:tcPr>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606" w:type="pct"/>
            <w:tcMar>
              <w:left w:w="28" w:type="dxa"/>
              <w:right w:w="28" w:type="dxa"/>
            </w:tcMar>
            <w:vAlign w:val="center"/>
          </w:tcPr>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①</w:t>
            </w:r>
            <w:r>
              <w:rPr>
                <w:rFonts w:ascii="Times New Roman" w:eastAsia="黑体"/>
                <w:snapToGrid w:val="0"/>
                <w:color w:val="000000"/>
                <w:spacing w:val="-6"/>
                <w:kern w:val="21"/>
                <w:szCs w:val="21"/>
              </w:rPr>
              <w:fldChar w:fldCharType="end"/>
            </w:r>
          </w:p>
        </w:tc>
        <w:tc>
          <w:tcPr>
            <w:tcW w:w="452" w:type="pct"/>
            <w:tcMar>
              <w:left w:w="28" w:type="dxa"/>
              <w:right w:w="28" w:type="dxa"/>
            </w:tcMar>
            <w:vAlign w:val="center"/>
          </w:tcPr>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pPr>
              <w:pStyle w:val="33"/>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hint="eastAsia" w:hAnsi="宋体" w:cs="宋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606" w:type="pct"/>
            <w:tcMar>
              <w:left w:w="28" w:type="dxa"/>
              <w:right w:w="28" w:type="dxa"/>
            </w:tcMar>
            <w:vAlign w:val="center"/>
          </w:tcPr>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③</w:t>
            </w:r>
            <w:r>
              <w:rPr>
                <w:rFonts w:ascii="Times New Roman" w:eastAsia="黑体"/>
                <w:snapToGrid w:val="0"/>
                <w:color w:val="000000"/>
                <w:spacing w:val="-6"/>
                <w:kern w:val="21"/>
                <w:szCs w:val="21"/>
              </w:rPr>
              <w:fldChar w:fldCharType="end"/>
            </w:r>
          </w:p>
        </w:tc>
        <w:tc>
          <w:tcPr>
            <w:tcW w:w="554" w:type="pct"/>
            <w:tcMar>
              <w:left w:w="28" w:type="dxa"/>
              <w:right w:w="28" w:type="dxa"/>
            </w:tcMar>
            <w:vAlign w:val="center"/>
          </w:tcPr>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④</w:t>
            </w:r>
            <w:r>
              <w:rPr>
                <w:rFonts w:ascii="Times New Roman" w:eastAsia="黑体"/>
                <w:snapToGrid w:val="0"/>
                <w:color w:val="000000"/>
                <w:spacing w:val="-6"/>
                <w:kern w:val="21"/>
                <w:szCs w:val="21"/>
              </w:rPr>
              <w:fldChar w:fldCharType="end"/>
            </w:r>
          </w:p>
        </w:tc>
        <w:tc>
          <w:tcPr>
            <w:tcW w:w="628" w:type="pct"/>
            <w:tcMar>
              <w:left w:w="28" w:type="dxa"/>
              <w:right w:w="28" w:type="dxa"/>
            </w:tcMar>
            <w:vAlign w:val="center"/>
          </w:tcPr>
          <w:p>
            <w:pPr>
              <w:pStyle w:val="33"/>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pPr>
              <w:pStyle w:val="33"/>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hint="eastAsia" w:hAnsi="宋体" w:cs="宋体"/>
                <w:kern w:val="2"/>
                <w:szCs w:val="21"/>
              </w:rPr>
              <w:t>⑤</w:t>
            </w:r>
            <w:r>
              <w:rPr>
                <w:rFonts w:ascii="Times New Roman" w:eastAsia="黑体"/>
                <w:snapToGrid w:val="0"/>
                <w:color w:val="000000"/>
                <w:spacing w:val="-16"/>
                <w:kern w:val="21"/>
                <w:szCs w:val="21"/>
              </w:rPr>
              <w:fldChar w:fldCharType="end"/>
            </w:r>
          </w:p>
        </w:tc>
        <w:tc>
          <w:tcPr>
            <w:tcW w:w="699" w:type="pct"/>
            <w:tcMar>
              <w:left w:w="28" w:type="dxa"/>
              <w:right w:w="28" w:type="dxa"/>
            </w:tcMar>
            <w:vAlign w:val="center"/>
          </w:tcPr>
          <w:p>
            <w:pPr>
              <w:pStyle w:val="33"/>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pPr>
              <w:pStyle w:val="33"/>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hint="eastAsia" w:hAnsi="宋体" w:cs="宋体"/>
                <w:kern w:val="2"/>
                <w:szCs w:val="21"/>
              </w:rPr>
              <w:t>⑥</w:t>
            </w:r>
            <w:r>
              <w:rPr>
                <w:rFonts w:ascii="Times New Roman" w:eastAsia="黑体"/>
                <w:snapToGrid w:val="0"/>
                <w:color w:val="000000"/>
                <w:spacing w:val="-16"/>
                <w:kern w:val="21"/>
                <w:szCs w:val="21"/>
              </w:rPr>
              <w:fldChar w:fldCharType="end"/>
            </w:r>
          </w:p>
        </w:tc>
        <w:tc>
          <w:tcPr>
            <w:tcW w:w="386" w:type="pct"/>
            <w:tcMar>
              <w:left w:w="28" w:type="dxa"/>
              <w:right w:w="28" w:type="dxa"/>
            </w:tcMar>
            <w:vAlign w:val="center"/>
          </w:tcPr>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pPr>
              <w:pStyle w:val="33"/>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hint="eastAsia" w:hAnsi="宋体" w:cs="宋体"/>
                <w:kern w:val="2"/>
                <w:szCs w:val="21"/>
              </w:rPr>
              <w:t>⑦</w:t>
            </w:r>
            <w:r>
              <w:rPr>
                <w:rFonts w:ascii="Times New Roman"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vMerge w:val="restar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503"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颗粒物</w:t>
            </w:r>
          </w:p>
        </w:tc>
        <w:tc>
          <w:tcPr>
            <w:tcW w:w="606"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0.8</w:t>
            </w:r>
          </w:p>
        </w:tc>
        <w:tc>
          <w:tcPr>
            <w:tcW w:w="452"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554"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1.74E-03</w:t>
            </w:r>
          </w:p>
        </w:tc>
        <w:tc>
          <w:tcPr>
            <w:tcW w:w="628" w:type="pct"/>
            <w:vAlign w:val="center"/>
          </w:tcPr>
          <w:p>
            <w:pPr>
              <w:pStyle w:val="33"/>
              <w:spacing w:beforeLines="0" w:afterLines="0" w:line="240" w:lineRule="auto"/>
              <w:rPr>
                <w:rFonts w:ascii="Times New Roman"/>
                <w:snapToGrid w:val="0"/>
                <w:color w:val="000000"/>
                <w:kern w:val="21"/>
                <w:szCs w:val="21"/>
              </w:rPr>
            </w:pPr>
          </w:p>
        </w:tc>
        <w:tc>
          <w:tcPr>
            <w:tcW w:w="699"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0.8017</w:t>
            </w:r>
          </w:p>
        </w:tc>
        <w:tc>
          <w:tcPr>
            <w:tcW w:w="386"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+0.0017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vMerge w:val="continue"/>
            <w:vAlign w:val="center"/>
          </w:tcPr>
          <w:p>
            <w:pPr>
              <w:pStyle w:val="33"/>
              <w:spacing w:beforeLines="0" w:afterLines="0" w:line="240" w:lineRule="auto"/>
              <w:rPr>
                <w:rFonts w:ascii="Times New Roman"/>
                <w:snapToGrid w:val="0"/>
                <w:color w:val="000000"/>
                <w:kern w:val="21"/>
                <w:szCs w:val="21"/>
              </w:rPr>
            </w:pPr>
          </w:p>
        </w:tc>
        <w:tc>
          <w:tcPr>
            <w:tcW w:w="503"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SO</w:t>
            </w:r>
            <w:r>
              <w:rPr>
                <w:rFonts w:ascii="Times New Roman"/>
                <w:snapToGrid w:val="0"/>
                <w:color w:val="000000"/>
                <w:kern w:val="21"/>
                <w:szCs w:val="21"/>
                <w:vertAlign w:val="subscript"/>
              </w:rPr>
              <w:t>2</w:t>
            </w:r>
          </w:p>
        </w:tc>
        <w:tc>
          <w:tcPr>
            <w:tcW w:w="606" w:type="pct"/>
            <w:vAlign w:val="center"/>
          </w:tcPr>
          <w:p>
            <w:pPr>
              <w:pStyle w:val="33"/>
              <w:spacing w:beforeLines="0" w:afterLines="0" w:line="240" w:lineRule="auto"/>
              <w:rPr>
                <w:rFonts w:ascii="Times New Roman"/>
                <w:snapToGrid w:val="0"/>
                <w:color w:val="000000"/>
                <w:kern w:val="21"/>
                <w:szCs w:val="21"/>
              </w:rPr>
            </w:pPr>
          </w:p>
        </w:tc>
        <w:tc>
          <w:tcPr>
            <w:tcW w:w="452"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554"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2.70E-05</w:t>
            </w:r>
          </w:p>
        </w:tc>
        <w:tc>
          <w:tcPr>
            <w:tcW w:w="628" w:type="pct"/>
            <w:vAlign w:val="center"/>
          </w:tcPr>
          <w:p>
            <w:pPr>
              <w:pStyle w:val="33"/>
              <w:spacing w:beforeLines="0" w:afterLines="0" w:line="240" w:lineRule="auto"/>
              <w:rPr>
                <w:rFonts w:ascii="Times New Roman"/>
                <w:snapToGrid w:val="0"/>
                <w:color w:val="000000"/>
                <w:kern w:val="21"/>
                <w:szCs w:val="21"/>
              </w:rPr>
            </w:pPr>
          </w:p>
        </w:tc>
        <w:tc>
          <w:tcPr>
            <w:tcW w:w="699"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0.00003</w:t>
            </w:r>
          </w:p>
        </w:tc>
        <w:tc>
          <w:tcPr>
            <w:tcW w:w="386"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hint="eastAsia" w:ascii="Times New Roman"/>
                <w:snapToGrid w:val="0"/>
                <w:color w:val="000000"/>
                <w:kern w:val="21"/>
                <w:szCs w:val="21"/>
              </w:rPr>
              <w:t>0.00003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vMerge w:val="continue"/>
            <w:vAlign w:val="center"/>
          </w:tcPr>
          <w:p>
            <w:pPr>
              <w:pStyle w:val="33"/>
              <w:spacing w:beforeLines="0" w:afterLines="0" w:line="240" w:lineRule="auto"/>
              <w:rPr>
                <w:rFonts w:ascii="Times New Roman"/>
                <w:snapToGrid w:val="0"/>
                <w:color w:val="000000"/>
                <w:kern w:val="21"/>
                <w:szCs w:val="21"/>
              </w:rPr>
            </w:pPr>
          </w:p>
        </w:tc>
        <w:tc>
          <w:tcPr>
            <w:tcW w:w="503"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NOx</w:t>
            </w:r>
          </w:p>
        </w:tc>
        <w:tc>
          <w:tcPr>
            <w:tcW w:w="606" w:type="pct"/>
            <w:vAlign w:val="center"/>
          </w:tcPr>
          <w:p>
            <w:pPr>
              <w:pStyle w:val="33"/>
              <w:spacing w:beforeLines="0" w:afterLines="0" w:line="240" w:lineRule="auto"/>
              <w:rPr>
                <w:rFonts w:ascii="Times New Roman"/>
                <w:snapToGrid w:val="0"/>
                <w:color w:val="000000"/>
                <w:kern w:val="21"/>
                <w:szCs w:val="21"/>
              </w:rPr>
            </w:pPr>
          </w:p>
        </w:tc>
        <w:tc>
          <w:tcPr>
            <w:tcW w:w="452"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554"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2.14E-01</w:t>
            </w:r>
          </w:p>
        </w:tc>
        <w:tc>
          <w:tcPr>
            <w:tcW w:w="628" w:type="pct"/>
            <w:vAlign w:val="center"/>
          </w:tcPr>
          <w:p>
            <w:pPr>
              <w:pStyle w:val="33"/>
              <w:spacing w:beforeLines="0" w:afterLines="0" w:line="240" w:lineRule="auto"/>
              <w:rPr>
                <w:rFonts w:ascii="Times New Roman"/>
                <w:snapToGrid w:val="0"/>
                <w:color w:val="000000"/>
                <w:kern w:val="21"/>
                <w:szCs w:val="21"/>
              </w:rPr>
            </w:pPr>
          </w:p>
        </w:tc>
        <w:tc>
          <w:tcPr>
            <w:tcW w:w="699"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0.2142</w:t>
            </w:r>
          </w:p>
        </w:tc>
        <w:tc>
          <w:tcPr>
            <w:tcW w:w="386"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hint="eastAsia" w:ascii="Times New Roman"/>
                <w:snapToGrid w:val="0"/>
                <w:color w:val="000000"/>
                <w:kern w:val="21"/>
                <w:szCs w:val="21"/>
              </w:rPr>
              <w:t>0.2142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vMerge w:val="restar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503" w:type="pct"/>
            <w:vAlign w:val="center"/>
          </w:tcPr>
          <w:p>
            <w:pPr>
              <w:pStyle w:val="33"/>
              <w:spacing w:beforeLines="0" w:afterLines="0" w:line="240" w:lineRule="auto"/>
              <w:rPr>
                <w:rFonts w:ascii="Times New Roman"/>
                <w:snapToGrid w:val="0"/>
                <w:color w:val="000000"/>
                <w:kern w:val="21"/>
                <w:szCs w:val="21"/>
              </w:rPr>
            </w:pPr>
            <w:r>
              <w:rPr>
                <w:rFonts w:ascii="Times New Roman"/>
                <w:szCs w:val="21"/>
              </w:rPr>
              <w:t>COD</w:t>
            </w:r>
          </w:p>
        </w:tc>
        <w:tc>
          <w:tcPr>
            <w:tcW w:w="606"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ascii="Times New Roman"/>
                <w:snapToGrid w:val="0"/>
                <w:color w:val="000000"/>
                <w:kern w:val="21"/>
                <w:szCs w:val="21"/>
              </w:rPr>
              <w:t>.926</w:t>
            </w:r>
          </w:p>
        </w:tc>
        <w:tc>
          <w:tcPr>
            <w:tcW w:w="452"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554"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ascii="Times New Roman"/>
                <w:snapToGrid w:val="0"/>
                <w:color w:val="000000"/>
                <w:kern w:val="21"/>
                <w:szCs w:val="21"/>
              </w:rPr>
              <w:t>.0099</w:t>
            </w:r>
          </w:p>
        </w:tc>
        <w:tc>
          <w:tcPr>
            <w:tcW w:w="628" w:type="pct"/>
            <w:vAlign w:val="center"/>
          </w:tcPr>
          <w:p>
            <w:pPr>
              <w:pStyle w:val="33"/>
              <w:spacing w:beforeLines="0" w:afterLines="0" w:line="240" w:lineRule="auto"/>
              <w:rPr>
                <w:rFonts w:ascii="Times New Roman"/>
                <w:snapToGrid w:val="0"/>
                <w:color w:val="000000"/>
                <w:kern w:val="21"/>
                <w:szCs w:val="21"/>
              </w:rPr>
            </w:pPr>
          </w:p>
        </w:tc>
        <w:tc>
          <w:tcPr>
            <w:tcW w:w="699"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ascii="Times New Roman"/>
                <w:snapToGrid w:val="0"/>
                <w:color w:val="000000"/>
                <w:kern w:val="21"/>
                <w:szCs w:val="21"/>
              </w:rPr>
              <w:t>.9359</w:t>
            </w:r>
          </w:p>
        </w:tc>
        <w:tc>
          <w:tcPr>
            <w:tcW w:w="386"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hint="eastAsia" w:ascii="Times New Roman"/>
                <w:snapToGrid w:val="0"/>
                <w:color w:val="000000"/>
                <w:kern w:val="21"/>
                <w:szCs w:val="21"/>
              </w:rPr>
              <w:t>0</w:t>
            </w:r>
            <w:r>
              <w:rPr>
                <w:rFonts w:ascii="Times New Roman"/>
                <w:snapToGrid w:val="0"/>
                <w:color w:val="000000"/>
                <w:kern w:val="21"/>
                <w:szCs w:val="21"/>
              </w:rPr>
              <w:t>.0099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vMerge w:val="continue"/>
            <w:vAlign w:val="center"/>
          </w:tcPr>
          <w:p>
            <w:pPr>
              <w:pStyle w:val="33"/>
              <w:spacing w:beforeLines="0" w:afterLines="0" w:line="240" w:lineRule="auto"/>
              <w:rPr>
                <w:rFonts w:ascii="Times New Roman"/>
                <w:snapToGrid w:val="0"/>
                <w:color w:val="000000"/>
                <w:kern w:val="21"/>
                <w:szCs w:val="21"/>
              </w:rPr>
            </w:pPr>
          </w:p>
        </w:tc>
        <w:tc>
          <w:tcPr>
            <w:tcW w:w="503" w:type="pct"/>
            <w:vAlign w:val="center"/>
          </w:tcPr>
          <w:p>
            <w:pPr>
              <w:pStyle w:val="33"/>
              <w:spacing w:beforeLines="0" w:afterLines="0" w:line="240" w:lineRule="auto"/>
              <w:rPr>
                <w:rFonts w:ascii="Times New Roman"/>
                <w:snapToGrid w:val="0"/>
                <w:color w:val="000000"/>
                <w:kern w:val="21"/>
                <w:szCs w:val="21"/>
              </w:rPr>
            </w:pPr>
            <w:r>
              <w:rPr>
                <w:rFonts w:ascii="Times New Roman"/>
                <w:szCs w:val="21"/>
              </w:rPr>
              <w:t>SS</w:t>
            </w:r>
          </w:p>
        </w:tc>
        <w:tc>
          <w:tcPr>
            <w:tcW w:w="606"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ascii="Times New Roman"/>
                <w:snapToGrid w:val="0"/>
                <w:color w:val="000000"/>
                <w:kern w:val="21"/>
                <w:szCs w:val="21"/>
              </w:rPr>
              <w:t>.145</w:t>
            </w:r>
          </w:p>
        </w:tc>
        <w:tc>
          <w:tcPr>
            <w:tcW w:w="452"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554"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ascii="Times New Roman"/>
                <w:snapToGrid w:val="0"/>
                <w:color w:val="000000"/>
                <w:kern w:val="21"/>
                <w:szCs w:val="21"/>
              </w:rPr>
              <w:t>.0099</w:t>
            </w:r>
          </w:p>
        </w:tc>
        <w:tc>
          <w:tcPr>
            <w:tcW w:w="628" w:type="pct"/>
            <w:vAlign w:val="center"/>
          </w:tcPr>
          <w:p>
            <w:pPr>
              <w:pStyle w:val="33"/>
              <w:spacing w:beforeLines="0" w:afterLines="0" w:line="240" w:lineRule="auto"/>
              <w:rPr>
                <w:rFonts w:ascii="Times New Roman"/>
                <w:snapToGrid w:val="0"/>
                <w:color w:val="000000"/>
                <w:kern w:val="21"/>
                <w:szCs w:val="21"/>
              </w:rPr>
            </w:pPr>
          </w:p>
        </w:tc>
        <w:tc>
          <w:tcPr>
            <w:tcW w:w="699"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ascii="Times New Roman"/>
                <w:snapToGrid w:val="0"/>
                <w:color w:val="000000"/>
                <w:kern w:val="21"/>
                <w:szCs w:val="21"/>
              </w:rPr>
              <w:t>.1549</w:t>
            </w:r>
          </w:p>
        </w:tc>
        <w:tc>
          <w:tcPr>
            <w:tcW w:w="386"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hint="eastAsia" w:ascii="Times New Roman"/>
                <w:snapToGrid w:val="0"/>
                <w:color w:val="000000"/>
                <w:kern w:val="21"/>
                <w:szCs w:val="21"/>
              </w:rPr>
              <w:t>0</w:t>
            </w:r>
            <w:r>
              <w:rPr>
                <w:rFonts w:ascii="Times New Roman"/>
                <w:snapToGrid w:val="0"/>
                <w:color w:val="000000"/>
                <w:kern w:val="21"/>
                <w:szCs w:val="21"/>
              </w:rPr>
              <w:t>.0099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503"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废离子交换树脂</w:t>
            </w:r>
          </w:p>
        </w:tc>
        <w:tc>
          <w:tcPr>
            <w:tcW w:w="606"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1</w:t>
            </w:r>
          </w:p>
        </w:tc>
        <w:tc>
          <w:tcPr>
            <w:tcW w:w="452"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554" w:type="pct"/>
            <w:vAlign w:val="center"/>
          </w:tcPr>
          <w:p>
            <w:pPr>
              <w:pStyle w:val="3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ascii="Times New Roman"/>
                <w:snapToGrid w:val="0"/>
                <w:color w:val="000000"/>
                <w:kern w:val="21"/>
                <w:szCs w:val="21"/>
              </w:rPr>
              <w:t>.1</w:t>
            </w:r>
          </w:p>
        </w:tc>
        <w:tc>
          <w:tcPr>
            <w:tcW w:w="628" w:type="pct"/>
            <w:vAlign w:val="center"/>
          </w:tcPr>
          <w:p>
            <w:pPr>
              <w:pStyle w:val="33"/>
              <w:spacing w:beforeLines="0" w:afterLines="0" w:line="240" w:lineRule="auto"/>
              <w:rPr>
                <w:rFonts w:ascii="Times New Roman"/>
                <w:snapToGrid w:val="0"/>
                <w:color w:val="000000"/>
                <w:kern w:val="21"/>
                <w:szCs w:val="21"/>
              </w:rPr>
            </w:pPr>
          </w:p>
        </w:tc>
        <w:tc>
          <w:tcPr>
            <w:tcW w:w="699"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1.1</w:t>
            </w:r>
          </w:p>
        </w:tc>
        <w:tc>
          <w:tcPr>
            <w:tcW w:w="386"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hint="eastAsia" w:ascii="Times New Roman"/>
                <w:snapToGrid w:val="0"/>
                <w:color w:val="000000"/>
                <w:kern w:val="21"/>
                <w:szCs w:val="21"/>
              </w:rPr>
              <w:t>0</w:t>
            </w:r>
            <w:r>
              <w:rPr>
                <w:rFonts w:ascii="Times New Roman"/>
                <w:snapToGrid w:val="0"/>
                <w:color w:val="000000"/>
                <w:kern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5" w:type="pct"/>
            <w:vAlign w:val="center"/>
          </w:tcPr>
          <w:p>
            <w:pPr>
              <w:pStyle w:val="33"/>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503"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452" w:type="pct"/>
            <w:vAlign w:val="center"/>
          </w:tcPr>
          <w:p>
            <w:pPr>
              <w:pStyle w:val="33"/>
              <w:spacing w:beforeLines="0" w:afterLines="0" w:line="240" w:lineRule="auto"/>
              <w:rPr>
                <w:rFonts w:ascii="Times New Roman"/>
                <w:snapToGrid w:val="0"/>
                <w:color w:val="000000"/>
                <w:kern w:val="21"/>
                <w:szCs w:val="21"/>
              </w:rPr>
            </w:pPr>
          </w:p>
        </w:tc>
        <w:tc>
          <w:tcPr>
            <w:tcW w:w="606" w:type="pct"/>
            <w:vAlign w:val="center"/>
          </w:tcPr>
          <w:p>
            <w:pPr>
              <w:pStyle w:val="33"/>
              <w:spacing w:beforeLines="0" w:afterLines="0" w:line="240" w:lineRule="auto"/>
              <w:rPr>
                <w:rFonts w:ascii="Times New Roman"/>
                <w:snapToGrid w:val="0"/>
                <w:color w:val="000000"/>
                <w:kern w:val="21"/>
                <w:szCs w:val="21"/>
              </w:rPr>
            </w:pPr>
          </w:p>
        </w:tc>
        <w:tc>
          <w:tcPr>
            <w:tcW w:w="554" w:type="pct"/>
            <w:vAlign w:val="center"/>
          </w:tcPr>
          <w:p>
            <w:pPr>
              <w:pStyle w:val="33"/>
              <w:spacing w:beforeLines="0" w:afterLines="0" w:line="240" w:lineRule="auto"/>
              <w:rPr>
                <w:rFonts w:ascii="Times New Roman"/>
                <w:snapToGrid w:val="0"/>
                <w:color w:val="000000"/>
                <w:kern w:val="21"/>
                <w:szCs w:val="21"/>
              </w:rPr>
            </w:pPr>
          </w:p>
        </w:tc>
        <w:tc>
          <w:tcPr>
            <w:tcW w:w="628" w:type="pct"/>
            <w:vAlign w:val="center"/>
          </w:tcPr>
          <w:p>
            <w:pPr>
              <w:pStyle w:val="33"/>
              <w:spacing w:beforeLines="0" w:afterLines="0" w:line="240" w:lineRule="auto"/>
              <w:rPr>
                <w:rFonts w:ascii="Times New Roman"/>
                <w:snapToGrid w:val="0"/>
                <w:color w:val="000000"/>
                <w:kern w:val="21"/>
                <w:szCs w:val="21"/>
              </w:rPr>
            </w:pPr>
          </w:p>
        </w:tc>
        <w:tc>
          <w:tcPr>
            <w:tcW w:w="699" w:type="pct"/>
            <w:vAlign w:val="center"/>
          </w:tcPr>
          <w:p>
            <w:pPr>
              <w:pStyle w:val="33"/>
              <w:spacing w:beforeLines="0" w:afterLines="0" w:line="240" w:lineRule="auto"/>
              <w:rPr>
                <w:rFonts w:ascii="Times New Roman"/>
                <w:snapToGrid w:val="0"/>
                <w:color w:val="000000"/>
                <w:kern w:val="21"/>
                <w:szCs w:val="21"/>
              </w:rPr>
            </w:pPr>
          </w:p>
        </w:tc>
        <w:tc>
          <w:tcPr>
            <w:tcW w:w="386" w:type="pct"/>
            <w:vAlign w:val="center"/>
          </w:tcPr>
          <w:p>
            <w:pPr>
              <w:pStyle w:val="33"/>
              <w:spacing w:beforeLines="0" w:afterLines="0" w:line="240" w:lineRule="auto"/>
              <w:rPr>
                <w:rFonts w:ascii="Times New Roman"/>
                <w:snapToGrid w:val="0"/>
                <w:color w:val="000000"/>
                <w:kern w:val="21"/>
                <w:szCs w:val="21"/>
              </w:rPr>
            </w:pPr>
          </w:p>
        </w:tc>
      </w:tr>
    </w:tbl>
    <w:p>
      <w:pPr>
        <w:pStyle w:val="33"/>
        <w:spacing w:beforeLines="0" w:afterLines="0" w:line="240" w:lineRule="auto"/>
        <w:jc w:val="left"/>
        <w:rPr>
          <w:rFonts w:hAnsi="宋体" w:eastAsia="黑体"/>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7" w:type="default"/>
      <w:type w:val="continuous"/>
      <w:pgSz w:w="16838" w:h="11906" w:orient="landscape"/>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14892"/>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characterSpacingControl w:val="doNotCompress"/>
  <w:noLineBreaksAfter w:lang="zh-CN" w:val="([{·‘“〈《「『【〔〖（．［｛￡￥"/>
  <w:noLineBreaksBefore w:lang="zh-CN" w:val="!),.:;?]}¨·ˇˉ―‖’”…∶、。〃々〉》」』】〕〗！＂＇），．：；？］｀｜｝～￠"/>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zODlhYWQ4OWFiNzNiNDM1YTFhMmZlM2I4MDFiYTMifQ=="/>
  </w:docVars>
  <w:rsids>
    <w:rsidRoot w:val="00A14947"/>
    <w:rsid w:val="000060B3"/>
    <w:rsid w:val="000106A7"/>
    <w:rsid w:val="0001233B"/>
    <w:rsid w:val="00012388"/>
    <w:rsid w:val="000124BA"/>
    <w:rsid w:val="000235DD"/>
    <w:rsid w:val="00026B40"/>
    <w:rsid w:val="0003025A"/>
    <w:rsid w:val="00030611"/>
    <w:rsid w:val="000331B9"/>
    <w:rsid w:val="00035242"/>
    <w:rsid w:val="000400C0"/>
    <w:rsid w:val="00041A9B"/>
    <w:rsid w:val="00041B2A"/>
    <w:rsid w:val="0004364B"/>
    <w:rsid w:val="000439FB"/>
    <w:rsid w:val="00043F1A"/>
    <w:rsid w:val="000452F8"/>
    <w:rsid w:val="00051A9D"/>
    <w:rsid w:val="00055371"/>
    <w:rsid w:val="0006182D"/>
    <w:rsid w:val="00061B1F"/>
    <w:rsid w:val="00062DBF"/>
    <w:rsid w:val="00066276"/>
    <w:rsid w:val="00070CC9"/>
    <w:rsid w:val="000715B5"/>
    <w:rsid w:val="000733C4"/>
    <w:rsid w:val="00074783"/>
    <w:rsid w:val="000748BC"/>
    <w:rsid w:val="0008070B"/>
    <w:rsid w:val="000810AC"/>
    <w:rsid w:val="00081A02"/>
    <w:rsid w:val="00081EE2"/>
    <w:rsid w:val="00082231"/>
    <w:rsid w:val="0009078E"/>
    <w:rsid w:val="00091941"/>
    <w:rsid w:val="0009205A"/>
    <w:rsid w:val="00092759"/>
    <w:rsid w:val="00092D38"/>
    <w:rsid w:val="0009377B"/>
    <w:rsid w:val="000A20C9"/>
    <w:rsid w:val="000A508C"/>
    <w:rsid w:val="000B058F"/>
    <w:rsid w:val="000B4467"/>
    <w:rsid w:val="000B4DB9"/>
    <w:rsid w:val="000B72F3"/>
    <w:rsid w:val="000C09AC"/>
    <w:rsid w:val="000C49FA"/>
    <w:rsid w:val="000C636F"/>
    <w:rsid w:val="000C767F"/>
    <w:rsid w:val="000D1041"/>
    <w:rsid w:val="000D4630"/>
    <w:rsid w:val="000D5A44"/>
    <w:rsid w:val="000E2431"/>
    <w:rsid w:val="000E3ED2"/>
    <w:rsid w:val="000E4271"/>
    <w:rsid w:val="000E732B"/>
    <w:rsid w:val="000F2588"/>
    <w:rsid w:val="000F5829"/>
    <w:rsid w:val="00113BDA"/>
    <w:rsid w:val="00114808"/>
    <w:rsid w:val="00115A74"/>
    <w:rsid w:val="001164FC"/>
    <w:rsid w:val="00122FCC"/>
    <w:rsid w:val="0012709F"/>
    <w:rsid w:val="00131F42"/>
    <w:rsid w:val="00132F1B"/>
    <w:rsid w:val="0013467C"/>
    <w:rsid w:val="001357F1"/>
    <w:rsid w:val="00135B3B"/>
    <w:rsid w:val="00140FA8"/>
    <w:rsid w:val="001413FD"/>
    <w:rsid w:val="00142FEB"/>
    <w:rsid w:val="00143A2D"/>
    <w:rsid w:val="00145A41"/>
    <w:rsid w:val="00145F1D"/>
    <w:rsid w:val="00151545"/>
    <w:rsid w:val="00151675"/>
    <w:rsid w:val="001549FE"/>
    <w:rsid w:val="00157435"/>
    <w:rsid w:val="001616D0"/>
    <w:rsid w:val="001618A3"/>
    <w:rsid w:val="001653D5"/>
    <w:rsid w:val="00167F30"/>
    <w:rsid w:val="001710ED"/>
    <w:rsid w:val="00171576"/>
    <w:rsid w:val="0017504D"/>
    <w:rsid w:val="0017671A"/>
    <w:rsid w:val="00176B70"/>
    <w:rsid w:val="00177422"/>
    <w:rsid w:val="00180971"/>
    <w:rsid w:val="00184590"/>
    <w:rsid w:val="0018542D"/>
    <w:rsid w:val="001870D1"/>
    <w:rsid w:val="0018781E"/>
    <w:rsid w:val="0019262D"/>
    <w:rsid w:val="001959E5"/>
    <w:rsid w:val="00195F2C"/>
    <w:rsid w:val="001A1B35"/>
    <w:rsid w:val="001A284B"/>
    <w:rsid w:val="001A2865"/>
    <w:rsid w:val="001A48A2"/>
    <w:rsid w:val="001A6F61"/>
    <w:rsid w:val="001B72B8"/>
    <w:rsid w:val="001C0231"/>
    <w:rsid w:val="001C69B3"/>
    <w:rsid w:val="001D3C1F"/>
    <w:rsid w:val="001D5595"/>
    <w:rsid w:val="001D5E44"/>
    <w:rsid w:val="001D7874"/>
    <w:rsid w:val="001D79BF"/>
    <w:rsid w:val="001D7F22"/>
    <w:rsid w:val="001E06E3"/>
    <w:rsid w:val="001E09EB"/>
    <w:rsid w:val="001E4197"/>
    <w:rsid w:val="001F0F17"/>
    <w:rsid w:val="001F174B"/>
    <w:rsid w:val="001F1DBE"/>
    <w:rsid w:val="001F2BB7"/>
    <w:rsid w:val="001F307A"/>
    <w:rsid w:val="001F3347"/>
    <w:rsid w:val="001F584E"/>
    <w:rsid w:val="001F69E4"/>
    <w:rsid w:val="001F777E"/>
    <w:rsid w:val="00202820"/>
    <w:rsid w:val="0020600F"/>
    <w:rsid w:val="00211E6F"/>
    <w:rsid w:val="002125B4"/>
    <w:rsid w:val="002155B8"/>
    <w:rsid w:val="00224584"/>
    <w:rsid w:val="0022478A"/>
    <w:rsid w:val="00224839"/>
    <w:rsid w:val="002249B2"/>
    <w:rsid w:val="00225764"/>
    <w:rsid w:val="0022647D"/>
    <w:rsid w:val="00226574"/>
    <w:rsid w:val="002278EC"/>
    <w:rsid w:val="0023280E"/>
    <w:rsid w:val="002347C9"/>
    <w:rsid w:val="002377D1"/>
    <w:rsid w:val="002418A3"/>
    <w:rsid w:val="0024256B"/>
    <w:rsid w:val="002472B2"/>
    <w:rsid w:val="002506BC"/>
    <w:rsid w:val="00254345"/>
    <w:rsid w:val="002564A4"/>
    <w:rsid w:val="002578D0"/>
    <w:rsid w:val="0026018D"/>
    <w:rsid w:val="00261535"/>
    <w:rsid w:val="002644A9"/>
    <w:rsid w:val="00264557"/>
    <w:rsid w:val="00265F94"/>
    <w:rsid w:val="00267B01"/>
    <w:rsid w:val="00276F27"/>
    <w:rsid w:val="002805AB"/>
    <w:rsid w:val="00281381"/>
    <w:rsid w:val="00281BCD"/>
    <w:rsid w:val="00284204"/>
    <w:rsid w:val="00291773"/>
    <w:rsid w:val="0029190A"/>
    <w:rsid w:val="00293B00"/>
    <w:rsid w:val="002A168C"/>
    <w:rsid w:val="002A3DC7"/>
    <w:rsid w:val="002A4626"/>
    <w:rsid w:val="002B25B6"/>
    <w:rsid w:val="002B29E8"/>
    <w:rsid w:val="002B49E2"/>
    <w:rsid w:val="002B5D74"/>
    <w:rsid w:val="002B7B00"/>
    <w:rsid w:val="002B7C44"/>
    <w:rsid w:val="002B7CA8"/>
    <w:rsid w:val="002C23D0"/>
    <w:rsid w:val="002C2B17"/>
    <w:rsid w:val="002C4C96"/>
    <w:rsid w:val="002C67A0"/>
    <w:rsid w:val="002D0D3E"/>
    <w:rsid w:val="002D16BF"/>
    <w:rsid w:val="002D3DD0"/>
    <w:rsid w:val="002D46EC"/>
    <w:rsid w:val="002D5FEC"/>
    <w:rsid w:val="002E1F3A"/>
    <w:rsid w:val="002E298A"/>
    <w:rsid w:val="002E5515"/>
    <w:rsid w:val="002F0D0B"/>
    <w:rsid w:val="002F12C1"/>
    <w:rsid w:val="002F16C5"/>
    <w:rsid w:val="00301978"/>
    <w:rsid w:val="0030332C"/>
    <w:rsid w:val="003041D3"/>
    <w:rsid w:val="00304F3A"/>
    <w:rsid w:val="003051C2"/>
    <w:rsid w:val="00305F26"/>
    <w:rsid w:val="003063E3"/>
    <w:rsid w:val="00312296"/>
    <w:rsid w:val="00314F0E"/>
    <w:rsid w:val="00316954"/>
    <w:rsid w:val="00317EAF"/>
    <w:rsid w:val="0032009E"/>
    <w:rsid w:val="00321D8E"/>
    <w:rsid w:val="00325928"/>
    <w:rsid w:val="00326E4C"/>
    <w:rsid w:val="003308E2"/>
    <w:rsid w:val="0033184F"/>
    <w:rsid w:val="00331D47"/>
    <w:rsid w:val="00332863"/>
    <w:rsid w:val="00333CE9"/>
    <w:rsid w:val="003350FE"/>
    <w:rsid w:val="0033684D"/>
    <w:rsid w:val="003370D3"/>
    <w:rsid w:val="00337B42"/>
    <w:rsid w:val="00341B42"/>
    <w:rsid w:val="003428BE"/>
    <w:rsid w:val="0034348F"/>
    <w:rsid w:val="00346A76"/>
    <w:rsid w:val="00346DE9"/>
    <w:rsid w:val="0034731E"/>
    <w:rsid w:val="00356653"/>
    <w:rsid w:val="00356AAF"/>
    <w:rsid w:val="00356C7B"/>
    <w:rsid w:val="0035743F"/>
    <w:rsid w:val="003578A0"/>
    <w:rsid w:val="00357BE2"/>
    <w:rsid w:val="003607DC"/>
    <w:rsid w:val="00360F3D"/>
    <w:rsid w:val="0036170C"/>
    <w:rsid w:val="0036604C"/>
    <w:rsid w:val="00366E0F"/>
    <w:rsid w:val="003679A9"/>
    <w:rsid w:val="00370BDD"/>
    <w:rsid w:val="003737BC"/>
    <w:rsid w:val="00374BFA"/>
    <w:rsid w:val="00381A72"/>
    <w:rsid w:val="00384676"/>
    <w:rsid w:val="003872BD"/>
    <w:rsid w:val="00390857"/>
    <w:rsid w:val="003938B5"/>
    <w:rsid w:val="00397D06"/>
    <w:rsid w:val="003A41A8"/>
    <w:rsid w:val="003A4BF3"/>
    <w:rsid w:val="003A609E"/>
    <w:rsid w:val="003B0473"/>
    <w:rsid w:val="003B1017"/>
    <w:rsid w:val="003B2934"/>
    <w:rsid w:val="003B328F"/>
    <w:rsid w:val="003B420D"/>
    <w:rsid w:val="003B442E"/>
    <w:rsid w:val="003B6C56"/>
    <w:rsid w:val="003C02E6"/>
    <w:rsid w:val="003C6C16"/>
    <w:rsid w:val="003D0854"/>
    <w:rsid w:val="003D113A"/>
    <w:rsid w:val="003D4076"/>
    <w:rsid w:val="003D794D"/>
    <w:rsid w:val="003E05A7"/>
    <w:rsid w:val="003E3058"/>
    <w:rsid w:val="003E3FFF"/>
    <w:rsid w:val="003E5138"/>
    <w:rsid w:val="003E69A0"/>
    <w:rsid w:val="003E701C"/>
    <w:rsid w:val="003E76A9"/>
    <w:rsid w:val="003F0809"/>
    <w:rsid w:val="003F21FC"/>
    <w:rsid w:val="003F6A8C"/>
    <w:rsid w:val="003F755C"/>
    <w:rsid w:val="00402CAB"/>
    <w:rsid w:val="00403B8D"/>
    <w:rsid w:val="00406F01"/>
    <w:rsid w:val="00410C3B"/>
    <w:rsid w:val="004151E4"/>
    <w:rsid w:val="00415816"/>
    <w:rsid w:val="00416A71"/>
    <w:rsid w:val="00416D50"/>
    <w:rsid w:val="00416FD5"/>
    <w:rsid w:val="00417772"/>
    <w:rsid w:val="00420E6A"/>
    <w:rsid w:val="004250C3"/>
    <w:rsid w:val="00425A9E"/>
    <w:rsid w:val="004267D8"/>
    <w:rsid w:val="00426D6B"/>
    <w:rsid w:val="00427AAB"/>
    <w:rsid w:val="00431E6C"/>
    <w:rsid w:val="00433CE7"/>
    <w:rsid w:val="00433EF6"/>
    <w:rsid w:val="00434EAC"/>
    <w:rsid w:val="00435FF8"/>
    <w:rsid w:val="004374AA"/>
    <w:rsid w:val="00442F58"/>
    <w:rsid w:val="004452A1"/>
    <w:rsid w:val="0044789D"/>
    <w:rsid w:val="004515AD"/>
    <w:rsid w:val="00452738"/>
    <w:rsid w:val="00453025"/>
    <w:rsid w:val="0045407B"/>
    <w:rsid w:val="00456091"/>
    <w:rsid w:val="00460582"/>
    <w:rsid w:val="004631A5"/>
    <w:rsid w:val="00466321"/>
    <w:rsid w:val="004668E9"/>
    <w:rsid w:val="00467E6E"/>
    <w:rsid w:val="00470146"/>
    <w:rsid w:val="0047108F"/>
    <w:rsid w:val="00471306"/>
    <w:rsid w:val="004726AD"/>
    <w:rsid w:val="00475614"/>
    <w:rsid w:val="00483DB6"/>
    <w:rsid w:val="00484B9B"/>
    <w:rsid w:val="004855F6"/>
    <w:rsid w:val="0048572A"/>
    <w:rsid w:val="00486067"/>
    <w:rsid w:val="0048661E"/>
    <w:rsid w:val="0048796F"/>
    <w:rsid w:val="00491135"/>
    <w:rsid w:val="00494670"/>
    <w:rsid w:val="004978E4"/>
    <w:rsid w:val="004A14DF"/>
    <w:rsid w:val="004A3823"/>
    <w:rsid w:val="004A7452"/>
    <w:rsid w:val="004B3271"/>
    <w:rsid w:val="004B3C5E"/>
    <w:rsid w:val="004B44C8"/>
    <w:rsid w:val="004B4D0A"/>
    <w:rsid w:val="004C33CA"/>
    <w:rsid w:val="004C35BD"/>
    <w:rsid w:val="004C3B88"/>
    <w:rsid w:val="004C42B4"/>
    <w:rsid w:val="004C5E76"/>
    <w:rsid w:val="004C653E"/>
    <w:rsid w:val="004D1450"/>
    <w:rsid w:val="004E4C41"/>
    <w:rsid w:val="004E6393"/>
    <w:rsid w:val="004E6946"/>
    <w:rsid w:val="004F1527"/>
    <w:rsid w:val="004F1AD8"/>
    <w:rsid w:val="004F41D1"/>
    <w:rsid w:val="004F6FF7"/>
    <w:rsid w:val="005034D0"/>
    <w:rsid w:val="005039CB"/>
    <w:rsid w:val="00503CE2"/>
    <w:rsid w:val="00504DE8"/>
    <w:rsid w:val="0050558F"/>
    <w:rsid w:val="00506286"/>
    <w:rsid w:val="00510813"/>
    <w:rsid w:val="005108CB"/>
    <w:rsid w:val="00511990"/>
    <w:rsid w:val="00511DE0"/>
    <w:rsid w:val="00512572"/>
    <w:rsid w:val="00514329"/>
    <w:rsid w:val="00514870"/>
    <w:rsid w:val="00514B9B"/>
    <w:rsid w:val="005164AE"/>
    <w:rsid w:val="00517F02"/>
    <w:rsid w:val="00520F6A"/>
    <w:rsid w:val="00524303"/>
    <w:rsid w:val="00524DC7"/>
    <w:rsid w:val="005258A2"/>
    <w:rsid w:val="005327B4"/>
    <w:rsid w:val="005401AE"/>
    <w:rsid w:val="00540A5A"/>
    <w:rsid w:val="00542E07"/>
    <w:rsid w:val="0054306E"/>
    <w:rsid w:val="00545424"/>
    <w:rsid w:val="005515B2"/>
    <w:rsid w:val="00554A7B"/>
    <w:rsid w:val="0055572C"/>
    <w:rsid w:val="00560C6B"/>
    <w:rsid w:val="0056106A"/>
    <w:rsid w:val="005621C1"/>
    <w:rsid w:val="0056445B"/>
    <w:rsid w:val="005659B6"/>
    <w:rsid w:val="00567B43"/>
    <w:rsid w:val="00571CE6"/>
    <w:rsid w:val="005720AE"/>
    <w:rsid w:val="00572BDE"/>
    <w:rsid w:val="005771CF"/>
    <w:rsid w:val="00586510"/>
    <w:rsid w:val="0059361B"/>
    <w:rsid w:val="00593E1C"/>
    <w:rsid w:val="005947FD"/>
    <w:rsid w:val="00594D77"/>
    <w:rsid w:val="00594D7C"/>
    <w:rsid w:val="005969E4"/>
    <w:rsid w:val="005A06B7"/>
    <w:rsid w:val="005A1759"/>
    <w:rsid w:val="005A4BA5"/>
    <w:rsid w:val="005A68A7"/>
    <w:rsid w:val="005B22F5"/>
    <w:rsid w:val="005B660C"/>
    <w:rsid w:val="005B7F4E"/>
    <w:rsid w:val="005C4A11"/>
    <w:rsid w:val="005C6643"/>
    <w:rsid w:val="005D0BA8"/>
    <w:rsid w:val="005D2AC0"/>
    <w:rsid w:val="005D36AB"/>
    <w:rsid w:val="005D45B2"/>
    <w:rsid w:val="005D5ACE"/>
    <w:rsid w:val="005D6BB2"/>
    <w:rsid w:val="005E0DA4"/>
    <w:rsid w:val="005E29E3"/>
    <w:rsid w:val="005E2FF7"/>
    <w:rsid w:val="005E4380"/>
    <w:rsid w:val="005F5945"/>
    <w:rsid w:val="00607919"/>
    <w:rsid w:val="0061094F"/>
    <w:rsid w:val="00614323"/>
    <w:rsid w:val="00615A9A"/>
    <w:rsid w:val="00616F67"/>
    <w:rsid w:val="00617CC3"/>
    <w:rsid w:val="0062560D"/>
    <w:rsid w:val="00625A3A"/>
    <w:rsid w:val="00630AF9"/>
    <w:rsid w:val="006312A5"/>
    <w:rsid w:val="0063303D"/>
    <w:rsid w:val="0063329C"/>
    <w:rsid w:val="0063503E"/>
    <w:rsid w:val="006377A6"/>
    <w:rsid w:val="00637A3D"/>
    <w:rsid w:val="006411EF"/>
    <w:rsid w:val="006425CA"/>
    <w:rsid w:val="00643F8D"/>
    <w:rsid w:val="00647442"/>
    <w:rsid w:val="00654264"/>
    <w:rsid w:val="00656522"/>
    <w:rsid w:val="00662FC9"/>
    <w:rsid w:val="006652E6"/>
    <w:rsid w:val="006748B8"/>
    <w:rsid w:val="006775C3"/>
    <w:rsid w:val="00684CF0"/>
    <w:rsid w:val="006909DB"/>
    <w:rsid w:val="0069290A"/>
    <w:rsid w:val="006936ED"/>
    <w:rsid w:val="0069775A"/>
    <w:rsid w:val="00697813"/>
    <w:rsid w:val="006A0744"/>
    <w:rsid w:val="006A3EE8"/>
    <w:rsid w:val="006A693F"/>
    <w:rsid w:val="006A6C8E"/>
    <w:rsid w:val="006A72BF"/>
    <w:rsid w:val="006B03F2"/>
    <w:rsid w:val="006B37DC"/>
    <w:rsid w:val="006B3C45"/>
    <w:rsid w:val="006B4F68"/>
    <w:rsid w:val="006C0592"/>
    <w:rsid w:val="006C272E"/>
    <w:rsid w:val="006C3952"/>
    <w:rsid w:val="006C4179"/>
    <w:rsid w:val="006C5479"/>
    <w:rsid w:val="006C65E7"/>
    <w:rsid w:val="006D13B5"/>
    <w:rsid w:val="006D646A"/>
    <w:rsid w:val="006E12FF"/>
    <w:rsid w:val="006E1787"/>
    <w:rsid w:val="006E607E"/>
    <w:rsid w:val="006F03AD"/>
    <w:rsid w:val="006F0E78"/>
    <w:rsid w:val="006F1EC8"/>
    <w:rsid w:val="006F5CA7"/>
    <w:rsid w:val="00706C5D"/>
    <w:rsid w:val="00710849"/>
    <w:rsid w:val="0071499D"/>
    <w:rsid w:val="00732922"/>
    <w:rsid w:val="007347B2"/>
    <w:rsid w:val="007350AE"/>
    <w:rsid w:val="007433D0"/>
    <w:rsid w:val="0075162E"/>
    <w:rsid w:val="00754034"/>
    <w:rsid w:val="007541BE"/>
    <w:rsid w:val="00754877"/>
    <w:rsid w:val="00756556"/>
    <w:rsid w:val="00756F3E"/>
    <w:rsid w:val="00757B08"/>
    <w:rsid w:val="007618C4"/>
    <w:rsid w:val="00764E1E"/>
    <w:rsid w:val="0076622D"/>
    <w:rsid w:val="00767980"/>
    <w:rsid w:val="00770B19"/>
    <w:rsid w:val="0077463F"/>
    <w:rsid w:val="007760FA"/>
    <w:rsid w:val="00776220"/>
    <w:rsid w:val="007836EA"/>
    <w:rsid w:val="00784CDA"/>
    <w:rsid w:val="007906C4"/>
    <w:rsid w:val="00792AF4"/>
    <w:rsid w:val="0079404F"/>
    <w:rsid w:val="007940EA"/>
    <w:rsid w:val="007967E8"/>
    <w:rsid w:val="00797D3C"/>
    <w:rsid w:val="007A2170"/>
    <w:rsid w:val="007A22BF"/>
    <w:rsid w:val="007A3323"/>
    <w:rsid w:val="007A3391"/>
    <w:rsid w:val="007A3F1A"/>
    <w:rsid w:val="007A505C"/>
    <w:rsid w:val="007B23BF"/>
    <w:rsid w:val="007B3393"/>
    <w:rsid w:val="007B3A49"/>
    <w:rsid w:val="007B604E"/>
    <w:rsid w:val="007B72B8"/>
    <w:rsid w:val="007B7A58"/>
    <w:rsid w:val="007C21B5"/>
    <w:rsid w:val="007C23D1"/>
    <w:rsid w:val="007C43E1"/>
    <w:rsid w:val="007D63CA"/>
    <w:rsid w:val="007E3849"/>
    <w:rsid w:val="007E4BD2"/>
    <w:rsid w:val="007F13DE"/>
    <w:rsid w:val="007F6528"/>
    <w:rsid w:val="00801393"/>
    <w:rsid w:val="00801794"/>
    <w:rsid w:val="00802F88"/>
    <w:rsid w:val="00804074"/>
    <w:rsid w:val="00806DD1"/>
    <w:rsid w:val="0081293E"/>
    <w:rsid w:val="00815465"/>
    <w:rsid w:val="00817E9A"/>
    <w:rsid w:val="00822396"/>
    <w:rsid w:val="008267C2"/>
    <w:rsid w:val="008306BD"/>
    <w:rsid w:val="00831A80"/>
    <w:rsid w:val="00833371"/>
    <w:rsid w:val="00833377"/>
    <w:rsid w:val="00833743"/>
    <w:rsid w:val="008340A4"/>
    <w:rsid w:val="00842598"/>
    <w:rsid w:val="00842991"/>
    <w:rsid w:val="008547FA"/>
    <w:rsid w:val="00856D9F"/>
    <w:rsid w:val="00857F9F"/>
    <w:rsid w:val="00860D23"/>
    <w:rsid w:val="00861C20"/>
    <w:rsid w:val="00862DEA"/>
    <w:rsid w:val="0086305B"/>
    <w:rsid w:val="00865FA2"/>
    <w:rsid w:val="0087135F"/>
    <w:rsid w:val="00871940"/>
    <w:rsid w:val="0087210E"/>
    <w:rsid w:val="00872BAD"/>
    <w:rsid w:val="00872D94"/>
    <w:rsid w:val="00874F1B"/>
    <w:rsid w:val="00876E5C"/>
    <w:rsid w:val="00880364"/>
    <w:rsid w:val="00884C74"/>
    <w:rsid w:val="00887E3B"/>
    <w:rsid w:val="00891592"/>
    <w:rsid w:val="00891E9E"/>
    <w:rsid w:val="008A0D25"/>
    <w:rsid w:val="008A2F68"/>
    <w:rsid w:val="008B2B52"/>
    <w:rsid w:val="008B4FA6"/>
    <w:rsid w:val="008B5282"/>
    <w:rsid w:val="008B7C17"/>
    <w:rsid w:val="008C1689"/>
    <w:rsid w:val="008C2D01"/>
    <w:rsid w:val="008C40E6"/>
    <w:rsid w:val="008C483C"/>
    <w:rsid w:val="008C7C36"/>
    <w:rsid w:val="008D0F7A"/>
    <w:rsid w:val="008D3CEA"/>
    <w:rsid w:val="008D4DEB"/>
    <w:rsid w:val="008D68E4"/>
    <w:rsid w:val="008E0506"/>
    <w:rsid w:val="008E0CFF"/>
    <w:rsid w:val="008E5D6B"/>
    <w:rsid w:val="008E740A"/>
    <w:rsid w:val="008E76F0"/>
    <w:rsid w:val="008F15FE"/>
    <w:rsid w:val="008F2D29"/>
    <w:rsid w:val="008F4323"/>
    <w:rsid w:val="008F4AAB"/>
    <w:rsid w:val="008F5187"/>
    <w:rsid w:val="008F60D8"/>
    <w:rsid w:val="00901B86"/>
    <w:rsid w:val="00902727"/>
    <w:rsid w:val="0090312B"/>
    <w:rsid w:val="009055A6"/>
    <w:rsid w:val="00907257"/>
    <w:rsid w:val="0091736D"/>
    <w:rsid w:val="009216AD"/>
    <w:rsid w:val="00925863"/>
    <w:rsid w:val="00927357"/>
    <w:rsid w:val="00927A98"/>
    <w:rsid w:val="0093037A"/>
    <w:rsid w:val="00930D1B"/>
    <w:rsid w:val="009317EA"/>
    <w:rsid w:val="00934E58"/>
    <w:rsid w:val="009409D6"/>
    <w:rsid w:val="0094154D"/>
    <w:rsid w:val="0094412B"/>
    <w:rsid w:val="0095155F"/>
    <w:rsid w:val="00954429"/>
    <w:rsid w:val="009563CE"/>
    <w:rsid w:val="009710CF"/>
    <w:rsid w:val="00972C7D"/>
    <w:rsid w:val="0097347C"/>
    <w:rsid w:val="00975565"/>
    <w:rsid w:val="00976328"/>
    <w:rsid w:val="0097680D"/>
    <w:rsid w:val="00982438"/>
    <w:rsid w:val="00983971"/>
    <w:rsid w:val="0098404C"/>
    <w:rsid w:val="00985283"/>
    <w:rsid w:val="00991471"/>
    <w:rsid w:val="00993BE9"/>
    <w:rsid w:val="009940B4"/>
    <w:rsid w:val="0099565D"/>
    <w:rsid w:val="00995992"/>
    <w:rsid w:val="009976AD"/>
    <w:rsid w:val="009A03E5"/>
    <w:rsid w:val="009A0D0F"/>
    <w:rsid w:val="009A0F3B"/>
    <w:rsid w:val="009A1BB4"/>
    <w:rsid w:val="009A1BE6"/>
    <w:rsid w:val="009A2628"/>
    <w:rsid w:val="009A3200"/>
    <w:rsid w:val="009B0897"/>
    <w:rsid w:val="009B0D8B"/>
    <w:rsid w:val="009B4C9A"/>
    <w:rsid w:val="009B53EA"/>
    <w:rsid w:val="009B7BD9"/>
    <w:rsid w:val="009C1A19"/>
    <w:rsid w:val="009C2298"/>
    <w:rsid w:val="009C3D5B"/>
    <w:rsid w:val="009C75DB"/>
    <w:rsid w:val="009C7DD5"/>
    <w:rsid w:val="009D34FB"/>
    <w:rsid w:val="009D7B57"/>
    <w:rsid w:val="009E227D"/>
    <w:rsid w:val="009E5019"/>
    <w:rsid w:val="009F058F"/>
    <w:rsid w:val="009F080F"/>
    <w:rsid w:val="009F1FDC"/>
    <w:rsid w:val="009F497B"/>
    <w:rsid w:val="00A04F1B"/>
    <w:rsid w:val="00A0501B"/>
    <w:rsid w:val="00A07EB7"/>
    <w:rsid w:val="00A1193D"/>
    <w:rsid w:val="00A127A0"/>
    <w:rsid w:val="00A136FC"/>
    <w:rsid w:val="00A14947"/>
    <w:rsid w:val="00A155E6"/>
    <w:rsid w:val="00A20B49"/>
    <w:rsid w:val="00A214CF"/>
    <w:rsid w:val="00A325FC"/>
    <w:rsid w:val="00A32A83"/>
    <w:rsid w:val="00A365F0"/>
    <w:rsid w:val="00A368DB"/>
    <w:rsid w:val="00A37F8A"/>
    <w:rsid w:val="00A423AA"/>
    <w:rsid w:val="00A45335"/>
    <w:rsid w:val="00A47626"/>
    <w:rsid w:val="00A50556"/>
    <w:rsid w:val="00A53EC6"/>
    <w:rsid w:val="00A54BDE"/>
    <w:rsid w:val="00A55C0F"/>
    <w:rsid w:val="00A617C1"/>
    <w:rsid w:val="00A725DE"/>
    <w:rsid w:val="00A7279F"/>
    <w:rsid w:val="00A8381B"/>
    <w:rsid w:val="00A8713F"/>
    <w:rsid w:val="00A90BA1"/>
    <w:rsid w:val="00A919A1"/>
    <w:rsid w:val="00A94B9D"/>
    <w:rsid w:val="00A974C6"/>
    <w:rsid w:val="00A9780B"/>
    <w:rsid w:val="00A97A9A"/>
    <w:rsid w:val="00A97B35"/>
    <w:rsid w:val="00AA0671"/>
    <w:rsid w:val="00AA2531"/>
    <w:rsid w:val="00AA4B23"/>
    <w:rsid w:val="00AA56FB"/>
    <w:rsid w:val="00AA6872"/>
    <w:rsid w:val="00AB1E09"/>
    <w:rsid w:val="00AB5330"/>
    <w:rsid w:val="00AB6D22"/>
    <w:rsid w:val="00AB7747"/>
    <w:rsid w:val="00AC0694"/>
    <w:rsid w:val="00AC14CE"/>
    <w:rsid w:val="00AC1A39"/>
    <w:rsid w:val="00AC2708"/>
    <w:rsid w:val="00AC28CE"/>
    <w:rsid w:val="00AC2A56"/>
    <w:rsid w:val="00AD055E"/>
    <w:rsid w:val="00AD47A7"/>
    <w:rsid w:val="00AE15BB"/>
    <w:rsid w:val="00AE4AD4"/>
    <w:rsid w:val="00AE7388"/>
    <w:rsid w:val="00AF0CBF"/>
    <w:rsid w:val="00AF257F"/>
    <w:rsid w:val="00AF33CF"/>
    <w:rsid w:val="00AF4D50"/>
    <w:rsid w:val="00AF6179"/>
    <w:rsid w:val="00B00B24"/>
    <w:rsid w:val="00B03441"/>
    <w:rsid w:val="00B06D9D"/>
    <w:rsid w:val="00B1295A"/>
    <w:rsid w:val="00B13852"/>
    <w:rsid w:val="00B1386C"/>
    <w:rsid w:val="00B16276"/>
    <w:rsid w:val="00B1675E"/>
    <w:rsid w:val="00B20A45"/>
    <w:rsid w:val="00B22C5C"/>
    <w:rsid w:val="00B23507"/>
    <w:rsid w:val="00B24F30"/>
    <w:rsid w:val="00B31ABF"/>
    <w:rsid w:val="00B33BE3"/>
    <w:rsid w:val="00B37515"/>
    <w:rsid w:val="00B4460D"/>
    <w:rsid w:val="00B470FC"/>
    <w:rsid w:val="00B50E69"/>
    <w:rsid w:val="00B53B5D"/>
    <w:rsid w:val="00B57FE5"/>
    <w:rsid w:val="00B60185"/>
    <w:rsid w:val="00B6055E"/>
    <w:rsid w:val="00B608DD"/>
    <w:rsid w:val="00B6137B"/>
    <w:rsid w:val="00B6317D"/>
    <w:rsid w:val="00B6773B"/>
    <w:rsid w:val="00B71C36"/>
    <w:rsid w:val="00B76E04"/>
    <w:rsid w:val="00B7723F"/>
    <w:rsid w:val="00B801D4"/>
    <w:rsid w:val="00B80534"/>
    <w:rsid w:val="00B8405F"/>
    <w:rsid w:val="00B8433C"/>
    <w:rsid w:val="00B845C1"/>
    <w:rsid w:val="00B87491"/>
    <w:rsid w:val="00B90915"/>
    <w:rsid w:val="00B9239F"/>
    <w:rsid w:val="00BA29E9"/>
    <w:rsid w:val="00BA54A6"/>
    <w:rsid w:val="00BA5A50"/>
    <w:rsid w:val="00BA6FF0"/>
    <w:rsid w:val="00BA7142"/>
    <w:rsid w:val="00BB237C"/>
    <w:rsid w:val="00BB2CE4"/>
    <w:rsid w:val="00BB41A3"/>
    <w:rsid w:val="00BC1EA1"/>
    <w:rsid w:val="00BC32DC"/>
    <w:rsid w:val="00BC35B6"/>
    <w:rsid w:val="00BC78E7"/>
    <w:rsid w:val="00BD0120"/>
    <w:rsid w:val="00BD197E"/>
    <w:rsid w:val="00BD1B51"/>
    <w:rsid w:val="00BD1D3E"/>
    <w:rsid w:val="00BD4596"/>
    <w:rsid w:val="00BD6446"/>
    <w:rsid w:val="00BE1405"/>
    <w:rsid w:val="00BE312D"/>
    <w:rsid w:val="00BE3DF6"/>
    <w:rsid w:val="00BE6801"/>
    <w:rsid w:val="00BF1C20"/>
    <w:rsid w:val="00BF5292"/>
    <w:rsid w:val="00C021FE"/>
    <w:rsid w:val="00C05829"/>
    <w:rsid w:val="00C05E06"/>
    <w:rsid w:val="00C10578"/>
    <w:rsid w:val="00C10878"/>
    <w:rsid w:val="00C117B1"/>
    <w:rsid w:val="00C120F6"/>
    <w:rsid w:val="00C135BC"/>
    <w:rsid w:val="00C15C95"/>
    <w:rsid w:val="00C22FF4"/>
    <w:rsid w:val="00C239BC"/>
    <w:rsid w:val="00C2596A"/>
    <w:rsid w:val="00C27537"/>
    <w:rsid w:val="00C328FE"/>
    <w:rsid w:val="00C33507"/>
    <w:rsid w:val="00C40FF8"/>
    <w:rsid w:val="00C42DA6"/>
    <w:rsid w:val="00C4409D"/>
    <w:rsid w:val="00C44E72"/>
    <w:rsid w:val="00C45A06"/>
    <w:rsid w:val="00C47539"/>
    <w:rsid w:val="00C478C6"/>
    <w:rsid w:val="00C47E5B"/>
    <w:rsid w:val="00C500C2"/>
    <w:rsid w:val="00C50815"/>
    <w:rsid w:val="00C56D0A"/>
    <w:rsid w:val="00C6100F"/>
    <w:rsid w:val="00C61E4B"/>
    <w:rsid w:val="00C64027"/>
    <w:rsid w:val="00C64BFF"/>
    <w:rsid w:val="00C704E9"/>
    <w:rsid w:val="00C72A1D"/>
    <w:rsid w:val="00C732FC"/>
    <w:rsid w:val="00C763C9"/>
    <w:rsid w:val="00C80057"/>
    <w:rsid w:val="00C81D38"/>
    <w:rsid w:val="00C82232"/>
    <w:rsid w:val="00C82913"/>
    <w:rsid w:val="00C835F1"/>
    <w:rsid w:val="00C84DC0"/>
    <w:rsid w:val="00C85271"/>
    <w:rsid w:val="00C857BF"/>
    <w:rsid w:val="00C972B1"/>
    <w:rsid w:val="00CA02A0"/>
    <w:rsid w:val="00CA05FA"/>
    <w:rsid w:val="00CA2CCE"/>
    <w:rsid w:val="00CA43FD"/>
    <w:rsid w:val="00CA7B47"/>
    <w:rsid w:val="00CA7EF8"/>
    <w:rsid w:val="00CB028B"/>
    <w:rsid w:val="00CB3031"/>
    <w:rsid w:val="00CB3F82"/>
    <w:rsid w:val="00CB5AD4"/>
    <w:rsid w:val="00CC2067"/>
    <w:rsid w:val="00CC489B"/>
    <w:rsid w:val="00CC5B18"/>
    <w:rsid w:val="00CC6C12"/>
    <w:rsid w:val="00CD1C3C"/>
    <w:rsid w:val="00CD2BCD"/>
    <w:rsid w:val="00CD2D0B"/>
    <w:rsid w:val="00CD3A4C"/>
    <w:rsid w:val="00CD7E59"/>
    <w:rsid w:val="00CE0BAB"/>
    <w:rsid w:val="00CE10E9"/>
    <w:rsid w:val="00CE2910"/>
    <w:rsid w:val="00CE2C89"/>
    <w:rsid w:val="00CE3B26"/>
    <w:rsid w:val="00CE5393"/>
    <w:rsid w:val="00CF0EA0"/>
    <w:rsid w:val="00CF1ED3"/>
    <w:rsid w:val="00CF36BE"/>
    <w:rsid w:val="00CF6000"/>
    <w:rsid w:val="00CF7FA4"/>
    <w:rsid w:val="00D003F3"/>
    <w:rsid w:val="00D01C44"/>
    <w:rsid w:val="00D026D5"/>
    <w:rsid w:val="00D027B0"/>
    <w:rsid w:val="00D0364F"/>
    <w:rsid w:val="00D04613"/>
    <w:rsid w:val="00D05032"/>
    <w:rsid w:val="00D06834"/>
    <w:rsid w:val="00D06FBE"/>
    <w:rsid w:val="00D1613A"/>
    <w:rsid w:val="00D21D08"/>
    <w:rsid w:val="00D22220"/>
    <w:rsid w:val="00D233AC"/>
    <w:rsid w:val="00D24112"/>
    <w:rsid w:val="00D308ED"/>
    <w:rsid w:val="00D3120E"/>
    <w:rsid w:val="00D32A37"/>
    <w:rsid w:val="00D33914"/>
    <w:rsid w:val="00D353F2"/>
    <w:rsid w:val="00D35A36"/>
    <w:rsid w:val="00D36D86"/>
    <w:rsid w:val="00D428AA"/>
    <w:rsid w:val="00D44B2E"/>
    <w:rsid w:val="00D463AD"/>
    <w:rsid w:val="00D468CE"/>
    <w:rsid w:val="00D50A34"/>
    <w:rsid w:val="00D53EFA"/>
    <w:rsid w:val="00D60443"/>
    <w:rsid w:val="00D61BB5"/>
    <w:rsid w:val="00D70611"/>
    <w:rsid w:val="00D74687"/>
    <w:rsid w:val="00D76230"/>
    <w:rsid w:val="00D8726E"/>
    <w:rsid w:val="00D93D85"/>
    <w:rsid w:val="00D94A7C"/>
    <w:rsid w:val="00D950C4"/>
    <w:rsid w:val="00D95896"/>
    <w:rsid w:val="00D95F7E"/>
    <w:rsid w:val="00D972E0"/>
    <w:rsid w:val="00DA2080"/>
    <w:rsid w:val="00DA74C9"/>
    <w:rsid w:val="00DB184B"/>
    <w:rsid w:val="00DB2983"/>
    <w:rsid w:val="00DC1257"/>
    <w:rsid w:val="00DC3DC0"/>
    <w:rsid w:val="00DC5108"/>
    <w:rsid w:val="00DC5B2B"/>
    <w:rsid w:val="00DC79BF"/>
    <w:rsid w:val="00DD318D"/>
    <w:rsid w:val="00DD778B"/>
    <w:rsid w:val="00DE04AA"/>
    <w:rsid w:val="00DE25C3"/>
    <w:rsid w:val="00DE30F0"/>
    <w:rsid w:val="00DE5990"/>
    <w:rsid w:val="00DE7317"/>
    <w:rsid w:val="00DF2E12"/>
    <w:rsid w:val="00DF3AC4"/>
    <w:rsid w:val="00DF514A"/>
    <w:rsid w:val="00DF6690"/>
    <w:rsid w:val="00DF6804"/>
    <w:rsid w:val="00E0358D"/>
    <w:rsid w:val="00E04323"/>
    <w:rsid w:val="00E06034"/>
    <w:rsid w:val="00E070A2"/>
    <w:rsid w:val="00E07C7E"/>
    <w:rsid w:val="00E11196"/>
    <w:rsid w:val="00E1478B"/>
    <w:rsid w:val="00E20FE5"/>
    <w:rsid w:val="00E241E1"/>
    <w:rsid w:val="00E24906"/>
    <w:rsid w:val="00E2656A"/>
    <w:rsid w:val="00E312C4"/>
    <w:rsid w:val="00E3241B"/>
    <w:rsid w:val="00E32B0E"/>
    <w:rsid w:val="00E34B4A"/>
    <w:rsid w:val="00E358E7"/>
    <w:rsid w:val="00E36E1F"/>
    <w:rsid w:val="00E36F9A"/>
    <w:rsid w:val="00E412D0"/>
    <w:rsid w:val="00E47C68"/>
    <w:rsid w:val="00E527C9"/>
    <w:rsid w:val="00E56322"/>
    <w:rsid w:val="00E60982"/>
    <w:rsid w:val="00E6112E"/>
    <w:rsid w:val="00E62C62"/>
    <w:rsid w:val="00E63701"/>
    <w:rsid w:val="00E654C1"/>
    <w:rsid w:val="00E65D97"/>
    <w:rsid w:val="00E72A5A"/>
    <w:rsid w:val="00E73354"/>
    <w:rsid w:val="00E80355"/>
    <w:rsid w:val="00E81801"/>
    <w:rsid w:val="00E91D59"/>
    <w:rsid w:val="00E9242D"/>
    <w:rsid w:val="00E92A97"/>
    <w:rsid w:val="00EA18EF"/>
    <w:rsid w:val="00EA350D"/>
    <w:rsid w:val="00EA5ADE"/>
    <w:rsid w:val="00EB07E1"/>
    <w:rsid w:val="00EB34A3"/>
    <w:rsid w:val="00EB3F58"/>
    <w:rsid w:val="00EB5255"/>
    <w:rsid w:val="00EB578B"/>
    <w:rsid w:val="00EB5C47"/>
    <w:rsid w:val="00EB6AE4"/>
    <w:rsid w:val="00EC758D"/>
    <w:rsid w:val="00ED0215"/>
    <w:rsid w:val="00ED0639"/>
    <w:rsid w:val="00ED7B28"/>
    <w:rsid w:val="00EF0704"/>
    <w:rsid w:val="00EF4755"/>
    <w:rsid w:val="00EF7135"/>
    <w:rsid w:val="00EF7CA4"/>
    <w:rsid w:val="00F0192C"/>
    <w:rsid w:val="00F027DB"/>
    <w:rsid w:val="00F03362"/>
    <w:rsid w:val="00F060B0"/>
    <w:rsid w:val="00F132BE"/>
    <w:rsid w:val="00F13D64"/>
    <w:rsid w:val="00F14A7A"/>
    <w:rsid w:val="00F17646"/>
    <w:rsid w:val="00F22985"/>
    <w:rsid w:val="00F2387D"/>
    <w:rsid w:val="00F3383E"/>
    <w:rsid w:val="00F45D70"/>
    <w:rsid w:val="00F465A7"/>
    <w:rsid w:val="00F50B7C"/>
    <w:rsid w:val="00F54DD1"/>
    <w:rsid w:val="00F550E6"/>
    <w:rsid w:val="00F57610"/>
    <w:rsid w:val="00F65F2A"/>
    <w:rsid w:val="00F672F4"/>
    <w:rsid w:val="00F74345"/>
    <w:rsid w:val="00F7436B"/>
    <w:rsid w:val="00F80A0A"/>
    <w:rsid w:val="00F82B19"/>
    <w:rsid w:val="00F84301"/>
    <w:rsid w:val="00F90FFB"/>
    <w:rsid w:val="00F9212D"/>
    <w:rsid w:val="00F93E33"/>
    <w:rsid w:val="00F965DA"/>
    <w:rsid w:val="00F96D43"/>
    <w:rsid w:val="00F976B1"/>
    <w:rsid w:val="00FA05DA"/>
    <w:rsid w:val="00FA3042"/>
    <w:rsid w:val="00FA406A"/>
    <w:rsid w:val="00FB0D01"/>
    <w:rsid w:val="00FB503A"/>
    <w:rsid w:val="00FB516C"/>
    <w:rsid w:val="00FC1469"/>
    <w:rsid w:val="00FC1A72"/>
    <w:rsid w:val="00FC4CD8"/>
    <w:rsid w:val="00FD0236"/>
    <w:rsid w:val="00FD18F4"/>
    <w:rsid w:val="00FD298D"/>
    <w:rsid w:val="00FD54DB"/>
    <w:rsid w:val="00FD619F"/>
    <w:rsid w:val="00FD6A7B"/>
    <w:rsid w:val="00FE2402"/>
    <w:rsid w:val="00FE49EB"/>
    <w:rsid w:val="00FF38C3"/>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5570EE"/>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unhideWhenUsed="0" w:uiPriority="0" w:semiHidden="0" w:name="Strong" w:locked="1"/>
    <w:lsdException w:qFormat="1" w:unhideWhenUsed="0" w:uiPriority="2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Normal Indent"/>
    <w:basedOn w:val="1"/>
    <w:link w:val="45"/>
    <w:qFormat/>
    <w:locked/>
    <w:uiPriority w:val="0"/>
    <w:pPr>
      <w:adjustRightInd w:val="0"/>
      <w:snapToGrid w:val="0"/>
      <w:spacing w:line="360" w:lineRule="auto"/>
      <w:ind w:firstLine="420" w:firstLineChars="200"/>
    </w:pPr>
  </w:style>
  <w:style w:type="paragraph" w:styleId="4">
    <w:name w:val="annotation text"/>
    <w:basedOn w:val="1"/>
    <w:link w:val="31"/>
    <w:qFormat/>
    <w:uiPriority w:val="0"/>
    <w:pPr>
      <w:jc w:val="left"/>
    </w:pPr>
    <w:rPr>
      <w:kern w:val="0"/>
      <w:sz w:val="24"/>
      <w:szCs w:val="20"/>
    </w:rPr>
  </w:style>
  <w:style w:type="paragraph" w:styleId="5">
    <w:name w:val="Body Text"/>
    <w:basedOn w:val="1"/>
    <w:link w:val="30"/>
    <w:qFormat/>
    <w:uiPriority w:val="0"/>
    <w:pPr>
      <w:widowControl/>
      <w:snapToGrid w:val="0"/>
      <w:spacing w:before="60" w:after="160" w:line="259" w:lineRule="auto"/>
      <w:ind w:right="113"/>
    </w:pPr>
    <w:rPr>
      <w:kern w:val="0"/>
      <w:sz w:val="18"/>
      <w:szCs w:val="20"/>
    </w:rPr>
  </w:style>
  <w:style w:type="paragraph" w:styleId="6">
    <w:name w:val="Body Text Indent"/>
    <w:basedOn w:val="1"/>
    <w:link w:val="39"/>
    <w:qFormat/>
    <w:uiPriority w:val="0"/>
    <w:pPr>
      <w:spacing w:after="120"/>
      <w:ind w:left="420" w:leftChars="200"/>
    </w:pPr>
    <w:rPr>
      <w:kern w:val="0"/>
      <w:sz w:val="24"/>
      <w:szCs w:val="20"/>
    </w:rPr>
  </w:style>
  <w:style w:type="paragraph" w:styleId="7">
    <w:name w:val="Plain Text"/>
    <w:basedOn w:val="1"/>
    <w:link w:val="51"/>
    <w:qFormat/>
    <w:locked/>
    <w:uiPriority w:val="0"/>
    <w:rPr>
      <w:rFonts w:hAnsi="Courier New" w:cs="Courier New" w:asciiTheme="minorEastAsia" w:eastAsiaTheme="minorEastAsia"/>
    </w:rPr>
  </w:style>
  <w:style w:type="paragraph" w:styleId="8">
    <w:name w:val="Date"/>
    <w:basedOn w:val="1"/>
    <w:next w:val="1"/>
    <w:link w:val="26"/>
    <w:qFormat/>
    <w:uiPriority w:val="0"/>
    <w:pPr>
      <w:ind w:left="100" w:leftChars="2500"/>
    </w:pPr>
    <w:rPr>
      <w:kern w:val="0"/>
      <w:sz w:val="24"/>
      <w:szCs w:val="20"/>
    </w:rPr>
  </w:style>
  <w:style w:type="paragraph" w:styleId="9">
    <w:name w:val="Body Text Indent 2"/>
    <w:basedOn w:val="1"/>
    <w:link w:val="65"/>
    <w:qFormat/>
    <w:locked/>
    <w:uiPriority w:val="0"/>
    <w:pPr>
      <w:spacing w:after="120" w:line="480" w:lineRule="auto"/>
      <w:ind w:left="420" w:leftChars="200"/>
    </w:pPr>
  </w:style>
  <w:style w:type="paragraph" w:styleId="10">
    <w:name w:val="Balloon Text"/>
    <w:basedOn w:val="1"/>
    <w:link w:val="35"/>
    <w:semiHidden/>
    <w:qFormat/>
    <w:uiPriority w:val="0"/>
    <w:rPr>
      <w:kern w:val="0"/>
      <w:sz w:val="18"/>
      <w:szCs w:val="20"/>
    </w:rPr>
  </w:style>
  <w:style w:type="paragraph" w:styleId="11">
    <w:name w:val="footer"/>
    <w:basedOn w:val="1"/>
    <w:link w:val="25"/>
    <w:qFormat/>
    <w:uiPriority w:val="99"/>
    <w:pPr>
      <w:tabs>
        <w:tab w:val="center" w:pos="4153"/>
        <w:tab w:val="right" w:pos="8306"/>
      </w:tabs>
      <w:snapToGrid w:val="0"/>
      <w:jc w:val="left"/>
    </w:pPr>
    <w:rPr>
      <w:kern w:val="0"/>
      <w:sz w:val="18"/>
      <w:szCs w:val="20"/>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locked/>
    <w:uiPriority w:val="0"/>
  </w:style>
  <w:style w:type="paragraph" w:styleId="14">
    <w:name w:val="Subtitle"/>
    <w:basedOn w:val="1"/>
    <w:next w:val="1"/>
    <w:link w:val="67"/>
    <w:qFormat/>
    <w:locked/>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5">
    <w:name w:val="toc 2"/>
    <w:basedOn w:val="1"/>
    <w:next w:val="1"/>
    <w:unhideWhenUsed/>
    <w:qFormat/>
    <w:locked/>
    <w:uiPriority w:val="39"/>
  </w:style>
  <w:style w:type="paragraph" w:styleId="16">
    <w:name w:val="Body Text 2"/>
    <w:basedOn w:val="1"/>
    <w:link w:val="59"/>
    <w:qFormat/>
    <w:locked/>
    <w:uiPriority w:val="0"/>
    <w:pPr>
      <w:spacing w:after="120" w:line="480" w:lineRule="auto"/>
    </w:pPr>
  </w:style>
  <w:style w:type="paragraph" w:styleId="17">
    <w:name w:val="Normal (Web)"/>
    <w:basedOn w:val="1"/>
    <w:link w:val="28"/>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4"/>
    <w:next w:val="4"/>
    <w:link w:val="36"/>
    <w:semiHidden/>
    <w:qFormat/>
    <w:uiPriority w:val="0"/>
    <w:rPr>
      <w:b/>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Emphasis"/>
    <w:basedOn w:val="21"/>
    <w:qFormat/>
    <w:locked/>
    <w:uiPriority w:val="20"/>
    <w:rPr>
      <w:i/>
      <w:iCs/>
    </w:rPr>
  </w:style>
  <w:style w:type="character" w:styleId="24">
    <w:name w:val="annotation reference"/>
    <w:qFormat/>
    <w:uiPriority w:val="0"/>
    <w:rPr>
      <w:sz w:val="21"/>
    </w:rPr>
  </w:style>
  <w:style w:type="character" w:customStyle="1" w:styleId="25">
    <w:name w:val="页脚 字符1"/>
    <w:link w:val="11"/>
    <w:qFormat/>
    <w:locked/>
    <w:uiPriority w:val="99"/>
    <w:rPr>
      <w:sz w:val="18"/>
    </w:rPr>
  </w:style>
  <w:style w:type="character" w:customStyle="1" w:styleId="26">
    <w:name w:val="日期 字符1"/>
    <w:link w:val="8"/>
    <w:qFormat/>
    <w:locked/>
    <w:uiPriority w:val="0"/>
    <w:rPr>
      <w:rFonts w:ascii="Times New Roman" w:hAnsi="Times New Roman" w:eastAsia="宋体"/>
      <w:sz w:val="24"/>
    </w:rPr>
  </w:style>
  <w:style w:type="character" w:customStyle="1" w:styleId="27">
    <w:name w:val="页脚 字符"/>
    <w:basedOn w:val="21"/>
    <w:qFormat/>
    <w:uiPriority w:val="99"/>
  </w:style>
  <w:style w:type="character" w:customStyle="1" w:styleId="28">
    <w:name w:val="普通(网站) 字符"/>
    <w:link w:val="17"/>
    <w:qFormat/>
    <w:locked/>
    <w:uiPriority w:val="0"/>
    <w:rPr>
      <w:rFonts w:ascii="宋体" w:hAnsi="宋体" w:eastAsia="宋体"/>
      <w:sz w:val="24"/>
    </w:rPr>
  </w:style>
  <w:style w:type="character" w:customStyle="1" w:styleId="29">
    <w:name w:val="正文文本 字符1"/>
    <w:semiHidden/>
    <w:qFormat/>
    <w:uiPriority w:val="0"/>
    <w:rPr>
      <w:rFonts w:ascii="Times New Roman" w:hAnsi="Times New Roman" w:eastAsia="宋体"/>
      <w:sz w:val="24"/>
    </w:rPr>
  </w:style>
  <w:style w:type="character" w:customStyle="1" w:styleId="30">
    <w:name w:val="正文文本 字符"/>
    <w:link w:val="5"/>
    <w:qFormat/>
    <w:locked/>
    <w:uiPriority w:val="0"/>
    <w:rPr>
      <w:sz w:val="18"/>
    </w:rPr>
  </w:style>
  <w:style w:type="character" w:customStyle="1" w:styleId="31">
    <w:name w:val="批注文字 字符"/>
    <w:link w:val="4"/>
    <w:qFormat/>
    <w:locked/>
    <w:uiPriority w:val="0"/>
    <w:rPr>
      <w:rFonts w:ascii="Times New Roman" w:hAnsi="Times New Roman" w:eastAsia="宋体"/>
      <w:sz w:val="24"/>
    </w:rPr>
  </w:style>
  <w:style w:type="character" w:customStyle="1" w:styleId="32">
    <w:name w:val="表格 Char"/>
    <w:link w:val="33"/>
    <w:qFormat/>
    <w:locked/>
    <w:uiPriority w:val="0"/>
    <w:rPr>
      <w:rFonts w:ascii="宋体"/>
      <w:sz w:val="21"/>
    </w:rPr>
  </w:style>
  <w:style w:type="paragraph" w:customStyle="1" w:styleId="33">
    <w:name w:val="表格"/>
    <w:basedOn w:val="1"/>
    <w:next w:val="1"/>
    <w:link w:val="32"/>
    <w:qFormat/>
    <w:uiPriority w:val="0"/>
    <w:pPr>
      <w:adjustRightInd w:val="0"/>
      <w:snapToGrid w:val="0"/>
      <w:spacing w:beforeLines="10" w:afterLines="10" w:line="259" w:lineRule="auto"/>
      <w:jc w:val="center"/>
    </w:pPr>
    <w:rPr>
      <w:rFonts w:ascii="宋体"/>
      <w:kern w:val="0"/>
      <w:szCs w:val="20"/>
    </w:rPr>
  </w:style>
  <w:style w:type="character" w:customStyle="1" w:styleId="34">
    <w:name w:val="日期 字符"/>
    <w:semiHidden/>
    <w:qFormat/>
    <w:uiPriority w:val="0"/>
    <w:rPr>
      <w:rFonts w:ascii="Times New Roman" w:hAnsi="Times New Roman" w:eastAsia="宋体"/>
      <w:sz w:val="24"/>
    </w:rPr>
  </w:style>
  <w:style w:type="character" w:customStyle="1" w:styleId="35">
    <w:name w:val="批注框文本 字符"/>
    <w:link w:val="10"/>
    <w:semiHidden/>
    <w:qFormat/>
    <w:locked/>
    <w:uiPriority w:val="0"/>
    <w:rPr>
      <w:rFonts w:ascii="Times New Roman" w:hAnsi="Times New Roman" w:eastAsia="宋体"/>
      <w:sz w:val="18"/>
    </w:rPr>
  </w:style>
  <w:style w:type="character" w:customStyle="1" w:styleId="36">
    <w:name w:val="批注主题 字符"/>
    <w:link w:val="18"/>
    <w:semiHidden/>
    <w:qFormat/>
    <w:locked/>
    <w:uiPriority w:val="0"/>
    <w:rPr>
      <w:rFonts w:ascii="Times New Roman" w:hAnsi="Times New Roman" w:eastAsia="宋体"/>
      <w:b/>
      <w:kern w:val="2"/>
      <w:sz w:val="24"/>
    </w:rPr>
  </w:style>
  <w:style w:type="character" w:customStyle="1" w:styleId="37">
    <w:name w:val="页眉 字符"/>
    <w:link w:val="12"/>
    <w:qFormat/>
    <w:locked/>
    <w:uiPriority w:val="0"/>
    <w:rPr>
      <w:sz w:val="18"/>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正文文本缩进 字符"/>
    <w:link w:val="6"/>
    <w:semiHidden/>
    <w:qFormat/>
    <w:locked/>
    <w:uiPriority w:val="0"/>
    <w:rPr>
      <w:rFonts w:ascii="Times New Roman" w:hAnsi="Times New Roman" w:eastAsia="宋体"/>
      <w:sz w:val="24"/>
    </w:rPr>
  </w:style>
  <w:style w:type="paragraph" w:customStyle="1" w:styleId="4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2">
    <w:name w:val="0表头环评"/>
    <w:next w:val="1"/>
    <w:link w:val="43"/>
    <w:qFormat/>
    <w:uiPriority w:val="0"/>
    <w:pPr>
      <w:spacing w:before="50" w:beforeLines="50"/>
      <w:jc w:val="center"/>
    </w:pPr>
    <w:rPr>
      <w:rFonts w:ascii="宋体" w:hAnsi="宋体" w:eastAsia="宋体" w:cs="Times New Roman"/>
      <w:b/>
      <w:bCs/>
      <w:color w:val="000000"/>
      <w:kern w:val="2"/>
      <w:sz w:val="21"/>
      <w:szCs w:val="24"/>
      <w:u w:val="single"/>
      <w:lang w:val="en-US" w:eastAsia="zh-CN" w:bidi="ar-SA"/>
    </w:rPr>
  </w:style>
  <w:style w:type="character" w:customStyle="1" w:styleId="43">
    <w:name w:val="0表头环评 Char"/>
    <w:link w:val="42"/>
    <w:qFormat/>
    <w:uiPriority w:val="0"/>
    <w:rPr>
      <w:rFonts w:ascii="宋体" w:hAnsi="宋体"/>
      <w:b/>
      <w:bCs/>
      <w:color w:val="000000"/>
      <w:kern w:val="2"/>
      <w:sz w:val="21"/>
      <w:szCs w:val="24"/>
      <w:u w:val="single"/>
    </w:rPr>
  </w:style>
  <w:style w:type="paragraph" w:styleId="44">
    <w:name w:val="No Spacing"/>
    <w:qFormat/>
    <w:uiPriority w:val="1"/>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45">
    <w:name w:val="正文缩进 字符"/>
    <w:link w:val="3"/>
    <w:qFormat/>
    <w:uiPriority w:val="0"/>
    <w:rPr>
      <w:kern w:val="2"/>
      <w:sz w:val="21"/>
      <w:szCs w:val="24"/>
    </w:rPr>
  </w:style>
  <w:style w:type="paragraph" w:customStyle="1" w:styleId="46">
    <w:name w:val="样式 首行缩进:  2 字符"/>
    <w:basedOn w:val="1"/>
    <w:qFormat/>
    <w:uiPriority w:val="0"/>
    <w:pPr>
      <w:widowControl/>
      <w:spacing w:line="360" w:lineRule="auto"/>
      <w:ind w:firstLine="200" w:firstLineChars="200"/>
    </w:pPr>
    <w:rPr>
      <w:rFonts w:cs="宋体"/>
      <w:kern w:val="0"/>
      <w:szCs w:val="21"/>
    </w:rPr>
  </w:style>
  <w:style w:type="paragraph" w:customStyle="1" w:styleId="47">
    <w:name w:val="Table Paragraph"/>
    <w:basedOn w:val="1"/>
    <w:qFormat/>
    <w:uiPriority w:val="1"/>
  </w:style>
  <w:style w:type="paragraph" w:customStyle="1" w:styleId="48">
    <w:name w:val="xl31"/>
    <w:basedOn w:val="1"/>
    <w:qFormat/>
    <w:uiPriority w:val="0"/>
    <w:pPr>
      <w:widowControl/>
      <w:spacing w:before="100" w:beforeAutospacing="1" w:after="100" w:afterAutospacing="1" w:line="348" w:lineRule="auto"/>
      <w:jc w:val="center"/>
      <w:textAlignment w:val="center"/>
    </w:pPr>
    <w:rPr>
      <w:rFonts w:ascii="Arial Unicode MS" w:hAnsi="Arial Unicode MS" w:eastAsia="Arial Unicode MS"/>
      <w:kern w:val="0"/>
      <w:sz w:val="24"/>
    </w:rPr>
  </w:style>
  <w:style w:type="character" w:customStyle="1" w:styleId="49">
    <w:name w:val="表头 Char"/>
    <w:link w:val="50"/>
    <w:qFormat/>
    <w:uiPriority w:val="0"/>
    <w:rPr>
      <w:b/>
    </w:rPr>
  </w:style>
  <w:style w:type="paragraph" w:customStyle="1" w:styleId="50">
    <w:name w:val="表头"/>
    <w:basedOn w:val="1"/>
    <w:next w:val="7"/>
    <w:link w:val="49"/>
    <w:qFormat/>
    <w:uiPriority w:val="0"/>
    <w:pPr>
      <w:adjustRightInd w:val="0"/>
      <w:snapToGrid w:val="0"/>
      <w:jc w:val="center"/>
    </w:pPr>
    <w:rPr>
      <w:b/>
      <w:kern w:val="0"/>
      <w:sz w:val="20"/>
      <w:szCs w:val="20"/>
    </w:rPr>
  </w:style>
  <w:style w:type="character" w:customStyle="1" w:styleId="51">
    <w:name w:val="纯文本 字符"/>
    <w:basedOn w:val="21"/>
    <w:link w:val="7"/>
    <w:qFormat/>
    <w:uiPriority w:val="0"/>
    <w:rPr>
      <w:rFonts w:hAnsi="Courier New" w:cs="Courier New" w:asciiTheme="minorEastAsia" w:eastAsiaTheme="minorEastAsia"/>
      <w:kern w:val="2"/>
      <w:sz w:val="21"/>
      <w:szCs w:val="24"/>
    </w:rPr>
  </w:style>
  <w:style w:type="character" w:styleId="52">
    <w:name w:val="Placeholder Text"/>
    <w:basedOn w:val="21"/>
    <w:semiHidden/>
    <w:qFormat/>
    <w:uiPriority w:val="99"/>
    <w:rPr>
      <w:color w:val="808080"/>
    </w:rPr>
  </w:style>
  <w:style w:type="paragraph" w:customStyle="1" w:styleId="53">
    <w:name w:val="Default"/>
    <w:qFormat/>
    <w:uiPriority w:val="0"/>
    <w:pPr>
      <w:widowControl w:val="0"/>
      <w:autoSpaceDE w:val="0"/>
      <w:autoSpaceDN w:val="0"/>
      <w:adjustRightInd w:val="0"/>
    </w:pPr>
    <w:rPr>
      <w:rFonts w:ascii="宋体" w:hAnsi="Times New Roman" w:eastAsia="Calibri" w:cs="宋体"/>
      <w:color w:val="000000"/>
      <w:sz w:val="24"/>
      <w:szCs w:val="24"/>
      <w:lang w:val="en-US" w:eastAsia="zh-CN" w:bidi="ar-SA"/>
    </w:rPr>
  </w:style>
  <w:style w:type="character" w:customStyle="1" w:styleId="54">
    <w:name w:val="fontstyle01"/>
    <w:qFormat/>
    <w:uiPriority w:val="0"/>
    <w:rPr>
      <w:rFonts w:hint="eastAsia" w:ascii="宋体" w:hAnsi="宋体" w:eastAsia="宋体"/>
      <w:color w:val="000000"/>
      <w:sz w:val="24"/>
      <w:szCs w:val="24"/>
    </w:rPr>
  </w:style>
  <w:style w:type="paragraph" w:customStyle="1" w:styleId="55">
    <w:name w:val="博士论文正文"/>
    <w:basedOn w:val="1"/>
    <w:qFormat/>
    <w:uiPriority w:val="0"/>
    <w:pPr>
      <w:snapToGrid w:val="0"/>
      <w:spacing w:beforeLines="20" w:afterLines="20" w:line="360" w:lineRule="auto"/>
      <w:ind w:firstLine="480" w:firstLineChars="200"/>
    </w:pPr>
    <w:rPr>
      <w:rFonts w:ascii="宋体" w:hAnsi="宋体"/>
      <w:sz w:val="24"/>
      <w:szCs w:val="22"/>
    </w:rPr>
  </w:style>
  <w:style w:type="paragraph" w:customStyle="1" w:styleId="56">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57">
    <w:name w:val="text_tcumt"/>
    <w:basedOn w:val="21"/>
    <w:qFormat/>
    <w:uiPriority w:val="0"/>
  </w:style>
  <w:style w:type="paragraph" w:customStyle="1" w:styleId="58">
    <w:name w:val="表内容"/>
    <w:next w:val="1"/>
    <w:qFormat/>
    <w:uiPriority w:val="0"/>
    <w:pPr>
      <w:widowControl w:val="0"/>
      <w:spacing w:line="0" w:lineRule="atLeast"/>
      <w:jc w:val="center"/>
    </w:pPr>
    <w:rPr>
      <w:rFonts w:ascii="Times New Roman" w:hAnsi="Times New Roman" w:eastAsia="宋体" w:cs="Times New Roman"/>
      <w:sz w:val="24"/>
      <w:lang w:val="en-US" w:eastAsia="zh-CN" w:bidi="ar-SA"/>
    </w:rPr>
  </w:style>
  <w:style w:type="character" w:customStyle="1" w:styleId="59">
    <w:name w:val="正文文本 2 字符"/>
    <w:basedOn w:val="21"/>
    <w:link w:val="16"/>
    <w:qFormat/>
    <w:uiPriority w:val="0"/>
    <w:rPr>
      <w:kern w:val="2"/>
      <w:sz w:val="21"/>
      <w:szCs w:val="24"/>
    </w:rPr>
  </w:style>
  <w:style w:type="character" w:customStyle="1" w:styleId="60">
    <w:name w:val="外表格文字 Char"/>
    <w:link w:val="61"/>
    <w:qFormat/>
    <w:uiPriority w:val="0"/>
  </w:style>
  <w:style w:type="paragraph" w:customStyle="1" w:styleId="61">
    <w:name w:val="外表格文字"/>
    <w:basedOn w:val="1"/>
    <w:link w:val="60"/>
    <w:qFormat/>
    <w:uiPriority w:val="0"/>
    <w:pPr>
      <w:autoSpaceDE w:val="0"/>
      <w:autoSpaceDN w:val="0"/>
      <w:adjustRightInd w:val="0"/>
      <w:snapToGrid w:val="0"/>
      <w:spacing w:line="360" w:lineRule="auto"/>
      <w:ind w:firstLine="720" w:firstLineChars="200"/>
    </w:pPr>
    <w:rPr>
      <w:kern w:val="0"/>
      <w:sz w:val="20"/>
      <w:szCs w:val="20"/>
    </w:rPr>
  </w:style>
  <w:style w:type="paragraph" w:customStyle="1" w:styleId="62">
    <w:name w:val="【表中文字】"/>
    <w:basedOn w:val="1"/>
    <w:qFormat/>
    <w:uiPriority w:val="0"/>
    <w:pPr>
      <w:widowControl/>
      <w:jc w:val="center"/>
    </w:pPr>
    <w:rPr>
      <w:rFonts w:ascii="宋体" w:hAnsi="Calibri" w:cs="宋体"/>
      <w:kern w:val="0"/>
      <w:sz w:val="24"/>
      <w:szCs w:val="20"/>
    </w:rPr>
  </w:style>
  <w:style w:type="paragraph" w:customStyle="1" w:styleId="63">
    <w:name w:val="1"/>
    <w:basedOn w:val="1"/>
    <w:next w:val="7"/>
    <w:qFormat/>
    <w:uiPriority w:val="0"/>
    <w:pPr>
      <w:autoSpaceDE w:val="0"/>
      <w:autoSpaceDN w:val="0"/>
      <w:adjustRightInd w:val="0"/>
      <w:spacing w:line="360" w:lineRule="auto"/>
    </w:pPr>
    <w:rPr>
      <w:rFonts w:ascii="楷体_GB2312" w:eastAsia="楷体_GB2312"/>
      <w:kern w:val="0"/>
      <w:sz w:val="28"/>
    </w:rPr>
  </w:style>
  <w:style w:type="paragraph" w:customStyle="1" w:styleId="64">
    <w:name w:val="hj表格内容"/>
    <w:basedOn w:val="1"/>
    <w:qFormat/>
    <w:uiPriority w:val="0"/>
    <w:pPr>
      <w:widowControl/>
      <w:jc w:val="center"/>
      <w:textAlignment w:val="center"/>
    </w:pPr>
    <w:rPr>
      <w:rFonts w:ascii="宋体" w:hAnsi="宋体" w:cs="宋体"/>
      <w:color w:val="000000"/>
      <w:kern w:val="0"/>
      <w:szCs w:val="22"/>
    </w:rPr>
  </w:style>
  <w:style w:type="character" w:customStyle="1" w:styleId="65">
    <w:name w:val="正文文本缩进 2 字符"/>
    <w:basedOn w:val="21"/>
    <w:link w:val="9"/>
    <w:qFormat/>
    <w:uiPriority w:val="0"/>
    <w:rPr>
      <w:kern w:val="2"/>
      <w:sz w:val="21"/>
      <w:szCs w:val="24"/>
    </w:rPr>
  </w:style>
  <w:style w:type="paragraph" w:customStyle="1" w:styleId="66">
    <w:name w:val="表标题"/>
    <w:basedOn w:val="14"/>
    <w:next w:val="1"/>
    <w:qFormat/>
    <w:uiPriority w:val="0"/>
    <w:pPr>
      <w:spacing w:line="240" w:lineRule="auto"/>
    </w:pPr>
    <w:rPr>
      <w:rFonts w:ascii="Arial" w:hAnsi="Arial" w:eastAsia="宋体" w:cs="Times New Roman"/>
      <w:sz w:val="21"/>
      <w:u w:val="single"/>
    </w:rPr>
  </w:style>
  <w:style w:type="character" w:customStyle="1" w:styleId="67">
    <w:name w:val="副标题 字符"/>
    <w:basedOn w:val="21"/>
    <w:link w:val="14"/>
    <w:qFormat/>
    <w:uiPriority w:val="0"/>
    <w:rPr>
      <w:rFonts w:asciiTheme="minorHAnsi" w:hAnsiTheme="minorHAnsi" w:eastAsiaTheme="minorEastAsia" w:cstheme="minorBidi"/>
      <w:b/>
      <w:bCs/>
      <w:kern w:val="28"/>
      <w:sz w:val="32"/>
      <w:szCs w:val="32"/>
    </w:rPr>
  </w:style>
  <w:style w:type="character" w:customStyle="1" w:styleId="68">
    <w:name w:val="表格 字符"/>
    <w:qFormat/>
    <w:locked/>
    <w:uiPriority w:val="0"/>
    <w:rPr>
      <w:szCs w:val="18"/>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emf"/><Relationship Id="rId11" Type="http://schemas.openxmlformats.org/officeDocument/2006/relationships/package" Target="embeddings/Microsoft_Visio___2.vsdx"/><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E5B2F-5E91-4E79-80C2-27F28BFF60CF}">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34</Pages>
  <Words>4847</Words>
  <Characters>27629</Characters>
  <Lines>230</Lines>
  <Paragraphs>64</Paragraphs>
  <TotalTime>3325</TotalTime>
  <ScaleCrop>false</ScaleCrop>
  <LinksUpToDate>false</LinksUpToDate>
  <CharactersWithSpaces>32412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2023-07-10T05:27:00Z</dcterms:created>
  <dc:creator>lhj</dc:creator>
  <cp:lastModifiedBy>王彦超</cp:lastModifiedBy>
  <cp:lastPrinted>2023-10-31T08:42:00Z</cp:lastPrinted>
  <dcterms:modified xsi:type="dcterms:W3CDTF">2023-11-15T00:45:41Z</dcterms:modified>
  <dc:title>附件2</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3DAE925D311545E6A548C2B214C15D35_12</vt:lpwstr>
  </property>
</Properties>
</file>